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9" w:rsidRDefault="00F76F99" w:rsidP="00F76F99">
      <w:pPr>
        <w:pStyle w:val="WW-Tytu"/>
        <w:spacing w:before="0" w:after="0" w:line="380" w:lineRule="exact"/>
        <w:jc w:val="center"/>
        <w:rPr>
          <w:rFonts w:ascii="Times New Roman" w:hAnsi="Times New Roman" w:cs="Tahoma"/>
          <w:b/>
          <w:sz w:val="22"/>
          <w:szCs w:val="22"/>
        </w:rPr>
      </w:pPr>
      <w:r>
        <w:rPr>
          <w:rFonts w:ascii="Times New Roman" w:hAnsi="Times New Roman" w:cs="Tahoma"/>
          <w:b/>
          <w:sz w:val="22"/>
          <w:szCs w:val="22"/>
        </w:rPr>
        <w:t xml:space="preserve">Ogłoszenie Prezydenta Miasta Torunia </w:t>
      </w:r>
    </w:p>
    <w:p w:rsidR="00F76F99" w:rsidRDefault="00F76F99" w:rsidP="00F76F99">
      <w:pPr>
        <w:pStyle w:val="Tekstpodstawowy"/>
        <w:spacing w:after="0"/>
        <w:jc w:val="center"/>
        <w:rPr>
          <w:rFonts w:cs="Tahoma"/>
          <w:b/>
          <w:sz w:val="22"/>
          <w:szCs w:val="22"/>
        </w:rPr>
      </w:pPr>
      <w:r w:rsidRPr="000F7A66">
        <w:rPr>
          <w:rFonts w:cs="Tahoma"/>
          <w:b/>
          <w:sz w:val="22"/>
          <w:szCs w:val="22"/>
        </w:rPr>
        <w:t xml:space="preserve">o </w:t>
      </w:r>
      <w:r w:rsidR="00701CCA">
        <w:rPr>
          <w:rFonts w:cs="Tahoma"/>
          <w:b/>
          <w:sz w:val="22"/>
          <w:szCs w:val="22"/>
        </w:rPr>
        <w:t>pierwszym</w:t>
      </w:r>
      <w:r w:rsidRPr="000F7A66">
        <w:rPr>
          <w:rFonts w:cs="Tahoma"/>
          <w:b/>
          <w:sz w:val="22"/>
          <w:szCs w:val="22"/>
        </w:rPr>
        <w:t xml:space="preserve"> ustny</w:t>
      </w:r>
      <w:r w:rsidR="00200D6E">
        <w:rPr>
          <w:rFonts w:cs="Tahoma"/>
          <w:b/>
          <w:sz w:val="22"/>
          <w:szCs w:val="22"/>
        </w:rPr>
        <w:t>m</w:t>
      </w:r>
      <w:r w:rsidRPr="000F7A66">
        <w:rPr>
          <w:rFonts w:cs="Tahoma"/>
          <w:b/>
          <w:sz w:val="22"/>
          <w:szCs w:val="22"/>
        </w:rPr>
        <w:t xml:space="preserve"> przetarg</w:t>
      </w:r>
      <w:r w:rsidR="00200D6E">
        <w:rPr>
          <w:rFonts w:cs="Tahoma"/>
          <w:b/>
          <w:sz w:val="22"/>
          <w:szCs w:val="22"/>
        </w:rPr>
        <w:t>u</w:t>
      </w:r>
      <w:r w:rsidRPr="000F7A66">
        <w:rPr>
          <w:rFonts w:cs="Tahoma"/>
          <w:b/>
          <w:sz w:val="22"/>
          <w:szCs w:val="22"/>
        </w:rPr>
        <w:t xml:space="preserve"> nieograniczony</w:t>
      </w:r>
      <w:r w:rsidR="00200D6E">
        <w:rPr>
          <w:rFonts w:cs="Tahoma"/>
          <w:b/>
          <w:sz w:val="22"/>
          <w:szCs w:val="22"/>
        </w:rPr>
        <w:t>m</w:t>
      </w:r>
      <w:r>
        <w:rPr>
          <w:rFonts w:cs="Tahoma"/>
          <w:b/>
          <w:sz w:val="22"/>
          <w:szCs w:val="22"/>
        </w:rPr>
        <w:t xml:space="preserve"> </w:t>
      </w:r>
      <w:r w:rsidRPr="000F7A66">
        <w:rPr>
          <w:rFonts w:cs="Tahoma"/>
          <w:b/>
          <w:sz w:val="22"/>
          <w:szCs w:val="22"/>
        </w:rPr>
        <w:t xml:space="preserve">na </w:t>
      </w:r>
      <w:r w:rsidR="00DC6A62">
        <w:rPr>
          <w:rFonts w:cs="Tahoma"/>
          <w:b/>
          <w:sz w:val="22"/>
          <w:szCs w:val="22"/>
        </w:rPr>
        <w:t>sprzedaż</w:t>
      </w:r>
      <w:r w:rsidRPr="000F7A66">
        <w:rPr>
          <w:rFonts w:cs="Tahoma"/>
          <w:b/>
          <w:sz w:val="22"/>
          <w:szCs w:val="22"/>
        </w:rPr>
        <w:t>e nieruchomości położon</w:t>
      </w:r>
      <w:r w:rsidR="00200D6E">
        <w:rPr>
          <w:rFonts w:cs="Tahoma"/>
          <w:b/>
          <w:sz w:val="22"/>
          <w:szCs w:val="22"/>
        </w:rPr>
        <w:t>ej</w:t>
      </w:r>
      <w:r w:rsidRPr="000F7A66">
        <w:rPr>
          <w:rFonts w:cs="Tahoma"/>
          <w:b/>
          <w:sz w:val="22"/>
          <w:szCs w:val="22"/>
        </w:rPr>
        <w:t xml:space="preserve"> w Toruniu </w:t>
      </w:r>
    </w:p>
    <w:p w:rsidR="00B23CBF" w:rsidRDefault="00B23CBF" w:rsidP="00F76F99">
      <w:pPr>
        <w:pStyle w:val="Tekstpodstawowy"/>
        <w:spacing w:after="0"/>
        <w:jc w:val="center"/>
        <w:rPr>
          <w:rFonts w:cs="Tahoma"/>
          <w:b/>
          <w:sz w:val="22"/>
          <w:szCs w:val="22"/>
        </w:rPr>
      </w:pPr>
    </w:p>
    <w:tbl>
      <w:tblPr>
        <w:tblW w:w="14175" w:type="dxa"/>
        <w:tblInd w:w="-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5"/>
        <w:gridCol w:w="1414"/>
        <w:gridCol w:w="992"/>
        <w:gridCol w:w="3119"/>
        <w:gridCol w:w="2126"/>
        <w:gridCol w:w="2126"/>
        <w:gridCol w:w="2126"/>
      </w:tblGrid>
      <w:tr w:rsidR="00B23CBF" w:rsidTr="00B23CB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3CBF" w:rsidRDefault="00B23CBF" w:rsidP="00A821A7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p.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3CBF" w:rsidRPr="00B23CBF" w:rsidRDefault="00B23CBF" w:rsidP="00A821A7">
            <w:pPr>
              <w:pStyle w:val="WW-Zawartotabeli111"/>
              <w:spacing w:after="0"/>
              <w:jc w:val="center"/>
              <w:rPr>
                <w:b/>
                <w:sz w:val="22"/>
                <w:szCs w:val="22"/>
              </w:rPr>
            </w:pPr>
            <w:r w:rsidRPr="00B23CBF">
              <w:rPr>
                <w:b/>
                <w:sz w:val="22"/>
                <w:szCs w:val="22"/>
              </w:rPr>
              <w:t xml:space="preserve">Położenie </w:t>
            </w:r>
          </w:p>
          <w:p w:rsidR="00B23CBF" w:rsidRPr="00B23CBF" w:rsidRDefault="00B23CBF" w:rsidP="00A821A7">
            <w:pPr>
              <w:pStyle w:val="WW-Zawartotabeli111"/>
              <w:spacing w:after="0"/>
              <w:jc w:val="center"/>
              <w:rPr>
                <w:b/>
                <w:sz w:val="22"/>
                <w:szCs w:val="22"/>
              </w:rPr>
            </w:pPr>
            <w:r w:rsidRPr="00B23CBF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CBF" w:rsidRPr="00B23CBF" w:rsidRDefault="00B23CBF" w:rsidP="00A821A7">
            <w:pPr>
              <w:pStyle w:val="WW-Zawartotabeli111"/>
              <w:spacing w:after="0"/>
              <w:jc w:val="center"/>
              <w:rPr>
                <w:b/>
                <w:sz w:val="22"/>
                <w:szCs w:val="22"/>
              </w:rPr>
            </w:pPr>
            <w:r w:rsidRPr="00B23CBF">
              <w:rPr>
                <w:b/>
                <w:sz w:val="22"/>
                <w:szCs w:val="22"/>
              </w:rPr>
              <w:t>Powierzchnia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3CBF" w:rsidRPr="00B23CBF" w:rsidRDefault="00B23CBF" w:rsidP="00A821A7">
            <w:pPr>
              <w:pStyle w:val="WW-Zawartotabeli111"/>
              <w:spacing w:after="0"/>
              <w:jc w:val="center"/>
              <w:rPr>
                <w:b/>
                <w:sz w:val="22"/>
                <w:szCs w:val="22"/>
              </w:rPr>
            </w:pPr>
            <w:r w:rsidRPr="00B23CBF">
              <w:rPr>
                <w:b/>
                <w:sz w:val="22"/>
                <w:szCs w:val="22"/>
              </w:rPr>
              <w:t>Nr działek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CBF" w:rsidRPr="00B23CBF" w:rsidRDefault="00B23CBF" w:rsidP="00A821A7">
            <w:pPr>
              <w:pStyle w:val="WW-Zawartotabeli111"/>
              <w:spacing w:after="0"/>
              <w:jc w:val="center"/>
              <w:rPr>
                <w:b/>
                <w:sz w:val="22"/>
                <w:szCs w:val="22"/>
              </w:rPr>
            </w:pPr>
            <w:r w:rsidRPr="00B23CBF">
              <w:rPr>
                <w:b/>
                <w:sz w:val="22"/>
                <w:szCs w:val="22"/>
              </w:rPr>
              <w:t xml:space="preserve">Rodzaj </w:t>
            </w:r>
          </w:p>
          <w:p w:rsidR="00B23CBF" w:rsidRPr="00B23CBF" w:rsidRDefault="00B23CBF" w:rsidP="00A821A7">
            <w:pPr>
              <w:pStyle w:val="WW-Zawartotabeli111"/>
              <w:spacing w:after="0"/>
              <w:jc w:val="center"/>
              <w:rPr>
                <w:b/>
                <w:sz w:val="22"/>
                <w:szCs w:val="22"/>
              </w:rPr>
            </w:pPr>
            <w:r w:rsidRPr="00B23CBF">
              <w:rPr>
                <w:b/>
                <w:sz w:val="22"/>
                <w:szCs w:val="22"/>
              </w:rPr>
              <w:t>użytku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23CBF" w:rsidRPr="00B23CBF" w:rsidRDefault="00B23CBF" w:rsidP="00A821A7">
            <w:pPr>
              <w:pStyle w:val="WW-Zawartotabeli111"/>
              <w:spacing w:after="0"/>
              <w:jc w:val="center"/>
              <w:rPr>
                <w:b/>
                <w:sz w:val="22"/>
                <w:szCs w:val="22"/>
              </w:rPr>
            </w:pPr>
            <w:r w:rsidRPr="00B23CBF">
              <w:rPr>
                <w:b/>
                <w:sz w:val="22"/>
                <w:szCs w:val="22"/>
              </w:rPr>
              <w:t>Nr księgi wieczystej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3CBF" w:rsidRPr="00B23CBF" w:rsidRDefault="00B23CBF" w:rsidP="00B23CBF">
            <w:pPr>
              <w:pStyle w:val="WW-Zawartotabeli111"/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B23CBF">
              <w:rPr>
                <w:b/>
                <w:sz w:val="22"/>
                <w:szCs w:val="22"/>
              </w:rPr>
              <w:t>Wadium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3CBF" w:rsidRPr="007A774C" w:rsidRDefault="00B23CBF" w:rsidP="00B23CBF">
            <w:pPr>
              <w:pStyle w:val="Tekstpodstawowy31"/>
              <w:snapToGrid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7A774C">
              <w:rPr>
                <w:sz w:val="22"/>
                <w:szCs w:val="22"/>
                <w:lang w:eastAsia="en-US"/>
              </w:rPr>
              <w:t xml:space="preserve">Cena wywoławcza </w:t>
            </w:r>
          </w:p>
          <w:p w:rsidR="00B23CBF" w:rsidRPr="00B23CBF" w:rsidRDefault="00B23CBF" w:rsidP="00B23CBF">
            <w:pPr>
              <w:pStyle w:val="WW-Zawartotabeli111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z VAT </w:t>
            </w:r>
          </w:p>
        </w:tc>
      </w:tr>
      <w:tr w:rsidR="00B23CBF" w:rsidTr="00B23CBF">
        <w:trPr>
          <w:trHeight w:val="296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pStyle w:val="WW-Zawartotabeli111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rPr>
                <w:szCs w:val="24"/>
              </w:rPr>
            </w:pPr>
            <w:r>
              <w:rPr>
                <w:szCs w:val="24"/>
              </w:rPr>
              <w:t xml:space="preserve">Toruń, </w:t>
            </w:r>
          </w:p>
          <w:p w:rsidR="00B23CBF" w:rsidRDefault="00B23CBF" w:rsidP="00A821A7">
            <w:pPr>
              <w:rPr>
                <w:szCs w:val="24"/>
              </w:rPr>
            </w:pPr>
            <w:r>
              <w:rPr>
                <w:szCs w:val="24"/>
              </w:rPr>
              <w:t>obręb nr 54,</w:t>
            </w:r>
          </w:p>
          <w:p w:rsidR="00B23CBF" w:rsidRDefault="00B23CBF" w:rsidP="00A821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ul. Przelot 24-26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2,6176 ha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90/12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RVI – grunty orne (pow. 0,7836 ha) i </w:t>
            </w:r>
            <w:proofErr w:type="spellStart"/>
            <w:r>
              <w:rPr>
                <w:sz w:val="20"/>
              </w:rPr>
              <w:t>LsV</w:t>
            </w:r>
            <w:proofErr w:type="spellEnd"/>
            <w:r>
              <w:rPr>
                <w:sz w:val="20"/>
              </w:rPr>
              <w:t>-lasy (0,5611 ha)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TO1T/00051617/0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800.000,00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8.000.000,00 zł</w:t>
            </w:r>
          </w:p>
        </w:tc>
      </w:tr>
      <w:tr w:rsidR="00B23CBF" w:rsidTr="00B23CBF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b/>
                <w:szCs w:val="24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93/6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RVI – grunty orne (pow.1,2531 ha)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TO1T/00063985/7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4" w:space="0" w:color="auto"/>
            </w:tcBorders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</w:p>
        </w:tc>
      </w:tr>
      <w:tr w:rsidR="00B23CBF" w:rsidTr="00B23CBF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b/>
                <w:szCs w:val="24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Bp - zurbanizowane tereny niezabudowane lub w trakcie zabudowy (pow. 0,0097 ha)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TO1T/00034467/8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4" w:space="0" w:color="auto"/>
            </w:tcBorders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Cs w:val="24"/>
              </w:rPr>
            </w:pPr>
          </w:p>
        </w:tc>
      </w:tr>
      <w:tr w:rsidR="00B23CBF" w:rsidTr="00B23CBF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b/>
                <w:szCs w:val="24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Bp - zurbanizowane tereny niezabudowane lub w trakcie zabudowy ( pow. 0,0070 ha)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4" w:space="0" w:color="auto"/>
            </w:tcBorders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</w:tr>
      <w:tr w:rsidR="00B23CBF" w:rsidTr="00B23CBF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b/>
                <w:szCs w:val="24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F" w:rsidRDefault="00B23CBF" w:rsidP="00A821A7">
            <w:pPr>
              <w:pStyle w:val="Tekstpodstawowy"/>
              <w:tabs>
                <w:tab w:val="left" w:pos="0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Bp - zurbanizowane tereny niezabudowane lub w trakcie zabudowy(pow. 0,0031ha)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3CBF" w:rsidRDefault="00B23CBF" w:rsidP="00A821A7">
            <w:pPr>
              <w:suppressAutoHyphens w:val="0"/>
              <w:rPr>
                <w:szCs w:val="24"/>
              </w:rPr>
            </w:pPr>
          </w:p>
        </w:tc>
      </w:tr>
    </w:tbl>
    <w:p w:rsidR="00B23CBF" w:rsidRPr="00CB285E" w:rsidRDefault="00B23CBF" w:rsidP="00B23CBF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CB285E">
        <w:rPr>
          <w:sz w:val="22"/>
          <w:szCs w:val="22"/>
        </w:rPr>
        <w:t>W księdze wieczystej KW Nr TO1T/00051617/0 prowadzonej m.in. dla działki geod.</w:t>
      </w:r>
      <w:r w:rsidRPr="00CB285E">
        <w:rPr>
          <w:sz w:val="22"/>
          <w:szCs w:val="22"/>
        </w:rPr>
        <w:t xml:space="preserve"> nr 90/12 w „Dziale III – Prawa, </w:t>
      </w:r>
      <w:r w:rsidRPr="00CB285E">
        <w:rPr>
          <w:sz w:val="22"/>
          <w:szCs w:val="22"/>
        </w:rPr>
        <w:t>roszczenia</w:t>
      </w:r>
      <w:r w:rsidRPr="00CB285E">
        <w:rPr>
          <w:sz w:val="22"/>
          <w:szCs w:val="22"/>
        </w:rPr>
        <w:br/>
      </w:r>
      <w:r w:rsidRPr="00CB285E">
        <w:rPr>
          <w:sz w:val="22"/>
          <w:szCs w:val="22"/>
        </w:rPr>
        <w:t xml:space="preserve">i ograniczenia” wpisana jest służebność gruntowa drogi, która nie jest wykonywana na przedmiotowej działce.  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CB285E">
        <w:rPr>
          <w:sz w:val="22"/>
          <w:szCs w:val="22"/>
        </w:rPr>
        <w:t>W księdze wieczystej KW Nr TO1T/00034467/8 prowadzonej m.in. dla działek geod. nr 93/3, nr 176/9 i nr 176/10 w „Dziale I-</w:t>
      </w:r>
      <w:proofErr w:type="spellStart"/>
      <w:r w:rsidRPr="00CB285E">
        <w:rPr>
          <w:sz w:val="22"/>
          <w:szCs w:val="22"/>
        </w:rPr>
        <w:t>Sp</w:t>
      </w:r>
      <w:proofErr w:type="spellEnd"/>
      <w:r w:rsidRPr="00CB285E">
        <w:rPr>
          <w:sz w:val="22"/>
          <w:szCs w:val="22"/>
        </w:rPr>
        <w:t xml:space="preserve"> - Spis praw związanych z własnością” i w „Dziale  III – Prawa, roszczenia i ograniczenia” wpisane są służebności gruntowe, które nie dotyczą przedmiotowych działek.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CB285E">
        <w:rPr>
          <w:sz w:val="22"/>
          <w:szCs w:val="22"/>
        </w:rPr>
        <w:t xml:space="preserve">Kompleks nieruchomości położony jest na terenie objętym miejscowym planem zagospodarowania przestrzennego zatwierdzonym Uchwałą Nr 407/08 Rady Miasta Torunia z dnia 2 października 2008 r. </w:t>
      </w:r>
      <w:r w:rsidRPr="00CB285E">
        <w:rPr>
          <w:rStyle w:val="b"/>
          <w:sz w:val="22"/>
          <w:szCs w:val="22"/>
        </w:rPr>
        <w:t>w sprawie miejscowego planu zagospodarowania przestrzennego obszaru „Grębocin Nad Strugą – B” w Toruniu, znajdującym się w granicach jednostki planistycznej 6.14-U1</w:t>
      </w:r>
      <w:r w:rsidRPr="00CB285E">
        <w:rPr>
          <w:sz w:val="22"/>
          <w:szCs w:val="22"/>
        </w:rPr>
        <w:t xml:space="preserve">, dla której wskazano </w:t>
      </w:r>
      <w:r w:rsidRPr="00CB285E">
        <w:rPr>
          <w:sz w:val="22"/>
          <w:szCs w:val="22"/>
          <w:u w:val="single"/>
        </w:rPr>
        <w:t>przeznaczenie podstawowe</w:t>
      </w:r>
      <w:r w:rsidRPr="00CB285E">
        <w:rPr>
          <w:sz w:val="22"/>
          <w:szCs w:val="22"/>
        </w:rPr>
        <w:t>: tereny usług</w:t>
      </w:r>
      <w:r w:rsidRPr="00CB285E">
        <w:rPr>
          <w:sz w:val="22"/>
          <w:szCs w:val="22"/>
        </w:rPr>
        <w:br/>
        <w:t xml:space="preserve">i </w:t>
      </w:r>
      <w:r w:rsidRPr="00CB285E">
        <w:rPr>
          <w:sz w:val="22"/>
          <w:szCs w:val="22"/>
          <w:u w:val="single"/>
        </w:rPr>
        <w:t xml:space="preserve">przeznaczenie </w:t>
      </w:r>
      <w:r w:rsidRPr="00CB285E">
        <w:rPr>
          <w:rFonts w:eastAsia="Calibri"/>
          <w:sz w:val="22"/>
          <w:szCs w:val="22"/>
          <w:u w:val="single"/>
          <w:lang w:eastAsia="en-US"/>
        </w:rPr>
        <w:t>dopuszczalne</w:t>
      </w:r>
      <w:r w:rsidRPr="00CB285E">
        <w:rPr>
          <w:rFonts w:eastAsia="Calibri"/>
          <w:sz w:val="22"/>
          <w:szCs w:val="22"/>
          <w:lang w:eastAsia="en-US"/>
        </w:rPr>
        <w:t>: produkcja, składy i magazyny, drogi wewnętrzne, parkingi, garaże wielostanowiskowe, funkcja mieszkaniowa integralnie związana z prowadzoną działalnością usługową lub produkcyjną, obiekty małej architektury, zieleń urządzona, urządzenia i sieci infrastruktury technicznej.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CB285E">
        <w:rPr>
          <w:rFonts w:eastAsia="Calibri"/>
          <w:sz w:val="22"/>
          <w:szCs w:val="22"/>
          <w:lang w:eastAsia="en-US"/>
        </w:rPr>
        <w:t>Ww. plan miejscowy wyklucza lokalizację:</w:t>
      </w:r>
    </w:p>
    <w:p w:rsidR="00B23CBF" w:rsidRPr="00CB285E" w:rsidRDefault="00B23CBF" w:rsidP="00B23CBF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>stacji demontażu pojazdów, sprzętu gospodarst</w:t>
      </w:r>
      <w:r w:rsidR="00CB285E">
        <w:rPr>
          <w:rFonts w:eastAsia="Calibri"/>
          <w:sz w:val="22"/>
          <w:szCs w:val="22"/>
          <w:lang w:eastAsia="en-US"/>
        </w:rPr>
        <w:t xml:space="preserve">wa domowego, komputerów, itp. </w:t>
      </w:r>
      <w:r w:rsidRPr="00CB285E">
        <w:rPr>
          <w:rFonts w:eastAsia="Calibri"/>
          <w:sz w:val="22"/>
          <w:szCs w:val="22"/>
          <w:lang w:eastAsia="en-US"/>
        </w:rPr>
        <w:t xml:space="preserve">i przetwarzania odpadów powstałych z tego demontażu, </w:t>
      </w:r>
    </w:p>
    <w:p w:rsidR="00B23CBF" w:rsidRPr="00CB285E" w:rsidRDefault="00B23CBF" w:rsidP="00B23CBF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lastRenderedPageBreak/>
        <w:t xml:space="preserve">obiektów, urządzeń i instalacji związanych z odzyskiem lub unieszkodliwianiem odpadów oraz ze składowaniem, zbieraniem i przeładunkiem odpadów (np. złomowiska), z wyłączeniem gospodarki odpadami powstałymi w trakcie działalności usługowej i produkcyjnej, prowadzonej w ramach przeznaczenia podstawowego terenu, </w:t>
      </w:r>
    </w:p>
    <w:p w:rsidR="00B23CBF" w:rsidRPr="00CB285E" w:rsidRDefault="00B23CBF" w:rsidP="00B23CBF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>funkcji chronionych,</w:t>
      </w:r>
    </w:p>
    <w:p w:rsidR="00B23CBF" w:rsidRDefault="00B23CBF" w:rsidP="00B23CBF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 xml:space="preserve">przedsięwzięć mogących znacząco oddziaływać na środowisko i wymagających obowiązkowo sporządzenia raportu o oddziaływaniu na środowisko (zakaz nie dotyczy urządzeń i sieci infrastruktury technicznej z wyjątkiem stacji bazowych telefonii komórkowej). 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jc w:val="both"/>
        <w:rPr>
          <w:rFonts w:eastAsia="Calibri"/>
          <w:szCs w:val="24"/>
          <w:lang w:eastAsia="en-US"/>
        </w:rPr>
      </w:pPr>
      <w:r w:rsidRPr="00CB285E">
        <w:rPr>
          <w:rFonts w:eastAsia="Calibri"/>
          <w:szCs w:val="24"/>
          <w:lang w:eastAsia="en-US"/>
        </w:rPr>
        <w:t xml:space="preserve">Plan miejscowy wyznacza pas terenu, oznaczony na rysunku planu – jako obszar ograniczonego użytkowania dla napowietrznej linii elektroenergetycznej WN 110 </w:t>
      </w:r>
      <w:proofErr w:type="spellStart"/>
      <w:r w:rsidRPr="00CB285E">
        <w:rPr>
          <w:rFonts w:eastAsia="Calibri"/>
          <w:szCs w:val="24"/>
          <w:lang w:eastAsia="en-US"/>
        </w:rPr>
        <w:t>kV</w:t>
      </w:r>
      <w:proofErr w:type="spellEnd"/>
      <w:r w:rsidRPr="00CB285E">
        <w:rPr>
          <w:rFonts w:eastAsia="Calibri"/>
          <w:szCs w:val="24"/>
          <w:lang w:eastAsia="en-US"/>
        </w:rPr>
        <w:t xml:space="preserve"> (po 20 metrów w obie strony od osi linii) - ustalenie przestaje obowiązywać w przypadku dyslokacji linii lub jej skablowania.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>Ponadto plan miejscowy wprowadza:</w:t>
      </w:r>
    </w:p>
    <w:p w:rsidR="00B23CBF" w:rsidRPr="00CB285E" w:rsidRDefault="00B23CBF" w:rsidP="00B23CBF">
      <w:pPr>
        <w:pStyle w:val="Akapitzlist"/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 xml:space="preserve">nakaz uzgodnienia zamierzeń inwestycyjnych – zagospodarowania terenu, usytuowania budynków, ich przeznaczenia i gabarytów, </w:t>
      </w:r>
      <w:proofErr w:type="spellStart"/>
      <w:r w:rsidRPr="00CB285E">
        <w:rPr>
          <w:rFonts w:eastAsia="Calibri"/>
          <w:sz w:val="22"/>
          <w:szCs w:val="22"/>
          <w:lang w:eastAsia="en-US"/>
        </w:rPr>
        <w:t>nasadzeń</w:t>
      </w:r>
      <w:proofErr w:type="spellEnd"/>
      <w:r w:rsidRPr="00CB285E">
        <w:rPr>
          <w:rFonts w:eastAsia="Calibri"/>
          <w:sz w:val="22"/>
          <w:szCs w:val="22"/>
          <w:lang w:eastAsia="en-US"/>
        </w:rPr>
        <w:t xml:space="preserve"> zieleni lokalizowanych</w:t>
      </w:r>
      <w:r w:rsidR="00CB285E">
        <w:rPr>
          <w:rFonts w:eastAsia="Calibri"/>
          <w:sz w:val="22"/>
          <w:szCs w:val="22"/>
          <w:lang w:eastAsia="en-US"/>
        </w:rPr>
        <w:t xml:space="preserve"> </w:t>
      </w:r>
      <w:r w:rsidRPr="00CB285E">
        <w:rPr>
          <w:rFonts w:eastAsia="Calibri"/>
          <w:sz w:val="22"/>
          <w:szCs w:val="22"/>
          <w:lang w:eastAsia="en-US"/>
        </w:rPr>
        <w:t>w pasie ograniczonego użytkowania linii elektroenergetycznej –</w:t>
      </w:r>
      <w:r w:rsidR="00CB285E">
        <w:rPr>
          <w:rFonts w:eastAsia="Calibri"/>
          <w:sz w:val="22"/>
          <w:szCs w:val="22"/>
          <w:lang w:eastAsia="en-US"/>
        </w:rPr>
        <w:t xml:space="preserve"> </w:t>
      </w:r>
      <w:r w:rsidRPr="00CB285E">
        <w:rPr>
          <w:rFonts w:eastAsia="Calibri"/>
          <w:sz w:val="22"/>
          <w:szCs w:val="22"/>
          <w:lang w:eastAsia="en-US"/>
        </w:rPr>
        <w:t>z zarządcą tej linii,</w:t>
      </w:r>
    </w:p>
    <w:p w:rsidR="00B23CBF" w:rsidRPr="00CB285E" w:rsidRDefault="00B23CBF" w:rsidP="00B23CBF">
      <w:pPr>
        <w:pStyle w:val="Akapitzlist"/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>nakaz zachowania pasa technicznego o szerokości po 1,5 metra od osi istniejących kanałów ściekowych z możliwością przełożenia tych sieci na warunkach</w:t>
      </w:r>
      <w:r w:rsidRPr="00CB285E">
        <w:rPr>
          <w:rFonts w:eastAsia="Calibri"/>
          <w:sz w:val="22"/>
          <w:szCs w:val="22"/>
          <w:lang w:eastAsia="en-US"/>
        </w:rPr>
        <w:br/>
        <w:t>i w uzgodnieniu z ich zarządcą oraz nakaz odsunięcia linii zabudowy na odległość po 3,0 metry od osi kanałów ściekowych. Ustalenia przestają obowiązywać</w:t>
      </w:r>
      <w:r w:rsidR="00CB285E">
        <w:rPr>
          <w:rFonts w:eastAsia="Calibri"/>
          <w:sz w:val="22"/>
          <w:szCs w:val="22"/>
          <w:lang w:eastAsia="en-US"/>
        </w:rPr>
        <w:t xml:space="preserve"> </w:t>
      </w:r>
      <w:r w:rsidRPr="00CB285E">
        <w:rPr>
          <w:rFonts w:eastAsia="Calibri"/>
          <w:sz w:val="22"/>
          <w:szCs w:val="22"/>
          <w:lang w:eastAsia="en-US"/>
        </w:rPr>
        <w:t>w przypadku przełożenia sieci na tereny komunikacji publicznej lub zieleni urządzonej,</w:t>
      </w:r>
    </w:p>
    <w:p w:rsidR="00B23CBF" w:rsidRPr="00CB285E" w:rsidRDefault="00B23CBF" w:rsidP="00B23CBF">
      <w:pPr>
        <w:pStyle w:val="Akapitzlist"/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>maksymalną wysokość budynków 3 kondygnacje nadziemne, lecz nie więcej niż 15,5 m nad poziomem terenu,</w:t>
      </w:r>
    </w:p>
    <w:p w:rsidR="00B23CBF" w:rsidRPr="00CB285E" w:rsidRDefault="00B23CBF" w:rsidP="00B23CBF">
      <w:pPr>
        <w:pStyle w:val="Akapitzlist"/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>nakaz zachowania powierzchni działki budowalnej jako biologicznie czynnej – min. 15 %,</w:t>
      </w:r>
    </w:p>
    <w:p w:rsidR="00B23CBF" w:rsidRDefault="00B23CBF" w:rsidP="00B23CBF">
      <w:pPr>
        <w:pStyle w:val="Akapitzlist"/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rFonts w:eastAsia="Calibri"/>
          <w:sz w:val="22"/>
          <w:szCs w:val="22"/>
          <w:lang w:eastAsia="en-US"/>
        </w:rPr>
        <w:t>nakaz wprowadzenia, od strony dróg public</w:t>
      </w:r>
      <w:r w:rsidR="00CB285E">
        <w:rPr>
          <w:rFonts w:eastAsia="Calibri"/>
          <w:sz w:val="22"/>
          <w:szCs w:val="22"/>
          <w:lang w:eastAsia="en-US"/>
        </w:rPr>
        <w:t xml:space="preserve">znych, pasa zieleni izolacyjnej </w:t>
      </w:r>
      <w:r w:rsidRPr="00CB285E">
        <w:rPr>
          <w:rFonts w:eastAsia="Calibri"/>
          <w:sz w:val="22"/>
          <w:szCs w:val="22"/>
          <w:lang w:eastAsia="en-US"/>
        </w:rPr>
        <w:t>o szerokości min. 5,0 m,  w przypadku lokalizacji otwartych placów składowych</w:t>
      </w:r>
      <w:r w:rsidRPr="00CB285E">
        <w:rPr>
          <w:rFonts w:eastAsia="Calibri"/>
          <w:sz w:val="22"/>
          <w:szCs w:val="22"/>
          <w:lang w:eastAsia="en-US"/>
        </w:rPr>
        <w:br/>
        <w:t>od strony dróg publicznych.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sz w:val="22"/>
          <w:szCs w:val="22"/>
        </w:rPr>
        <w:t>Zbywany grunt jest niezabudowany, niezagospodarowany i porośnięty drzewami. Kształt działki to nieregularny wielobok. Nieruchomość jest nieuzbrojona, ale znajduje się</w:t>
      </w:r>
      <w:r w:rsidR="00CB285E">
        <w:rPr>
          <w:sz w:val="22"/>
          <w:szCs w:val="22"/>
        </w:rPr>
        <w:t xml:space="preserve"> </w:t>
      </w:r>
      <w:r w:rsidRPr="00CB285E">
        <w:rPr>
          <w:sz w:val="22"/>
          <w:szCs w:val="22"/>
        </w:rPr>
        <w:t>|w zasięgu sieci: elektroenergetycznej, wodociągowej, kanalizacji sanitarnej, gazowej</w:t>
      </w:r>
      <w:r w:rsidR="00CB285E">
        <w:rPr>
          <w:sz w:val="22"/>
          <w:szCs w:val="22"/>
        </w:rPr>
        <w:t xml:space="preserve"> </w:t>
      </w:r>
      <w:r w:rsidRPr="00CB285E">
        <w:rPr>
          <w:sz w:val="22"/>
          <w:szCs w:val="22"/>
        </w:rPr>
        <w:t>i telekomunikacyjnej. Przez grunt przebiegają sieci uzbrojenia terenu: sieć wodociągowa DN 150, kanalizacja sanitarna DN 300, kanalizacja deszczowa DN 800, infrastruktura teletechniczna 1xHPDE 40 mm („</w:t>
      </w:r>
      <w:proofErr w:type="spellStart"/>
      <w:r w:rsidRPr="00CB285E">
        <w:rPr>
          <w:sz w:val="22"/>
          <w:szCs w:val="22"/>
        </w:rPr>
        <w:t>iB</w:t>
      </w:r>
      <w:proofErr w:type="spellEnd"/>
      <w:r w:rsidRPr="00CB285E">
        <w:rPr>
          <w:sz w:val="22"/>
          <w:szCs w:val="22"/>
        </w:rPr>
        <w:t xml:space="preserve">”), napowietrzna linia elektroenergetyczna WN 110 </w:t>
      </w:r>
      <w:proofErr w:type="spellStart"/>
      <w:r w:rsidRPr="00CB285E">
        <w:rPr>
          <w:sz w:val="22"/>
          <w:szCs w:val="22"/>
        </w:rPr>
        <w:t>kV</w:t>
      </w:r>
      <w:proofErr w:type="spellEnd"/>
      <w:r w:rsidRPr="00CB285E">
        <w:rPr>
          <w:sz w:val="22"/>
          <w:szCs w:val="22"/>
        </w:rPr>
        <w:t xml:space="preserve"> , linia telekomunikacyjna.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jc w:val="both"/>
        <w:rPr>
          <w:rFonts w:eastAsia="Calibri"/>
          <w:sz w:val="22"/>
          <w:szCs w:val="22"/>
          <w:lang w:eastAsia="en-US"/>
        </w:rPr>
      </w:pPr>
      <w:r w:rsidRPr="00CB285E">
        <w:rPr>
          <w:sz w:val="22"/>
          <w:szCs w:val="22"/>
        </w:rPr>
        <w:t>Nabywca nieruchomości zobowiązany jest do ustanowienia w akcie notarialnym:</w:t>
      </w:r>
    </w:p>
    <w:p w:rsidR="00B23CBF" w:rsidRPr="00CB285E" w:rsidRDefault="00B23CBF" w:rsidP="00B23CBF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CB285E">
        <w:rPr>
          <w:sz w:val="22"/>
          <w:szCs w:val="22"/>
        </w:rPr>
        <w:t>nieodpłatnej służebności gruntowej na działkach 90/12 KW Nr TO1T/00051617/0 i 93/6 (TO1T/000639985/7) w obrębie 54 na rzecz każdoczesnego właściciela nieruchomości sąsiedniej stanowiącej działkę geod. nr 176/4 w obrębie nr 54, zapisanej w księdze wieczystej</w:t>
      </w:r>
      <w:r w:rsidRPr="00CB285E">
        <w:rPr>
          <w:sz w:val="22"/>
          <w:szCs w:val="22"/>
        </w:rPr>
        <w:br/>
        <w:t>KW Nr TO1T/00034467/8, wykorzystywanej obecnie jako pas drogowy</w:t>
      </w:r>
      <w:r w:rsidR="00CB285E" w:rsidRPr="00CB285E">
        <w:rPr>
          <w:sz w:val="22"/>
          <w:szCs w:val="22"/>
        </w:rPr>
        <w:t xml:space="preserve"> </w:t>
      </w:r>
      <w:r w:rsidRPr="00CB285E">
        <w:rPr>
          <w:sz w:val="22"/>
          <w:szCs w:val="22"/>
        </w:rPr>
        <w:t>ul. Przelot, zabezpieczającej prawo istnienia i korzystania z kolektora deszczowego Ø800 wraz ze strefą ochronną – po 3 metry z każdej strony kolektora od osi przewodu oraz zakazem zabudowy w odległości min. 5 m od osi przewodu,</w:t>
      </w:r>
    </w:p>
    <w:p w:rsidR="00B23CBF" w:rsidRPr="00CB285E" w:rsidRDefault="00B23CBF" w:rsidP="00B23CBF">
      <w:pPr>
        <w:pStyle w:val="Akapitzlist"/>
        <w:numPr>
          <w:ilvl w:val="0"/>
          <w:numId w:val="12"/>
        </w:numPr>
        <w:tabs>
          <w:tab w:val="left" w:pos="1134"/>
        </w:tabs>
        <w:suppressAutoHyphens/>
        <w:spacing w:after="57"/>
        <w:jc w:val="both"/>
        <w:rPr>
          <w:sz w:val="22"/>
          <w:szCs w:val="22"/>
        </w:rPr>
      </w:pPr>
      <w:r w:rsidRPr="00CB285E">
        <w:rPr>
          <w:sz w:val="22"/>
          <w:szCs w:val="22"/>
        </w:rPr>
        <w:t xml:space="preserve">nieodpłatnej służebności gruntowej </w:t>
      </w:r>
      <w:r w:rsidR="00CB285E" w:rsidRPr="00CB285E">
        <w:rPr>
          <w:sz w:val="22"/>
          <w:szCs w:val="22"/>
        </w:rPr>
        <w:t xml:space="preserve">polegającej na prawie przejazdu </w:t>
      </w:r>
      <w:r w:rsidRPr="00CB285E">
        <w:rPr>
          <w:sz w:val="22"/>
          <w:szCs w:val="22"/>
        </w:rPr>
        <w:t>i przec</w:t>
      </w:r>
      <w:bookmarkStart w:id="0" w:name="_GoBack"/>
      <w:bookmarkEnd w:id="0"/>
      <w:r w:rsidRPr="00CB285E">
        <w:rPr>
          <w:sz w:val="22"/>
          <w:szCs w:val="22"/>
        </w:rPr>
        <w:t>hodu po terenie działek  geod. nr 176/9, 93/3 z obrębu nr 54, zapisanych w księdze wieczystej KW Nr TO1T/00034467/8 i działki nr 93/6 z obrębu</w:t>
      </w:r>
      <w:r w:rsidR="00CB285E" w:rsidRPr="00CB285E">
        <w:rPr>
          <w:sz w:val="22"/>
          <w:szCs w:val="22"/>
        </w:rPr>
        <w:t xml:space="preserve"> </w:t>
      </w:r>
      <w:r w:rsidRPr="00CB285E">
        <w:rPr>
          <w:sz w:val="22"/>
          <w:szCs w:val="22"/>
        </w:rPr>
        <w:t>nr 54 zapisanej w księdze wieczystej KW Nr TO1T/00063985/7 na rzecz każdoczesnego właściciela nieruchomości, położonej w Toruniu przy</w:t>
      </w:r>
      <w:r w:rsidR="00CB285E" w:rsidRPr="00CB285E">
        <w:rPr>
          <w:sz w:val="22"/>
          <w:szCs w:val="22"/>
        </w:rPr>
        <w:t xml:space="preserve"> </w:t>
      </w:r>
      <w:r w:rsidRPr="00CB285E">
        <w:rPr>
          <w:sz w:val="22"/>
          <w:szCs w:val="22"/>
        </w:rPr>
        <w:t xml:space="preserve">ul. Przelot 26, oznaczonej nr działki 93/2, o powierzchni 0,0872 ha.  Droga dojazdowa do nieruchomości jest </w:t>
      </w:r>
      <w:r w:rsidR="00C556BC">
        <w:rPr>
          <w:sz w:val="22"/>
          <w:szCs w:val="22"/>
        </w:rPr>
        <w:t>nie</w:t>
      </w:r>
      <w:r w:rsidRPr="00CB285E">
        <w:rPr>
          <w:sz w:val="22"/>
          <w:szCs w:val="22"/>
        </w:rPr>
        <w:t>urządzona.</w:t>
      </w:r>
    </w:p>
    <w:p w:rsidR="00B23CBF" w:rsidRDefault="00B23CBF" w:rsidP="00CB285E">
      <w:pPr>
        <w:pStyle w:val="Akapitzlist"/>
        <w:numPr>
          <w:ilvl w:val="0"/>
          <w:numId w:val="14"/>
        </w:numPr>
        <w:suppressAutoHyphens/>
        <w:jc w:val="both"/>
        <w:rPr>
          <w:color w:val="000000"/>
          <w:sz w:val="22"/>
          <w:szCs w:val="22"/>
          <w:lang w:eastAsia="zh-CN"/>
        </w:rPr>
      </w:pPr>
      <w:r w:rsidRPr="00CB285E">
        <w:rPr>
          <w:color w:val="000000"/>
          <w:sz w:val="22"/>
          <w:szCs w:val="22"/>
          <w:lang w:eastAsia="zh-CN"/>
        </w:rPr>
        <w:lastRenderedPageBreak/>
        <w:t>Lokalizacja zabudowy na zbywanym terenie powinna być uzgodniona z Miejskim zarządem Dróg w zakresie zbliżania do kolektora deszczowego, koszty ewentualnej przebudowy obciążać będą nabywcę.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suppressAutoHyphens/>
        <w:jc w:val="both"/>
        <w:rPr>
          <w:color w:val="000000"/>
          <w:sz w:val="22"/>
          <w:szCs w:val="22"/>
          <w:lang w:eastAsia="zh-CN"/>
        </w:rPr>
      </w:pPr>
      <w:r w:rsidRPr="00CB285E">
        <w:rPr>
          <w:sz w:val="22"/>
          <w:szCs w:val="22"/>
        </w:rPr>
        <w:t>Przez nieruchomość oznaczoną numerami działek 93/6, 90/12 i 176/9 przebiega napowietrzna linia elektroenergetyczna 110/</w:t>
      </w:r>
      <w:proofErr w:type="spellStart"/>
      <w:r w:rsidRPr="00CB285E">
        <w:rPr>
          <w:sz w:val="22"/>
          <w:szCs w:val="22"/>
        </w:rPr>
        <w:t>kV</w:t>
      </w:r>
      <w:proofErr w:type="spellEnd"/>
      <w:r w:rsidRPr="00CB285E">
        <w:rPr>
          <w:sz w:val="22"/>
          <w:szCs w:val="22"/>
        </w:rPr>
        <w:t xml:space="preserve"> wraz ze słupem posadowionym</w:t>
      </w:r>
      <w:r w:rsidR="00CB285E">
        <w:rPr>
          <w:sz w:val="22"/>
          <w:szCs w:val="22"/>
        </w:rPr>
        <w:t xml:space="preserve"> </w:t>
      </w:r>
      <w:r w:rsidRPr="00CB285E">
        <w:rPr>
          <w:sz w:val="22"/>
          <w:szCs w:val="22"/>
        </w:rPr>
        <w:t>w narożniku działki nr 93/6. Mając na względzie tę okoliczność, nabywca nieruchomości przyjmuje do wiadomości fakt, iż właściciel urządzeń elektroenergetycznych ENERGA-OPERATOR SA. ma podstawy do wystąpienia</w:t>
      </w:r>
      <w:r w:rsidR="00CB285E">
        <w:rPr>
          <w:sz w:val="22"/>
          <w:szCs w:val="22"/>
        </w:rPr>
        <w:t xml:space="preserve"> </w:t>
      </w:r>
      <w:r w:rsidRPr="00CB285E">
        <w:rPr>
          <w:sz w:val="22"/>
          <w:szCs w:val="22"/>
        </w:rPr>
        <w:t xml:space="preserve">o ustanowienie bądź zasiedzenie w związku z tym stosownej służebności </w:t>
      </w:r>
      <w:proofErr w:type="spellStart"/>
      <w:r w:rsidRPr="00CB285E">
        <w:rPr>
          <w:sz w:val="22"/>
          <w:szCs w:val="22"/>
        </w:rPr>
        <w:t>przesyłu</w:t>
      </w:r>
      <w:proofErr w:type="spellEnd"/>
      <w:r w:rsidRPr="00CB285E">
        <w:rPr>
          <w:sz w:val="22"/>
          <w:szCs w:val="22"/>
        </w:rPr>
        <w:t>. Ponadto z tego powodu miejscowy plan zagospodarowania uchwalony dla tego obszaru wyznacza strefy ograniczonego użytkowania na przedmiotowej nieruchomości.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suppressAutoHyphens/>
        <w:jc w:val="both"/>
        <w:rPr>
          <w:color w:val="000000"/>
          <w:sz w:val="22"/>
          <w:szCs w:val="22"/>
          <w:lang w:eastAsia="zh-CN"/>
        </w:rPr>
      </w:pPr>
      <w:r w:rsidRPr="00CB285E">
        <w:rPr>
          <w:sz w:val="22"/>
          <w:szCs w:val="22"/>
        </w:rPr>
        <w:t>Dojazd do nieruchomości odbywać się będzie z istniejących dróg publicznych oraz po gruntach przewidzianych docelowo, w miejscowym planie zagospodarowania przestrzennego, pod drogi. Gmina Miasta Toruń umożliwi nabywcy nieruchomości nieodpłatne korzystanie z tych gruntów, znajdujących się w liniach pasów drogowych projektowanych ulic w celu urządzenia wjazdu na posesję.</w:t>
      </w:r>
    </w:p>
    <w:p w:rsidR="00B23CBF" w:rsidRPr="00CB285E" w:rsidRDefault="00B23CBF" w:rsidP="00CB285E">
      <w:pPr>
        <w:pStyle w:val="Akapitzlist"/>
        <w:numPr>
          <w:ilvl w:val="0"/>
          <w:numId w:val="14"/>
        </w:numPr>
        <w:suppressAutoHyphens/>
        <w:jc w:val="both"/>
        <w:rPr>
          <w:color w:val="000000"/>
          <w:sz w:val="22"/>
          <w:szCs w:val="22"/>
          <w:lang w:eastAsia="zh-CN"/>
        </w:rPr>
      </w:pPr>
      <w:r w:rsidRPr="00CB285E">
        <w:rPr>
          <w:sz w:val="22"/>
          <w:szCs w:val="22"/>
        </w:rPr>
        <w:t>W ewidencji gruntów kompleks nieruchomości oznaczony jest użytkami: „Bp – zurbanizowane tereny niezabudowane lub w trakcie zabudowy”, „RVI – grunty orne” i „</w:t>
      </w:r>
      <w:proofErr w:type="spellStart"/>
      <w:r w:rsidRPr="00CB285E">
        <w:rPr>
          <w:sz w:val="22"/>
          <w:szCs w:val="22"/>
        </w:rPr>
        <w:t>LsV</w:t>
      </w:r>
      <w:proofErr w:type="spellEnd"/>
      <w:r w:rsidRPr="00CB285E">
        <w:rPr>
          <w:sz w:val="22"/>
          <w:szCs w:val="22"/>
        </w:rPr>
        <w:t xml:space="preserve"> – lasy”.  Zgodnie z art. 37a ust. 1 pkt 1 ustawy z dnia 28 września 1991 r. o lasach, Skarbowi Państwa, reprezentowanemu przez Lasy Państwowe, przysługuje z mocy prawa prawo pierwokupu tego gruntu. Przeznaczenie nieruchomości do innego niż leśny, sposobu użytkowania, wymaga uzyskania decyzji zezwalającej na wyłączenie gruntu z produkcji leśnej. Procedura wydania takiej decyzji prowadzona jest na warunkach określonych w ustawie z dnia 3 lutego 1995 r. o ochronie gruntów rolnych i leśnych.</w:t>
      </w:r>
    </w:p>
    <w:p w:rsidR="00DC6A62" w:rsidRPr="00D2771F" w:rsidRDefault="00DC6A62" w:rsidP="00CB285E">
      <w:pPr>
        <w:pStyle w:val="Akapitzlist"/>
        <w:numPr>
          <w:ilvl w:val="0"/>
          <w:numId w:val="14"/>
        </w:numPr>
        <w:suppressAutoHyphens/>
        <w:jc w:val="both"/>
        <w:rPr>
          <w:color w:val="000000"/>
          <w:sz w:val="22"/>
          <w:szCs w:val="22"/>
          <w:lang w:eastAsia="zh-CN"/>
        </w:rPr>
      </w:pPr>
      <w:r w:rsidRPr="00CB285E">
        <w:rPr>
          <w:sz w:val="22"/>
          <w:szCs w:val="22"/>
        </w:rPr>
        <w:t>Przed przystąpieniem do przetargu jego uczestnik winien we własnym zakresie ustalić możliwość realizacji na nieruchomości planowanego prz</w:t>
      </w:r>
      <w:r w:rsidR="001B5091" w:rsidRPr="00CB285E">
        <w:rPr>
          <w:sz w:val="22"/>
          <w:szCs w:val="22"/>
        </w:rPr>
        <w:t xml:space="preserve">edsięwzięcia oraz jego zgodność </w:t>
      </w:r>
      <w:r w:rsidRPr="00CB285E">
        <w:rPr>
          <w:sz w:val="22"/>
          <w:szCs w:val="22"/>
        </w:rPr>
        <w:t>z przepisami odrębnymi.</w:t>
      </w:r>
    </w:p>
    <w:p w:rsidR="00D2771F" w:rsidRPr="00CB285E" w:rsidRDefault="00ED4667" w:rsidP="00D2771F">
      <w:pPr>
        <w:pStyle w:val="Akapitzlist"/>
        <w:suppressAutoHyphens/>
        <w:ind w:left="1068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  </w:t>
      </w:r>
    </w:p>
    <w:p w:rsidR="00F76F99" w:rsidRPr="001B5091" w:rsidRDefault="00F76F99" w:rsidP="00D2771F">
      <w:pPr>
        <w:pStyle w:val="Tekstpodstawowy"/>
        <w:numPr>
          <w:ilvl w:val="0"/>
          <w:numId w:val="7"/>
        </w:numPr>
        <w:spacing w:after="0"/>
        <w:jc w:val="both"/>
        <w:rPr>
          <w:b/>
          <w:sz w:val="22"/>
          <w:szCs w:val="22"/>
        </w:rPr>
      </w:pPr>
      <w:r w:rsidRPr="001B5091">
        <w:rPr>
          <w:rFonts w:cs="Tahoma"/>
          <w:sz w:val="22"/>
          <w:szCs w:val="22"/>
        </w:rPr>
        <w:t>Przetarg odbęd</w:t>
      </w:r>
      <w:r w:rsidR="00A71A00">
        <w:rPr>
          <w:rFonts w:cs="Tahoma"/>
          <w:sz w:val="22"/>
          <w:szCs w:val="22"/>
        </w:rPr>
        <w:t>zie</w:t>
      </w:r>
      <w:r w:rsidRPr="001B5091">
        <w:rPr>
          <w:rFonts w:cs="Tahoma"/>
          <w:sz w:val="22"/>
          <w:szCs w:val="22"/>
        </w:rPr>
        <w:t xml:space="preserve"> się w dniu </w:t>
      </w:r>
      <w:r w:rsidR="00CB285E">
        <w:rPr>
          <w:rFonts w:cs="Tahoma"/>
          <w:b/>
          <w:sz w:val="22"/>
          <w:szCs w:val="22"/>
          <w:u w:val="single"/>
        </w:rPr>
        <w:t>5 listopada</w:t>
      </w:r>
      <w:r w:rsidRPr="001B5091">
        <w:rPr>
          <w:rFonts w:cs="Tahoma"/>
          <w:b/>
          <w:sz w:val="22"/>
          <w:szCs w:val="22"/>
          <w:u w:val="single"/>
        </w:rPr>
        <w:t xml:space="preserve"> 202</w:t>
      </w:r>
      <w:r w:rsidR="00A71A00">
        <w:rPr>
          <w:rFonts w:cs="Tahoma"/>
          <w:b/>
          <w:sz w:val="22"/>
          <w:szCs w:val="22"/>
          <w:u w:val="single"/>
        </w:rPr>
        <w:t>4</w:t>
      </w:r>
      <w:r w:rsidRPr="001B5091">
        <w:rPr>
          <w:rFonts w:cs="Tahoma"/>
          <w:b/>
          <w:sz w:val="22"/>
          <w:szCs w:val="22"/>
          <w:u w:val="single"/>
        </w:rPr>
        <w:t>r.</w:t>
      </w:r>
      <w:r w:rsidRPr="001B5091">
        <w:rPr>
          <w:rFonts w:cs="Tahoma"/>
          <w:sz w:val="22"/>
          <w:szCs w:val="22"/>
        </w:rPr>
        <w:t xml:space="preserve"> o godzinie</w:t>
      </w:r>
      <w:r w:rsidR="006F2BA6">
        <w:rPr>
          <w:rFonts w:cs="Tahoma"/>
          <w:sz w:val="22"/>
          <w:szCs w:val="22"/>
        </w:rPr>
        <w:t xml:space="preserve"> </w:t>
      </w:r>
      <w:r w:rsidR="00D83837">
        <w:rPr>
          <w:rFonts w:cs="Tahoma"/>
          <w:sz w:val="22"/>
          <w:szCs w:val="22"/>
        </w:rPr>
        <w:t>1</w:t>
      </w:r>
      <w:r w:rsidR="00CB285E">
        <w:rPr>
          <w:rFonts w:cs="Tahoma"/>
          <w:sz w:val="22"/>
          <w:szCs w:val="22"/>
        </w:rPr>
        <w:t>2</w:t>
      </w:r>
      <w:r w:rsidR="006F2BA6" w:rsidRPr="006F2BA6">
        <w:rPr>
          <w:rFonts w:cs="Tahoma"/>
          <w:sz w:val="22"/>
          <w:szCs w:val="22"/>
          <w:u w:val="single"/>
          <w:vertAlign w:val="superscript"/>
        </w:rPr>
        <w:t>00</w:t>
      </w:r>
      <w:r w:rsidRPr="001B5091">
        <w:rPr>
          <w:rFonts w:cs="Tahoma"/>
          <w:sz w:val="22"/>
          <w:szCs w:val="22"/>
        </w:rPr>
        <w:t>, w siedzibie Wydziału Gospodarki Nieruchomościami, ulica Grudziądzka 126 b w sali konferencyjnej na I</w:t>
      </w:r>
      <w:r w:rsidR="00701CCA">
        <w:rPr>
          <w:rFonts w:cs="Tahoma"/>
          <w:sz w:val="22"/>
          <w:szCs w:val="22"/>
        </w:rPr>
        <w:t>I</w:t>
      </w:r>
      <w:r w:rsidRPr="001B5091">
        <w:rPr>
          <w:rFonts w:cs="Tahoma"/>
          <w:sz w:val="22"/>
          <w:szCs w:val="22"/>
        </w:rPr>
        <w:t xml:space="preserve"> piętrze, pok. </w:t>
      </w:r>
      <w:r w:rsidR="00701CCA">
        <w:rPr>
          <w:rFonts w:cs="Tahoma"/>
          <w:sz w:val="22"/>
          <w:szCs w:val="22"/>
        </w:rPr>
        <w:t>213</w:t>
      </w:r>
      <w:r w:rsidRPr="001B5091">
        <w:rPr>
          <w:rFonts w:cs="Tahoma"/>
          <w:sz w:val="22"/>
          <w:szCs w:val="22"/>
        </w:rPr>
        <w:t>.</w:t>
      </w:r>
    </w:p>
    <w:p w:rsidR="00F76F99" w:rsidRPr="001B5091" w:rsidRDefault="00F76F99" w:rsidP="00D2771F">
      <w:pPr>
        <w:pStyle w:val="Tekstpodstawowy"/>
        <w:widowControl/>
        <w:numPr>
          <w:ilvl w:val="0"/>
          <w:numId w:val="7"/>
        </w:numPr>
        <w:tabs>
          <w:tab w:val="left" w:pos="435"/>
        </w:tabs>
        <w:spacing w:after="0"/>
        <w:jc w:val="both"/>
        <w:rPr>
          <w:rFonts w:eastAsia="Times New Roman"/>
          <w:sz w:val="22"/>
          <w:szCs w:val="22"/>
        </w:rPr>
      </w:pPr>
      <w:r w:rsidRPr="001B5091">
        <w:rPr>
          <w:rFonts w:cs="Tahoma"/>
          <w:sz w:val="22"/>
          <w:szCs w:val="22"/>
          <w:lang w:bidi="pl-PL"/>
        </w:rPr>
        <w:t>W przetarg</w:t>
      </w:r>
      <w:r w:rsidR="00D83837">
        <w:rPr>
          <w:rFonts w:cs="Tahoma"/>
          <w:sz w:val="22"/>
          <w:szCs w:val="22"/>
          <w:lang w:bidi="pl-PL"/>
        </w:rPr>
        <w:t>u</w:t>
      </w:r>
      <w:r w:rsidRPr="001B5091">
        <w:rPr>
          <w:rFonts w:cs="Tahoma"/>
          <w:sz w:val="22"/>
          <w:szCs w:val="22"/>
          <w:lang w:bidi="pl-PL"/>
        </w:rPr>
        <w:t xml:space="preserve"> mogą wziąć udział osoby fizyczne i prawne, jeżeli wpłacą wad</w:t>
      </w:r>
      <w:r w:rsidR="00D83837">
        <w:rPr>
          <w:rFonts w:cs="Tahoma"/>
          <w:sz w:val="22"/>
          <w:szCs w:val="22"/>
          <w:lang w:bidi="pl-PL"/>
        </w:rPr>
        <w:t>ium</w:t>
      </w:r>
      <w:r w:rsidRPr="001B5091">
        <w:rPr>
          <w:rFonts w:cs="Tahoma"/>
          <w:sz w:val="22"/>
          <w:szCs w:val="22"/>
          <w:lang w:bidi="pl-PL"/>
        </w:rPr>
        <w:t xml:space="preserve"> w formie przelewu na konto Urzędu Miasta Torunia BANK MILLENNIUM S.A. O/Toruń nr  62 1160 2202 0000 0003 3943 1400  w terminie do</w:t>
      </w:r>
      <w:r w:rsidRPr="001B5091">
        <w:rPr>
          <w:rFonts w:cs="Tahoma"/>
          <w:b/>
          <w:bCs/>
          <w:sz w:val="22"/>
          <w:szCs w:val="22"/>
          <w:lang w:bidi="pl-PL"/>
        </w:rPr>
        <w:t xml:space="preserve"> </w:t>
      </w:r>
      <w:r w:rsidR="00CB285E">
        <w:rPr>
          <w:rFonts w:cs="Tahoma"/>
          <w:b/>
          <w:bCs/>
          <w:sz w:val="22"/>
          <w:szCs w:val="22"/>
          <w:u w:val="single"/>
          <w:lang w:bidi="pl-PL"/>
        </w:rPr>
        <w:t>30</w:t>
      </w:r>
      <w:r w:rsidRPr="001B5091">
        <w:rPr>
          <w:rFonts w:cs="Tahoma"/>
          <w:b/>
          <w:bCs/>
          <w:sz w:val="22"/>
          <w:szCs w:val="22"/>
          <w:u w:val="single"/>
          <w:lang w:bidi="pl-PL"/>
        </w:rPr>
        <w:t xml:space="preserve"> </w:t>
      </w:r>
      <w:r w:rsidR="00701CCA">
        <w:rPr>
          <w:rFonts w:cs="Tahoma"/>
          <w:b/>
          <w:bCs/>
          <w:sz w:val="22"/>
          <w:szCs w:val="22"/>
          <w:u w:val="single"/>
          <w:lang w:bidi="pl-PL"/>
        </w:rPr>
        <w:t>października</w:t>
      </w:r>
      <w:r w:rsidRPr="001B5091">
        <w:rPr>
          <w:rFonts w:cs="Tahoma"/>
          <w:b/>
          <w:bCs/>
          <w:sz w:val="22"/>
          <w:szCs w:val="22"/>
          <w:u w:val="single"/>
          <w:lang w:bidi="pl-PL"/>
        </w:rPr>
        <w:t xml:space="preserve"> 202</w:t>
      </w:r>
      <w:r w:rsidR="00D83837">
        <w:rPr>
          <w:rFonts w:cs="Tahoma"/>
          <w:b/>
          <w:bCs/>
          <w:sz w:val="22"/>
          <w:szCs w:val="22"/>
          <w:u w:val="single"/>
          <w:lang w:bidi="pl-PL"/>
        </w:rPr>
        <w:t>4</w:t>
      </w:r>
      <w:r w:rsidRPr="001B5091">
        <w:rPr>
          <w:rFonts w:cs="Tahoma"/>
          <w:b/>
          <w:bCs/>
          <w:sz w:val="22"/>
          <w:szCs w:val="22"/>
          <w:u w:val="single"/>
          <w:lang w:bidi="pl-PL"/>
        </w:rPr>
        <w:t>r</w:t>
      </w:r>
      <w:r w:rsidRPr="001B5091">
        <w:rPr>
          <w:rFonts w:cs="Tahoma"/>
          <w:b/>
          <w:bCs/>
          <w:sz w:val="22"/>
          <w:szCs w:val="22"/>
          <w:lang w:bidi="pl-PL"/>
        </w:rPr>
        <w:t>.</w:t>
      </w:r>
      <w:r w:rsidRPr="001B5091">
        <w:rPr>
          <w:rFonts w:cs="Tahoma"/>
          <w:sz w:val="22"/>
          <w:szCs w:val="22"/>
          <w:lang w:bidi="pl-PL"/>
        </w:rPr>
        <w:t xml:space="preserve"> włącznie. Wpłacone wadium uprawnia do uczestnictwa w przetargu, którego dotyczy. </w:t>
      </w:r>
    </w:p>
    <w:p w:rsidR="00F76F99" w:rsidRPr="001B5091" w:rsidRDefault="00F76F99" w:rsidP="00D2771F">
      <w:pPr>
        <w:pStyle w:val="Tekstpodstawowy"/>
        <w:widowControl/>
        <w:numPr>
          <w:ilvl w:val="0"/>
          <w:numId w:val="7"/>
        </w:numPr>
        <w:tabs>
          <w:tab w:val="left" w:pos="435"/>
        </w:tabs>
        <w:spacing w:after="0"/>
        <w:jc w:val="both"/>
        <w:rPr>
          <w:rFonts w:eastAsia="Times New Roman"/>
          <w:sz w:val="22"/>
          <w:szCs w:val="22"/>
        </w:rPr>
      </w:pPr>
      <w:r w:rsidRPr="001B5091">
        <w:rPr>
          <w:rFonts w:cs="Tahoma"/>
          <w:sz w:val="22"/>
          <w:szCs w:val="22"/>
          <w:lang w:bidi="pl-PL"/>
        </w:rPr>
        <w:t>Za termin wpłaty wadium uznaje się dzień wpływu środków pieniężnych na wskazane wyżej konto Gminy Miasta Toruń.</w:t>
      </w:r>
    </w:p>
    <w:p w:rsidR="00F76F99" w:rsidRPr="001B5091" w:rsidRDefault="00F76F99" w:rsidP="00D2771F">
      <w:pPr>
        <w:pStyle w:val="Tekstpodstawowy"/>
        <w:widowControl/>
        <w:numPr>
          <w:ilvl w:val="0"/>
          <w:numId w:val="7"/>
        </w:numPr>
        <w:tabs>
          <w:tab w:val="left" w:pos="435"/>
        </w:tabs>
        <w:spacing w:after="0"/>
        <w:jc w:val="both"/>
        <w:rPr>
          <w:rFonts w:eastAsia="Times New Roman"/>
          <w:sz w:val="22"/>
          <w:szCs w:val="22"/>
        </w:rPr>
      </w:pPr>
      <w:r w:rsidRPr="001B5091">
        <w:rPr>
          <w:rFonts w:cs="Tahoma"/>
          <w:sz w:val="22"/>
          <w:szCs w:val="22"/>
          <w:lang w:bidi="pl-PL"/>
        </w:rPr>
        <w:t>Oznaczenie działki, do licytacji której uczestnik przetargu zamierza przystąpić musi być jednoznacznie i wyraźnie określone na przelewie.</w:t>
      </w:r>
    </w:p>
    <w:p w:rsidR="00F76F99" w:rsidRPr="00D2771F" w:rsidRDefault="00F76F99" w:rsidP="00D2771F">
      <w:pPr>
        <w:pStyle w:val="Tekstpodstawowy"/>
        <w:widowControl/>
        <w:numPr>
          <w:ilvl w:val="0"/>
          <w:numId w:val="7"/>
        </w:numPr>
        <w:tabs>
          <w:tab w:val="left" w:pos="435"/>
        </w:tabs>
        <w:spacing w:after="0"/>
        <w:jc w:val="both"/>
        <w:rPr>
          <w:rFonts w:eastAsia="Times New Roman"/>
          <w:sz w:val="22"/>
          <w:szCs w:val="22"/>
        </w:rPr>
      </w:pPr>
      <w:r w:rsidRPr="001B5091">
        <w:rPr>
          <w:rFonts w:eastAsia="HG Mincho Light J"/>
          <w:color w:val="000000"/>
          <w:sz w:val="22"/>
          <w:szCs w:val="22"/>
        </w:rPr>
        <w:t xml:space="preserve">Wadium wpłacone przez uczestnika, który przetarg wygrał zalicza się na poczet ceny sprzedaży. </w:t>
      </w:r>
      <w:r w:rsidRPr="001B5091">
        <w:rPr>
          <w:rFonts w:eastAsia="Times New Roman"/>
          <w:sz w:val="22"/>
          <w:szCs w:val="22"/>
        </w:rPr>
        <w:t xml:space="preserve">Jeżeli zwycięzca przetargu nie przystąpi bez usprawiedliwienia do zawarcia umowy w miejscu i terminie podanych w zawiadomieniu.  Prezydent Miasta Torunia może odstąpić od zawarcia umowy. Wpłacone wadium w takim przypadku ulega przepadkowi. Umowa sprzedaży nieruchomości w formie aktu notarialnego winna być zawarta najpóźniej w terminie </w:t>
      </w:r>
      <w:r w:rsidR="00D2771F">
        <w:rPr>
          <w:rFonts w:eastAsia="Times New Roman"/>
          <w:sz w:val="22"/>
          <w:szCs w:val="22"/>
        </w:rPr>
        <w:t>do 31 grudnia 2024r.</w:t>
      </w:r>
      <w:r w:rsidR="00D2771F" w:rsidRPr="00D2771F">
        <w:rPr>
          <w:color w:val="000000"/>
          <w:szCs w:val="24"/>
        </w:rPr>
        <w:t xml:space="preserve"> </w:t>
      </w:r>
      <w:r w:rsidR="00D2771F" w:rsidRPr="00D2771F">
        <w:rPr>
          <w:color w:val="000000"/>
          <w:sz w:val="22"/>
          <w:szCs w:val="22"/>
        </w:rPr>
        <w:t>przy czym nie wcześniej niż po upływie terminu, w którym może być wykonane przez Skarb Państwa prawo pierwokupu. Termin zawarcia umowy warunkowej: do dnia  15 listopada 2024r.</w:t>
      </w:r>
    </w:p>
    <w:p w:rsidR="00F76F99" w:rsidRPr="00D2771F" w:rsidRDefault="00F76F99" w:rsidP="00D2771F">
      <w:pPr>
        <w:pStyle w:val="Tekstpodstawowy"/>
        <w:widowControl/>
        <w:numPr>
          <w:ilvl w:val="0"/>
          <w:numId w:val="7"/>
        </w:numPr>
        <w:tabs>
          <w:tab w:val="left" w:pos="435"/>
        </w:tabs>
        <w:spacing w:after="0"/>
        <w:jc w:val="both"/>
        <w:rPr>
          <w:rFonts w:eastAsia="Times New Roman"/>
          <w:sz w:val="22"/>
          <w:szCs w:val="22"/>
        </w:rPr>
      </w:pPr>
      <w:r w:rsidRPr="001B5091">
        <w:rPr>
          <w:sz w:val="22"/>
          <w:szCs w:val="22"/>
        </w:rPr>
        <w:t>Minimalne postąpienie wynosi nie mniej niż 1% ceny wywoławczej z zaokrągleniem w górę do pełnych dziesiątek złotych.</w:t>
      </w:r>
    </w:p>
    <w:p w:rsidR="00F76F99" w:rsidRPr="00D2771F" w:rsidRDefault="00F76F99" w:rsidP="00D2771F">
      <w:pPr>
        <w:pStyle w:val="Tekstpodstawowy"/>
        <w:widowControl/>
        <w:numPr>
          <w:ilvl w:val="0"/>
          <w:numId w:val="7"/>
        </w:numPr>
        <w:tabs>
          <w:tab w:val="left" w:pos="435"/>
          <w:tab w:val="left" w:pos="709"/>
          <w:tab w:val="left" w:pos="851"/>
        </w:tabs>
        <w:spacing w:after="0"/>
        <w:jc w:val="both"/>
        <w:rPr>
          <w:rFonts w:eastAsia="Times New Roman"/>
          <w:sz w:val="22"/>
          <w:szCs w:val="22"/>
        </w:rPr>
      </w:pPr>
      <w:r w:rsidRPr="00D2771F">
        <w:rPr>
          <w:sz w:val="22"/>
          <w:szCs w:val="22"/>
        </w:rPr>
        <w:t>Ogłoszenie o przetarg</w:t>
      </w:r>
      <w:r w:rsidR="00D83837" w:rsidRPr="00D2771F">
        <w:rPr>
          <w:sz w:val="22"/>
          <w:szCs w:val="22"/>
        </w:rPr>
        <w:t>u</w:t>
      </w:r>
      <w:r w:rsidRPr="00D2771F">
        <w:rPr>
          <w:sz w:val="22"/>
          <w:szCs w:val="22"/>
        </w:rPr>
        <w:t xml:space="preserve"> zostało zamieszczone na stronach internetowych  Urzędu Miasta Torunia i na tablicy ogłoszeń Wydziału Gospodarki Nieruchomościami.</w:t>
      </w:r>
    </w:p>
    <w:p w:rsidR="000B7F4E" w:rsidRPr="00D83837" w:rsidRDefault="00701CCA" w:rsidP="00D2771F">
      <w:pPr>
        <w:pStyle w:val="Akapitzlist"/>
        <w:tabs>
          <w:tab w:val="left" w:pos="360"/>
        </w:tabs>
        <w:spacing w:line="276" w:lineRule="auto"/>
        <w:jc w:val="both"/>
        <w:rPr>
          <w:rFonts w:cs="Tahoma"/>
          <w:b/>
          <w:sz w:val="22"/>
          <w:szCs w:val="22"/>
          <w:lang w:bidi="pl-PL"/>
        </w:rPr>
      </w:pPr>
      <w:r>
        <w:rPr>
          <w:rFonts w:cs="Tahoma"/>
          <w:b/>
          <w:sz w:val="22"/>
          <w:szCs w:val="22"/>
          <w:lang w:bidi="pl-PL"/>
        </w:rPr>
        <w:t>KONTAKT: Regulamin przetargu</w:t>
      </w:r>
      <w:r w:rsidR="00F76F99" w:rsidRPr="001B5091">
        <w:rPr>
          <w:rFonts w:cs="Tahoma"/>
          <w:b/>
          <w:sz w:val="22"/>
          <w:szCs w:val="22"/>
          <w:lang w:bidi="pl-PL"/>
        </w:rPr>
        <w:t xml:space="preserve"> i szczegółowe informacje można otrzymać pod adresem Wydział Gospodarki Nieruchomościami Urzędu Miasta Torunia, ul. Grudziądzka 126 b, pok. 225, tel. (0-56) 61-18-401 oraz na </w:t>
      </w:r>
      <w:hyperlink r:id="rId6" w:history="1">
        <w:r w:rsidR="00F76F99" w:rsidRPr="001B5091">
          <w:rPr>
            <w:rStyle w:val="Hipercze"/>
            <w:sz w:val="22"/>
            <w:szCs w:val="22"/>
          </w:rPr>
          <w:t>www.bip.torun.pl</w:t>
        </w:r>
      </w:hyperlink>
      <w:r w:rsidR="00F76F99" w:rsidRPr="001B5091">
        <w:rPr>
          <w:rFonts w:cs="Tahoma"/>
          <w:b/>
          <w:sz w:val="22"/>
          <w:szCs w:val="22"/>
          <w:lang w:bidi="pl-PL"/>
        </w:rPr>
        <w:t xml:space="preserve"> – w zakładce: „nieruchomości”</w:t>
      </w:r>
      <w:r w:rsidR="00D83837">
        <w:rPr>
          <w:rFonts w:cs="Tahoma"/>
          <w:b/>
          <w:sz w:val="22"/>
          <w:szCs w:val="22"/>
          <w:lang w:bidi="pl-PL"/>
        </w:rPr>
        <w:t>.</w:t>
      </w:r>
    </w:p>
    <w:sectPr w:rsidR="000B7F4E" w:rsidRPr="00D83837" w:rsidSect="00B47E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CA8"/>
    <w:multiLevelType w:val="hybridMultilevel"/>
    <w:tmpl w:val="D4BCDCD4"/>
    <w:lvl w:ilvl="0" w:tplc="5D52AF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9427D7"/>
    <w:multiLevelType w:val="hybridMultilevel"/>
    <w:tmpl w:val="A33837A2"/>
    <w:lvl w:ilvl="0" w:tplc="B6546C56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E03"/>
    <w:multiLevelType w:val="hybridMultilevel"/>
    <w:tmpl w:val="E05A6B7E"/>
    <w:lvl w:ilvl="0" w:tplc="172AF26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9F7E0E"/>
    <w:multiLevelType w:val="hybridMultilevel"/>
    <w:tmpl w:val="5582F440"/>
    <w:lvl w:ilvl="0" w:tplc="B658D1F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B83918"/>
    <w:multiLevelType w:val="hybridMultilevel"/>
    <w:tmpl w:val="31563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C03F3"/>
    <w:multiLevelType w:val="hybridMultilevel"/>
    <w:tmpl w:val="6066B93C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3EA74369"/>
    <w:multiLevelType w:val="hybridMultilevel"/>
    <w:tmpl w:val="2E76E936"/>
    <w:lvl w:ilvl="0" w:tplc="1BB2E3FE">
      <w:start w:val="2"/>
      <w:numFmt w:val="decimal"/>
      <w:lvlText w:val="%1."/>
      <w:lvlJc w:val="left"/>
      <w:pPr>
        <w:ind w:left="107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2624A8D"/>
    <w:multiLevelType w:val="hybridMultilevel"/>
    <w:tmpl w:val="305207D4"/>
    <w:lvl w:ilvl="0" w:tplc="029A4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3334AE"/>
    <w:multiLevelType w:val="hybridMultilevel"/>
    <w:tmpl w:val="0D48D252"/>
    <w:lvl w:ilvl="0" w:tplc="A5E24B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90208D"/>
    <w:multiLevelType w:val="hybridMultilevel"/>
    <w:tmpl w:val="1568B962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075802"/>
    <w:multiLevelType w:val="hybridMultilevel"/>
    <w:tmpl w:val="3CFE2E02"/>
    <w:lvl w:ilvl="0" w:tplc="04150015">
      <w:start w:val="1"/>
      <w:numFmt w:val="upperLetter"/>
      <w:lvlText w:val="%1."/>
      <w:lvlJc w:val="left"/>
      <w:pPr>
        <w:ind w:left="731" w:hanging="360"/>
      </w:p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59BCE99E">
      <w:start w:val="6"/>
      <w:numFmt w:val="decimal"/>
      <w:lvlText w:val="%3."/>
      <w:lvlJc w:val="left"/>
      <w:pPr>
        <w:ind w:left="2351" w:hanging="360"/>
      </w:pPr>
      <w:rPr>
        <w:rFonts w:eastAsia="Lucida Sans Unicode" w:hint="default"/>
      </w:r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74C90E32"/>
    <w:multiLevelType w:val="hybridMultilevel"/>
    <w:tmpl w:val="7298D280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8187A04"/>
    <w:multiLevelType w:val="hybridMultilevel"/>
    <w:tmpl w:val="D594086E"/>
    <w:lvl w:ilvl="0" w:tplc="3E965560">
      <w:start w:val="1"/>
      <w:numFmt w:val="decimal"/>
      <w:lvlText w:val="%1."/>
      <w:lvlJc w:val="left"/>
      <w:pPr>
        <w:ind w:left="371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A9"/>
    <w:rsid w:val="00053C9A"/>
    <w:rsid w:val="000B7F4E"/>
    <w:rsid w:val="001B5091"/>
    <w:rsid w:val="00200D6E"/>
    <w:rsid w:val="0022359D"/>
    <w:rsid w:val="004215F7"/>
    <w:rsid w:val="004576DC"/>
    <w:rsid w:val="004A4DA9"/>
    <w:rsid w:val="006F2BA6"/>
    <w:rsid w:val="00701CCA"/>
    <w:rsid w:val="007328EF"/>
    <w:rsid w:val="00A71A00"/>
    <w:rsid w:val="00B23CBF"/>
    <w:rsid w:val="00C556BC"/>
    <w:rsid w:val="00CB285E"/>
    <w:rsid w:val="00D2771F"/>
    <w:rsid w:val="00D83837"/>
    <w:rsid w:val="00DC6A62"/>
    <w:rsid w:val="00E7775C"/>
    <w:rsid w:val="00ED4667"/>
    <w:rsid w:val="00F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08AC"/>
  <w15:chartTrackingRefBased/>
  <w15:docId w15:val="{407339FE-3DAA-4D98-AD6F-5B13FBE8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F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76F9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6F99"/>
    <w:pPr>
      <w:widowControl/>
      <w:suppressAutoHyphens w:val="0"/>
      <w:spacing w:before="100" w:beforeAutospacing="1" w:after="142" w:line="288" w:lineRule="auto"/>
    </w:pPr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76F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6F99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WW-Tytu">
    <w:name w:val="WW-Tytuł"/>
    <w:basedOn w:val="Normalny"/>
    <w:next w:val="Tekstpodstawowy"/>
    <w:uiPriority w:val="99"/>
    <w:semiHidden/>
    <w:rsid w:val="00F76F99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Zawartotabeli11">
    <w:name w:val="WW-Zawartość tabeli11"/>
    <w:basedOn w:val="Tekstpodstawowy"/>
    <w:uiPriority w:val="99"/>
    <w:rsid w:val="00F76F99"/>
    <w:pPr>
      <w:suppressLineNumbers/>
    </w:pPr>
  </w:style>
  <w:style w:type="paragraph" w:customStyle="1" w:styleId="Zawartotabeli">
    <w:name w:val="Zawarto?? tabeli"/>
    <w:basedOn w:val="Normalny"/>
    <w:uiPriority w:val="99"/>
    <w:rsid w:val="00F76F99"/>
    <w:pPr>
      <w:suppressLineNumbers/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Tekstpodstawowy31">
    <w:name w:val="Tekst podstawowy 31"/>
    <w:basedOn w:val="Normalny"/>
    <w:uiPriority w:val="99"/>
    <w:rsid w:val="00F76F99"/>
    <w:pPr>
      <w:ind w:right="-69"/>
      <w:jc w:val="both"/>
    </w:pPr>
    <w:rPr>
      <w:b/>
      <w:kern w:val="2"/>
      <w:szCs w:val="24"/>
    </w:rPr>
  </w:style>
  <w:style w:type="paragraph" w:styleId="Akapitzlist">
    <w:name w:val="List Paragraph"/>
    <w:basedOn w:val="Normalny"/>
    <w:uiPriority w:val="34"/>
    <w:qFormat/>
    <w:rsid w:val="00DC6A62"/>
    <w:pPr>
      <w:widowControl/>
      <w:suppressAutoHyphens w:val="0"/>
      <w:ind w:left="720"/>
      <w:contextualSpacing/>
    </w:pPr>
    <w:rPr>
      <w:rFonts w:eastAsia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0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091"/>
    <w:rPr>
      <w:rFonts w:ascii="Segoe UI" w:eastAsia="Lucida Sans Unicode" w:hAnsi="Segoe UI" w:cs="Segoe UI"/>
      <w:sz w:val="18"/>
      <w:szCs w:val="18"/>
      <w:lang w:eastAsia="pl-PL"/>
    </w:rPr>
  </w:style>
  <w:style w:type="paragraph" w:customStyle="1" w:styleId="WW-Zawartotabeli111">
    <w:name w:val="WW-Zawarto?? tabeli111"/>
    <w:basedOn w:val="Tekstpodstawowy"/>
    <w:rsid w:val="00B23CBF"/>
    <w:pPr>
      <w:suppressLineNumbers/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b">
    <w:name w:val="b"/>
    <w:basedOn w:val="Domylnaczcionkaakapitu"/>
    <w:rsid w:val="00B2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oru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F95A-FEEE-4901-97B8-8BC4D634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i.wieckowska</cp:lastModifiedBy>
  <cp:revision>4</cp:revision>
  <cp:lastPrinted>2024-08-06T13:28:00Z</cp:lastPrinted>
  <dcterms:created xsi:type="dcterms:W3CDTF">2024-08-06T10:34:00Z</dcterms:created>
  <dcterms:modified xsi:type="dcterms:W3CDTF">2024-08-06T13:33:00Z</dcterms:modified>
</cp:coreProperties>
</file>