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E" w:rsidRDefault="005B639E" w:rsidP="005B639E">
      <w:pPr>
        <w:spacing w:line="360" w:lineRule="auto"/>
        <w:jc w:val="center"/>
        <w:rPr>
          <w:b/>
          <w:sz w:val="24"/>
          <w:szCs w:val="24"/>
        </w:rPr>
      </w:pPr>
      <w:r>
        <w:rPr>
          <w:b/>
          <w:sz w:val="24"/>
          <w:szCs w:val="24"/>
        </w:rPr>
        <w:t xml:space="preserve">ZARZĄDZENIE NR </w:t>
      </w:r>
      <w:r w:rsidR="00AF2A24">
        <w:rPr>
          <w:b/>
          <w:sz w:val="24"/>
          <w:szCs w:val="24"/>
        </w:rPr>
        <w:t>168</w:t>
      </w:r>
    </w:p>
    <w:p w:rsidR="005B639E" w:rsidRDefault="005B639E" w:rsidP="005B639E">
      <w:pPr>
        <w:spacing w:line="360" w:lineRule="auto"/>
        <w:jc w:val="center"/>
        <w:rPr>
          <w:b/>
          <w:sz w:val="24"/>
          <w:szCs w:val="24"/>
        </w:rPr>
      </w:pPr>
      <w:r>
        <w:rPr>
          <w:b/>
          <w:sz w:val="24"/>
          <w:szCs w:val="24"/>
        </w:rPr>
        <w:t>PREZYDENTA MIASTA TORUNIA</w:t>
      </w:r>
    </w:p>
    <w:p w:rsidR="005B639E" w:rsidRDefault="005B639E" w:rsidP="005B639E">
      <w:pPr>
        <w:spacing w:line="360" w:lineRule="auto"/>
        <w:jc w:val="center"/>
        <w:rPr>
          <w:b/>
          <w:sz w:val="24"/>
          <w:szCs w:val="24"/>
        </w:rPr>
      </w:pPr>
      <w:r>
        <w:rPr>
          <w:b/>
          <w:sz w:val="24"/>
          <w:szCs w:val="24"/>
        </w:rPr>
        <w:t xml:space="preserve">z dnia  </w:t>
      </w:r>
      <w:r w:rsidR="00AF2A24">
        <w:rPr>
          <w:b/>
          <w:sz w:val="24"/>
          <w:szCs w:val="24"/>
        </w:rPr>
        <w:t>12 lipca 2024r.</w:t>
      </w:r>
    </w:p>
    <w:p w:rsidR="005B639E" w:rsidRDefault="005B639E" w:rsidP="005B639E">
      <w:pPr>
        <w:jc w:val="both"/>
        <w:rPr>
          <w:sz w:val="24"/>
          <w:szCs w:val="24"/>
        </w:rPr>
      </w:pPr>
      <w:r>
        <w:rPr>
          <w:sz w:val="24"/>
          <w:szCs w:val="24"/>
        </w:rPr>
        <w:t xml:space="preserve">   </w:t>
      </w:r>
    </w:p>
    <w:p w:rsidR="005B639E" w:rsidRDefault="005B639E" w:rsidP="005B639E">
      <w:pPr>
        <w:jc w:val="both"/>
        <w:rPr>
          <w:b/>
          <w:sz w:val="24"/>
          <w:szCs w:val="24"/>
        </w:rPr>
      </w:pPr>
      <w:r>
        <w:rPr>
          <w:b/>
          <w:sz w:val="24"/>
          <w:szCs w:val="24"/>
        </w:rPr>
        <w:t>w sprawie ustalenia regulaminu pierwszego przetargu ustnego nieograniczonego</w:t>
      </w:r>
      <w:r w:rsidR="00613830">
        <w:rPr>
          <w:b/>
          <w:sz w:val="24"/>
          <w:szCs w:val="24"/>
        </w:rPr>
        <w:br/>
      </w:r>
      <w:r>
        <w:rPr>
          <w:b/>
          <w:sz w:val="24"/>
          <w:szCs w:val="24"/>
        </w:rPr>
        <w:t>na sprzedaż nieruchomości  gruntowych niezabudowanych, stanowiących własność Gminy Miasta Toruń, położonych w Toruniu przy ul. Przelot 24-26 oraz powołania Komisji do przeprowadzenia  przetarg</w:t>
      </w:r>
      <w:r w:rsidR="00F753EB">
        <w:rPr>
          <w:b/>
          <w:sz w:val="24"/>
          <w:szCs w:val="24"/>
        </w:rPr>
        <w:t>u</w:t>
      </w:r>
      <w:r>
        <w:rPr>
          <w:b/>
          <w:sz w:val="24"/>
          <w:szCs w:val="24"/>
        </w:rPr>
        <w:t>.</w:t>
      </w:r>
    </w:p>
    <w:p w:rsidR="005B639E" w:rsidRDefault="005B639E" w:rsidP="005B639E">
      <w:pPr>
        <w:spacing w:line="360" w:lineRule="auto"/>
        <w:jc w:val="both"/>
        <w:rPr>
          <w:sz w:val="24"/>
          <w:szCs w:val="24"/>
        </w:rPr>
      </w:pPr>
    </w:p>
    <w:p w:rsidR="005B639E" w:rsidRDefault="005B639E" w:rsidP="005B639E">
      <w:pPr>
        <w:pStyle w:val="Tekstpodstawowy"/>
        <w:ind w:firstLine="708"/>
        <w:jc w:val="both"/>
        <w:rPr>
          <w:rFonts w:ascii="Times New Roman" w:hAnsi="Times New Roman"/>
          <w:szCs w:val="24"/>
        </w:rPr>
      </w:pPr>
      <w:r>
        <w:rPr>
          <w:rFonts w:ascii="Times New Roman" w:hAnsi="Times New Roman"/>
        </w:rPr>
        <w:t xml:space="preserve">Na  podstawie art. 30  ust. 1  ustawy  z  dnia  8  marca 1990 r. </w:t>
      </w:r>
      <w:r w:rsidR="00613830">
        <w:rPr>
          <w:rFonts w:ascii="Times New Roman" w:hAnsi="Times New Roman"/>
        </w:rPr>
        <w:t xml:space="preserve"> o samorządzie  gminnym (Dz. U. </w:t>
      </w:r>
      <w:r>
        <w:rPr>
          <w:rFonts w:ascii="Times New Roman" w:hAnsi="Times New Roman"/>
        </w:rPr>
        <w:t>z 2024 r., poz. 609 ze zm.</w:t>
      </w:r>
      <w:r>
        <w:rPr>
          <w:rFonts w:ascii="Times New Roman" w:hAnsi="Times New Roman"/>
          <w:vertAlign w:val="superscript"/>
        </w:rPr>
        <w:t>1)</w:t>
      </w:r>
      <w:r>
        <w:rPr>
          <w:rFonts w:ascii="Times New Roman" w:hAnsi="Times New Roman"/>
        </w:rPr>
        <w:t xml:space="preserve">)  </w:t>
      </w:r>
      <w:r>
        <w:rPr>
          <w:rFonts w:ascii="Times New Roman" w:hAnsi="Times New Roman"/>
          <w:szCs w:val="24"/>
        </w:rPr>
        <w:t>oraz  Uchwały  Nr 595/09  Rady  Miasta  Tor</w:t>
      </w:r>
      <w:r w:rsidR="00613830">
        <w:rPr>
          <w:rFonts w:ascii="Times New Roman" w:hAnsi="Times New Roman"/>
          <w:szCs w:val="24"/>
        </w:rPr>
        <w:t xml:space="preserve">unia  z  dnia  9  lipca 2009 r. </w:t>
      </w:r>
      <w:r>
        <w:rPr>
          <w:rFonts w:ascii="Times New Roman" w:hAnsi="Times New Roman"/>
          <w:szCs w:val="24"/>
        </w:rPr>
        <w:t>w sprawie sprzedaży nieruchomości położonych przy ul. Przelot i Gminnej zarządza się, co następuje:</w:t>
      </w:r>
    </w:p>
    <w:p w:rsidR="005B639E" w:rsidRDefault="005B639E" w:rsidP="005B639E">
      <w:pPr>
        <w:spacing w:line="360" w:lineRule="auto"/>
        <w:jc w:val="both"/>
        <w:rPr>
          <w:sz w:val="24"/>
          <w:szCs w:val="24"/>
        </w:rPr>
      </w:pPr>
    </w:p>
    <w:p w:rsidR="005B639E" w:rsidRDefault="005B639E" w:rsidP="005B639E">
      <w:pPr>
        <w:pStyle w:val="Tekstpodstawowy"/>
        <w:ind w:firstLine="708"/>
        <w:jc w:val="both"/>
        <w:rPr>
          <w:rFonts w:ascii="Times New Roman" w:hAnsi="Times New Roman"/>
        </w:rPr>
      </w:pPr>
      <w:r>
        <w:rPr>
          <w:rFonts w:ascii="Times New Roman" w:hAnsi="Times New Roman"/>
          <w:b/>
          <w:szCs w:val="24"/>
        </w:rPr>
        <w:t>§1.</w:t>
      </w:r>
      <w:r>
        <w:rPr>
          <w:rFonts w:ascii="Times New Roman" w:hAnsi="Times New Roman"/>
          <w:szCs w:val="24"/>
        </w:rPr>
        <w:t xml:space="preserve"> </w:t>
      </w:r>
      <w:r>
        <w:rPr>
          <w:rFonts w:ascii="Times New Roman" w:hAnsi="Times New Roman"/>
        </w:rPr>
        <w:t>Powołać Komisję do przeprowadzenia pierwszego ust</w:t>
      </w:r>
      <w:r w:rsidR="00613830">
        <w:rPr>
          <w:rFonts w:ascii="Times New Roman" w:hAnsi="Times New Roman"/>
        </w:rPr>
        <w:t xml:space="preserve">nego przetargu nieograniczonego </w:t>
      </w:r>
      <w:r>
        <w:rPr>
          <w:rFonts w:ascii="Times New Roman" w:hAnsi="Times New Roman"/>
        </w:rPr>
        <w:t xml:space="preserve">na sprzedaż nieruchomości niezabudowanych, </w:t>
      </w:r>
      <w:r w:rsidR="00613830">
        <w:rPr>
          <w:rFonts w:ascii="Times New Roman" w:hAnsi="Times New Roman"/>
        </w:rPr>
        <w:t xml:space="preserve">będących własnością </w:t>
      </w:r>
      <w:r>
        <w:rPr>
          <w:rFonts w:ascii="Times New Roman" w:hAnsi="Times New Roman"/>
        </w:rPr>
        <w:t>Gminy Miasta Toruń położonych w Toruniu przy ul. Przelot 24-26, stanowiących działk</w:t>
      </w:r>
      <w:r w:rsidR="00613830">
        <w:rPr>
          <w:rFonts w:ascii="Times New Roman" w:hAnsi="Times New Roman"/>
        </w:rPr>
        <w:t>i</w:t>
      </w:r>
      <w:r>
        <w:rPr>
          <w:rFonts w:ascii="Times New Roman" w:hAnsi="Times New Roman"/>
        </w:rPr>
        <w:t xml:space="preserve"> geod.</w:t>
      </w:r>
      <w:r w:rsidR="00F753EB">
        <w:rPr>
          <w:rFonts w:ascii="Times New Roman" w:hAnsi="Times New Roman"/>
        </w:rPr>
        <w:br/>
      </w:r>
      <w:r>
        <w:rPr>
          <w:rFonts w:ascii="Times New Roman" w:hAnsi="Times New Roman"/>
        </w:rPr>
        <w:t>nr 90/</w:t>
      </w:r>
      <w:r w:rsidR="00613830">
        <w:rPr>
          <w:rFonts w:ascii="Times New Roman" w:hAnsi="Times New Roman"/>
        </w:rPr>
        <w:t>12</w:t>
      </w:r>
      <w:r>
        <w:rPr>
          <w:rFonts w:ascii="Times New Roman" w:hAnsi="Times New Roman"/>
        </w:rPr>
        <w:t xml:space="preserve"> zapisan</w:t>
      </w:r>
      <w:r w:rsidR="00613830">
        <w:rPr>
          <w:rFonts w:ascii="Times New Roman" w:hAnsi="Times New Roman"/>
        </w:rPr>
        <w:t xml:space="preserve">ą </w:t>
      </w:r>
      <w:r>
        <w:rPr>
          <w:rFonts w:ascii="Times New Roman" w:hAnsi="Times New Roman"/>
        </w:rPr>
        <w:t xml:space="preserve">w księdze wieczystej KW Nr TO1T/00051617/0, </w:t>
      </w:r>
      <w:r w:rsidR="00613830">
        <w:rPr>
          <w:rFonts w:ascii="Times New Roman" w:hAnsi="Times New Roman"/>
        </w:rPr>
        <w:t xml:space="preserve">nr 93/6 zapisaną w księdze wieczystej KW Nr TO1T/00063985/7 oraz nr 93/3, 176/9, 176/10 zapisane w księdze wieczystej KW Nr TO1T/00034467/8 w obrębie nr 54 o łącznej powierzchni 2,6176 ha </w:t>
      </w:r>
      <w:r>
        <w:rPr>
          <w:rFonts w:ascii="Times New Roman" w:hAnsi="Times New Roman"/>
        </w:rPr>
        <w:t>oraz powołania Komisji do przeprowadzenia przetarg</w:t>
      </w:r>
      <w:r w:rsidR="00F753EB">
        <w:rPr>
          <w:rFonts w:ascii="Times New Roman" w:hAnsi="Times New Roman"/>
        </w:rPr>
        <w:t>u</w:t>
      </w:r>
      <w:r>
        <w:rPr>
          <w:rFonts w:ascii="Times New Roman" w:hAnsi="Times New Roman"/>
          <w:lang w:bidi="pl-PL"/>
        </w:rPr>
        <w:t>,</w:t>
      </w:r>
      <w:r>
        <w:rPr>
          <w:rFonts w:ascii="Times New Roman" w:hAnsi="Times New Roman"/>
        </w:rPr>
        <w:t xml:space="preserve"> w następującym składzie:</w:t>
      </w:r>
    </w:p>
    <w:p w:rsidR="005B639E" w:rsidRDefault="005B639E" w:rsidP="005B639E">
      <w:pPr>
        <w:pStyle w:val="Tekstpodstawowy"/>
        <w:ind w:firstLine="708"/>
        <w:jc w:val="both"/>
        <w:rPr>
          <w:rFonts w:ascii="Times New Roman" w:hAnsi="Times New Roman"/>
        </w:rPr>
      </w:pPr>
    </w:p>
    <w:p w:rsidR="005B639E" w:rsidRDefault="005B639E" w:rsidP="005B639E">
      <w:pPr>
        <w:pStyle w:val="Tekstpodstawowy21"/>
        <w:numPr>
          <w:ilvl w:val="0"/>
          <w:numId w:val="1"/>
        </w:numPr>
        <w:spacing w:line="276" w:lineRule="auto"/>
        <w:jc w:val="left"/>
        <w:rPr>
          <w:b w:val="0"/>
        </w:rPr>
      </w:pPr>
      <w:r>
        <w:rPr>
          <w:b w:val="0"/>
        </w:rPr>
        <w:t>Przewodniczący Komisji   - Iwona Więckowska;</w:t>
      </w:r>
    </w:p>
    <w:p w:rsidR="005B639E" w:rsidRDefault="005B639E" w:rsidP="005B639E">
      <w:pPr>
        <w:pStyle w:val="Tekstpodstawowy21"/>
        <w:numPr>
          <w:ilvl w:val="0"/>
          <w:numId w:val="1"/>
        </w:numPr>
        <w:spacing w:line="276" w:lineRule="auto"/>
        <w:jc w:val="left"/>
        <w:rPr>
          <w:b w:val="0"/>
        </w:rPr>
      </w:pPr>
      <w:r>
        <w:rPr>
          <w:b w:val="0"/>
        </w:rPr>
        <w:t xml:space="preserve">Członek                              - Małgorzata Stępińska; </w:t>
      </w:r>
    </w:p>
    <w:p w:rsidR="005B639E" w:rsidRDefault="005B639E" w:rsidP="005B639E">
      <w:pPr>
        <w:pStyle w:val="Tekstpodstawowy21"/>
        <w:numPr>
          <w:ilvl w:val="0"/>
          <w:numId w:val="1"/>
        </w:numPr>
        <w:spacing w:line="276" w:lineRule="auto"/>
        <w:jc w:val="left"/>
        <w:rPr>
          <w:b w:val="0"/>
        </w:rPr>
      </w:pPr>
      <w:r>
        <w:rPr>
          <w:b w:val="0"/>
        </w:rPr>
        <w:t>Członek</w:t>
      </w:r>
      <w:r>
        <w:rPr>
          <w:b w:val="0"/>
        </w:rPr>
        <w:tab/>
      </w:r>
      <w:r>
        <w:rPr>
          <w:b w:val="0"/>
        </w:rPr>
        <w:tab/>
        <w:t xml:space="preserve">        - Robert Dąbrowski;</w:t>
      </w:r>
    </w:p>
    <w:p w:rsidR="005B639E" w:rsidRDefault="005B639E" w:rsidP="005B639E">
      <w:pPr>
        <w:pStyle w:val="Tekstpodstawowy21"/>
        <w:numPr>
          <w:ilvl w:val="0"/>
          <w:numId w:val="1"/>
        </w:numPr>
        <w:spacing w:line="276" w:lineRule="auto"/>
        <w:jc w:val="left"/>
        <w:rPr>
          <w:b w:val="0"/>
        </w:rPr>
      </w:pPr>
      <w:r>
        <w:rPr>
          <w:b w:val="0"/>
        </w:rPr>
        <w:t>Członek                              - Katarzyna Kierys.</w:t>
      </w:r>
    </w:p>
    <w:p w:rsidR="005B639E" w:rsidRDefault="005B639E" w:rsidP="005B639E">
      <w:pPr>
        <w:pStyle w:val="Tekstpodstawowy21"/>
        <w:spacing w:line="276" w:lineRule="auto"/>
        <w:ind w:left="735"/>
        <w:jc w:val="left"/>
        <w:rPr>
          <w:b w:val="0"/>
        </w:rPr>
      </w:pPr>
    </w:p>
    <w:p w:rsidR="005B639E" w:rsidRDefault="005B639E" w:rsidP="005B639E">
      <w:pPr>
        <w:tabs>
          <w:tab w:val="left" w:pos="283"/>
        </w:tabs>
        <w:spacing w:line="276" w:lineRule="auto"/>
        <w:jc w:val="both"/>
        <w:rPr>
          <w:sz w:val="24"/>
          <w:szCs w:val="24"/>
        </w:rPr>
      </w:pPr>
      <w:r>
        <w:rPr>
          <w:b/>
          <w:sz w:val="24"/>
          <w:szCs w:val="24"/>
        </w:rPr>
        <w:tab/>
      </w:r>
      <w:r>
        <w:rPr>
          <w:b/>
          <w:sz w:val="24"/>
          <w:szCs w:val="24"/>
        </w:rPr>
        <w:tab/>
        <w:t xml:space="preserve">§2. </w:t>
      </w:r>
      <w:r>
        <w:rPr>
          <w:sz w:val="24"/>
          <w:szCs w:val="24"/>
        </w:rPr>
        <w:t>Komisja przeprowadzi przetarg zgodnie z Regulaminem, stanowiącym załącznik do niniejszego Zarządzenia.</w:t>
      </w:r>
    </w:p>
    <w:p w:rsidR="005B639E" w:rsidRDefault="005B639E" w:rsidP="005B639E">
      <w:pPr>
        <w:spacing w:line="276" w:lineRule="auto"/>
        <w:jc w:val="both"/>
        <w:rPr>
          <w:sz w:val="24"/>
          <w:szCs w:val="24"/>
        </w:rPr>
      </w:pPr>
    </w:p>
    <w:p w:rsidR="005B639E" w:rsidRDefault="005B639E" w:rsidP="005B639E">
      <w:pPr>
        <w:spacing w:line="276" w:lineRule="auto"/>
        <w:ind w:firstLine="708"/>
        <w:jc w:val="both"/>
        <w:rPr>
          <w:sz w:val="24"/>
          <w:szCs w:val="24"/>
        </w:rPr>
      </w:pPr>
      <w:r>
        <w:rPr>
          <w:b/>
          <w:bCs/>
          <w:sz w:val="24"/>
          <w:szCs w:val="24"/>
        </w:rPr>
        <w:t>§3</w:t>
      </w:r>
      <w:r>
        <w:rPr>
          <w:b/>
          <w:sz w:val="24"/>
          <w:szCs w:val="24"/>
        </w:rPr>
        <w:t xml:space="preserve">. </w:t>
      </w:r>
      <w:r>
        <w:rPr>
          <w:sz w:val="24"/>
          <w:szCs w:val="24"/>
        </w:rPr>
        <w:t>Przetarg odbęd</w:t>
      </w:r>
      <w:r w:rsidR="00F753EB">
        <w:rPr>
          <w:sz w:val="24"/>
          <w:szCs w:val="24"/>
        </w:rPr>
        <w:t>zie</w:t>
      </w:r>
      <w:r>
        <w:rPr>
          <w:sz w:val="24"/>
          <w:szCs w:val="24"/>
        </w:rPr>
        <w:t xml:space="preserve"> się w</w:t>
      </w:r>
      <w:r>
        <w:rPr>
          <w:b/>
          <w:sz w:val="24"/>
          <w:szCs w:val="24"/>
        </w:rPr>
        <w:t xml:space="preserve"> </w:t>
      </w:r>
      <w:r>
        <w:rPr>
          <w:sz w:val="24"/>
          <w:szCs w:val="24"/>
        </w:rPr>
        <w:t>Wydziale Gospodarki Nieruchomościami Urzędu Miasta Torunia, przy ul. Grudziądzkiej 126 b, w sali konferencyjnej na I</w:t>
      </w:r>
      <w:r w:rsidR="00F753EB">
        <w:rPr>
          <w:sz w:val="24"/>
          <w:szCs w:val="24"/>
        </w:rPr>
        <w:t>I</w:t>
      </w:r>
      <w:r>
        <w:rPr>
          <w:sz w:val="24"/>
          <w:szCs w:val="24"/>
        </w:rPr>
        <w:t xml:space="preserve"> piętrze (s. </w:t>
      </w:r>
      <w:r w:rsidR="00F753EB">
        <w:rPr>
          <w:sz w:val="24"/>
          <w:szCs w:val="24"/>
        </w:rPr>
        <w:t>213</w:t>
      </w:r>
      <w:r>
        <w:rPr>
          <w:sz w:val="24"/>
          <w:szCs w:val="24"/>
        </w:rPr>
        <w:t>).</w:t>
      </w:r>
    </w:p>
    <w:p w:rsidR="005B639E" w:rsidRDefault="005B639E" w:rsidP="005B639E">
      <w:pPr>
        <w:spacing w:line="276" w:lineRule="auto"/>
        <w:jc w:val="center"/>
        <w:rPr>
          <w:b/>
          <w:sz w:val="24"/>
          <w:szCs w:val="24"/>
        </w:rPr>
      </w:pPr>
    </w:p>
    <w:p w:rsidR="005B639E" w:rsidRDefault="005B639E" w:rsidP="005B639E">
      <w:pPr>
        <w:spacing w:line="276" w:lineRule="auto"/>
        <w:ind w:firstLine="708"/>
        <w:jc w:val="both"/>
        <w:rPr>
          <w:sz w:val="24"/>
          <w:szCs w:val="24"/>
        </w:rPr>
      </w:pPr>
      <w:r>
        <w:rPr>
          <w:b/>
          <w:sz w:val="24"/>
          <w:szCs w:val="24"/>
        </w:rPr>
        <w:t xml:space="preserve">§4. </w:t>
      </w:r>
      <w:r>
        <w:rPr>
          <w:sz w:val="24"/>
          <w:szCs w:val="24"/>
        </w:rPr>
        <w:t>Wykonanie Zarządzenia powierza się Dyrektorowi Wydziału Gospodarki Nieruchomościami.</w:t>
      </w:r>
    </w:p>
    <w:p w:rsidR="005B639E" w:rsidRDefault="005B639E" w:rsidP="005B639E">
      <w:pPr>
        <w:spacing w:line="276" w:lineRule="auto"/>
        <w:jc w:val="center"/>
        <w:rPr>
          <w:b/>
          <w:sz w:val="24"/>
          <w:szCs w:val="24"/>
        </w:rPr>
      </w:pPr>
    </w:p>
    <w:p w:rsidR="005B639E" w:rsidRDefault="005B639E" w:rsidP="005B639E">
      <w:pPr>
        <w:spacing w:line="276" w:lineRule="auto"/>
        <w:ind w:firstLine="708"/>
        <w:jc w:val="both"/>
        <w:rPr>
          <w:sz w:val="24"/>
          <w:szCs w:val="24"/>
        </w:rPr>
      </w:pPr>
      <w:r>
        <w:rPr>
          <w:b/>
          <w:sz w:val="24"/>
          <w:szCs w:val="24"/>
        </w:rPr>
        <w:t xml:space="preserve">§5. </w:t>
      </w:r>
      <w:r>
        <w:rPr>
          <w:sz w:val="24"/>
          <w:szCs w:val="24"/>
        </w:rPr>
        <w:t>Zarządzenie wchodzi w życie z dniem podjęcia.</w:t>
      </w:r>
    </w:p>
    <w:p w:rsidR="005B639E" w:rsidRDefault="005B639E" w:rsidP="005B639E">
      <w:pPr>
        <w:spacing w:line="276" w:lineRule="auto"/>
        <w:rPr>
          <w:sz w:val="24"/>
          <w:szCs w:val="24"/>
        </w:rPr>
      </w:pPr>
    </w:p>
    <w:p w:rsidR="005B639E" w:rsidRDefault="005B639E" w:rsidP="005B639E">
      <w:pPr>
        <w:spacing w:line="276" w:lineRule="auto"/>
        <w:rPr>
          <w:sz w:val="24"/>
          <w:szCs w:val="24"/>
        </w:rPr>
      </w:pPr>
    </w:p>
    <w:p w:rsidR="005B639E" w:rsidRDefault="00AF2A24" w:rsidP="00AF2A24">
      <w:pPr>
        <w:spacing w:line="276" w:lineRule="auto"/>
        <w:ind w:firstLine="5529"/>
      </w:pPr>
      <w:r>
        <w:t>Prezydent Miasta Torunia</w:t>
      </w:r>
    </w:p>
    <w:p w:rsidR="00AF2A24" w:rsidRDefault="00AF2A24" w:rsidP="00AF2A24">
      <w:pPr>
        <w:spacing w:line="276" w:lineRule="auto"/>
        <w:ind w:firstLine="5529"/>
      </w:pPr>
      <w:r>
        <w:t xml:space="preserve">    (-) Paweł Gulewski</w:t>
      </w:r>
    </w:p>
    <w:p w:rsidR="005B639E" w:rsidRDefault="005B639E" w:rsidP="00AF2A24">
      <w:pPr>
        <w:spacing w:line="276" w:lineRule="auto"/>
        <w:ind w:firstLine="5529"/>
      </w:pPr>
      <w:r>
        <w:t xml:space="preserve">                          </w:t>
      </w:r>
      <w:r>
        <w:tab/>
      </w:r>
    </w:p>
    <w:p w:rsidR="005B639E" w:rsidRDefault="005B639E" w:rsidP="00531E8A">
      <w:pPr>
        <w:pStyle w:val="Tekstpodstawowy"/>
      </w:pPr>
      <w:r>
        <w:rPr>
          <w:vertAlign w:val="superscript"/>
        </w:rPr>
        <w:t>------------------------------------------------------------------------------------------------------------------------------------------------------------</w:t>
      </w:r>
      <w:r w:rsidRPr="00531E8A">
        <w:rPr>
          <w:rFonts w:ascii="Times New Roman" w:hAnsi="Times New Roman"/>
          <w:sz w:val="18"/>
          <w:szCs w:val="18"/>
        </w:rPr>
        <w:t xml:space="preserve">Zmiany tekstu jednolitego wymienionej ustawy zostały ogłoszone w </w:t>
      </w:r>
      <w:r w:rsidRPr="00531E8A">
        <w:rPr>
          <w:rFonts w:ascii="Times New Roman" w:hAnsi="Times New Roman"/>
          <w:color w:val="000000"/>
          <w:sz w:val="18"/>
          <w:szCs w:val="18"/>
        </w:rPr>
        <w:t xml:space="preserve">Dz. U. </w:t>
      </w:r>
      <w:r w:rsidRPr="00531E8A">
        <w:rPr>
          <w:rFonts w:ascii="Times New Roman" w:hAnsi="Times New Roman"/>
          <w:sz w:val="18"/>
          <w:szCs w:val="18"/>
        </w:rPr>
        <w:t xml:space="preserve">z 2024 r. poz. 721.                                                                                   </w:t>
      </w:r>
    </w:p>
    <w:p w:rsidR="005B639E" w:rsidRDefault="005B639E" w:rsidP="005B639E">
      <w:pPr>
        <w:pStyle w:val="Akapitzlist1"/>
        <w:ind w:left="5245"/>
        <w:jc w:val="both"/>
      </w:pPr>
    </w:p>
    <w:p w:rsidR="00156EFB" w:rsidRDefault="00156EFB" w:rsidP="00531E8A">
      <w:pPr>
        <w:suppressAutoHyphens w:val="0"/>
        <w:ind w:firstLine="4820"/>
        <w:jc w:val="both"/>
        <w:rPr>
          <w:sz w:val="24"/>
          <w:szCs w:val="24"/>
          <w:lang w:eastAsia="pl-PL"/>
        </w:rPr>
      </w:pPr>
    </w:p>
    <w:p w:rsidR="005B639E" w:rsidRDefault="005B639E" w:rsidP="00531E8A">
      <w:pPr>
        <w:suppressAutoHyphens w:val="0"/>
        <w:ind w:firstLine="4820"/>
        <w:jc w:val="both"/>
        <w:rPr>
          <w:sz w:val="24"/>
          <w:szCs w:val="24"/>
          <w:lang w:eastAsia="pl-PL"/>
        </w:rPr>
      </w:pPr>
      <w:r>
        <w:rPr>
          <w:sz w:val="24"/>
          <w:szCs w:val="24"/>
          <w:lang w:eastAsia="pl-PL"/>
        </w:rPr>
        <w:lastRenderedPageBreak/>
        <w:t xml:space="preserve">Załącznik do Zarządzenia Nr </w:t>
      </w:r>
      <w:r w:rsidR="00AF2A24">
        <w:rPr>
          <w:sz w:val="24"/>
          <w:szCs w:val="24"/>
          <w:lang w:eastAsia="pl-PL"/>
        </w:rPr>
        <w:t>168</w:t>
      </w:r>
    </w:p>
    <w:p w:rsidR="005B639E" w:rsidRDefault="005B639E" w:rsidP="00531E8A">
      <w:pPr>
        <w:suppressAutoHyphens w:val="0"/>
        <w:ind w:firstLine="4820"/>
        <w:rPr>
          <w:sz w:val="24"/>
          <w:szCs w:val="24"/>
          <w:lang w:eastAsia="pl-PL"/>
        </w:rPr>
      </w:pPr>
      <w:r>
        <w:rPr>
          <w:sz w:val="24"/>
          <w:szCs w:val="24"/>
          <w:lang w:eastAsia="pl-PL"/>
        </w:rPr>
        <w:t>Prezydenta Miasta Torunia</w:t>
      </w:r>
    </w:p>
    <w:p w:rsidR="005B639E" w:rsidRDefault="005B639E" w:rsidP="00531E8A">
      <w:pPr>
        <w:suppressAutoHyphens w:val="0"/>
        <w:ind w:firstLine="4820"/>
        <w:rPr>
          <w:sz w:val="24"/>
          <w:szCs w:val="24"/>
          <w:lang w:eastAsia="pl-PL"/>
        </w:rPr>
      </w:pPr>
      <w:r>
        <w:rPr>
          <w:sz w:val="24"/>
          <w:szCs w:val="24"/>
          <w:lang w:eastAsia="pl-PL"/>
        </w:rPr>
        <w:t xml:space="preserve">z dnia </w:t>
      </w:r>
      <w:r w:rsidR="00AF2A24">
        <w:rPr>
          <w:sz w:val="24"/>
          <w:szCs w:val="24"/>
          <w:lang w:eastAsia="pl-PL"/>
        </w:rPr>
        <w:t>12 lipca 2024r.</w:t>
      </w:r>
    </w:p>
    <w:p w:rsidR="005B639E" w:rsidRDefault="005B639E" w:rsidP="005B639E">
      <w:pPr>
        <w:spacing w:line="360" w:lineRule="auto"/>
        <w:jc w:val="center"/>
        <w:rPr>
          <w:b/>
          <w:sz w:val="24"/>
          <w:szCs w:val="24"/>
        </w:rPr>
      </w:pPr>
      <w:r>
        <w:rPr>
          <w:b/>
          <w:sz w:val="24"/>
          <w:szCs w:val="24"/>
        </w:rPr>
        <w:t>REGULAMIN I PRZETARG</w:t>
      </w:r>
      <w:r w:rsidR="00531E8A">
        <w:rPr>
          <w:b/>
          <w:sz w:val="24"/>
          <w:szCs w:val="24"/>
        </w:rPr>
        <w:t>U</w:t>
      </w:r>
    </w:p>
    <w:p w:rsidR="005B639E" w:rsidRDefault="005B639E" w:rsidP="005B639E">
      <w:pPr>
        <w:ind w:firstLine="708"/>
        <w:jc w:val="both"/>
        <w:rPr>
          <w:sz w:val="24"/>
          <w:szCs w:val="24"/>
        </w:rPr>
      </w:pPr>
      <w:r>
        <w:rPr>
          <w:sz w:val="24"/>
          <w:szCs w:val="24"/>
        </w:rPr>
        <w:t>§1.1. Przetarg ogłasza, organizuje i przeprowadza Prezydent Miasta Torunia na zasadach ogólnych, określonych w ustawie z dnia 21 sierpnia 1997 r. o</w:t>
      </w:r>
      <w:r w:rsidR="00531E8A">
        <w:rPr>
          <w:sz w:val="24"/>
          <w:szCs w:val="24"/>
        </w:rPr>
        <w:t xml:space="preserve"> gospodarce nieruchomościami, </w:t>
      </w:r>
      <w:r>
        <w:rPr>
          <w:sz w:val="24"/>
          <w:szCs w:val="24"/>
        </w:rPr>
        <w:t xml:space="preserve">w rozporządzeniu Rady Ministrów </w:t>
      </w:r>
      <w:r w:rsidR="00531E8A">
        <w:rPr>
          <w:sz w:val="24"/>
          <w:szCs w:val="24"/>
        </w:rPr>
        <w:t xml:space="preserve">z dnia 14 września 2004 </w:t>
      </w:r>
      <w:r>
        <w:rPr>
          <w:sz w:val="24"/>
          <w:szCs w:val="24"/>
        </w:rPr>
        <w:t>r. w sprawie sposobu i trybu przeprowadzenia przetargów oraz rokowań na zbycie nieruchomości, a także na podstawie Uchwały Nr 595/09 Rady Miasta Torunia z dnia 9 lipca 2009 r. w sprawie sprzedaży nieruchomości położonych przy ul. Przelot i Gminnej, a także niniejszego regulaminu.</w:t>
      </w:r>
    </w:p>
    <w:p w:rsidR="005B639E" w:rsidRDefault="005B639E" w:rsidP="005B639E">
      <w:pPr>
        <w:ind w:firstLine="708"/>
        <w:jc w:val="both"/>
        <w:rPr>
          <w:sz w:val="24"/>
          <w:szCs w:val="24"/>
        </w:rPr>
      </w:pPr>
      <w:r>
        <w:rPr>
          <w:sz w:val="24"/>
          <w:szCs w:val="24"/>
        </w:rPr>
        <w:t>2. Czynności związane z przeprowadzeniem przetarg</w:t>
      </w:r>
      <w:r w:rsidR="00F753EB">
        <w:rPr>
          <w:sz w:val="24"/>
          <w:szCs w:val="24"/>
        </w:rPr>
        <w:t>u</w:t>
      </w:r>
      <w:r>
        <w:rPr>
          <w:sz w:val="24"/>
          <w:szCs w:val="24"/>
        </w:rPr>
        <w:t xml:space="preserve"> wykonuje Komisja Przetargowa, która podejmuje rozstrzygnięcia większością głosów, w drodze głosowania, w obecności co najmniej połowy ustalonego składu. W przypadku równej liczby głosów decyduje głos przewodniczącego komisji.</w:t>
      </w:r>
    </w:p>
    <w:p w:rsidR="005B639E" w:rsidRDefault="005B639E" w:rsidP="005B639E">
      <w:pPr>
        <w:ind w:firstLine="708"/>
        <w:jc w:val="both"/>
        <w:rPr>
          <w:sz w:val="24"/>
          <w:szCs w:val="24"/>
        </w:rPr>
      </w:pPr>
    </w:p>
    <w:p w:rsidR="005B639E" w:rsidRDefault="005B639E" w:rsidP="005B639E">
      <w:pPr>
        <w:ind w:firstLine="708"/>
        <w:jc w:val="both"/>
        <w:rPr>
          <w:sz w:val="24"/>
          <w:szCs w:val="24"/>
        </w:rPr>
      </w:pPr>
      <w:r>
        <w:rPr>
          <w:sz w:val="24"/>
          <w:szCs w:val="24"/>
        </w:rPr>
        <w:t xml:space="preserve">§2.1. Komisja Przetargowa przeprowadzi przetarg w dniu </w:t>
      </w:r>
      <w:r w:rsidR="00E43A87">
        <w:rPr>
          <w:b/>
          <w:sz w:val="24"/>
          <w:szCs w:val="24"/>
        </w:rPr>
        <w:t>5</w:t>
      </w:r>
      <w:r>
        <w:rPr>
          <w:b/>
          <w:sz w:val="24"/>
          <w:szCs w:val="24"/>
        </w:rPr>
        <w:t xml:space="preserve"> </w:t>
      </w:r>
      <w:r w:rsidR="00E43A87">
        <w:rPr>
          <w:b/>
          <w:sz w:val="24"/>
          <w:szCs w:val="24"/>
        </w:rPr>
        <w:t xml:space="preserve">listopada </w:t>
      </w:r>
      <w:r>
        <w:rPr>
          <w:b/>
          <w:sz w:val="24"/>
          <w:szCs w:val="24"/>
        </w:rPr>
        <w:t>202</w:t>
      </w:r>
      <w:r w:rsidR="00531E8A">
        <w:rPr>
          <w:b/>
          <w:sz w:val="24"/>
          <w:szCs w:val="24"/>
        </w:rPr>
        <w:t>4</w:t>
      </w:r>
      <w:r>
        <w:rPr>
          <w:b/>
          <w:sz w:val="24"/>
          <w:szCs w:val="24"/>
        </w:rPr>
        <w:t xml:space="preserve">r. </w:t>
      </w:r>
      <w:r w:rsidR="00F753EB">
        <w:rPr>
          <w:b/>
          <w:sz w:val="24"/>
          <w:szCs w:val="24"/>
        </w:rPr>
        <w:br/>
      </w:r>
      <w:r>
        <w:rPr>
          <w:b/>
          <w:sz w:val="24"/>
          <w:szCs w:val="24"/>
        </w:rPr>
        <w:t xml:space="preserve"> godz. 1</w:t>
      </w:r>
      <w:r w:rsidR="00E43A87">
        <w:rPr>
          <w:b/>
          <w:sz w:val="24"/>
          <w:szCs w:val="24"/>
        </w:rPr>
        <w:t>2</w:t>
      </w:r>
      <w:r>
        <w:rPr>
          <w:b/>
          <w:sz w:val="24"/>
          <w:szCs w:val="24"/>
        </w:rPr>
        <w:t>.00.</w:t>
      </w:r>
      <w:r>
        <w:rPr>
          <w:sz w:val="24"/>
          <w:szCs w:val="24"/>
        </w:rPr>
        <w:t xml:space="preserve"> </w:t>
      </w:r>
    </w:p>
    <w:p w:rsidR="005B639E" w:rsidRDefault="005B639E" w:rsidP="005B639E">
      <w:pPr>
        <w:ind w:firstLine="708"/>
        <w:jc w:val="both"/>
        <w:rPr>
          <w:sz w:val="24"/>
          <w:szCs w:val="24"/>
        </w:rPr>
      </w:pPr>
      <w:r>
        <w:rPr>
          <w:sz w:val="24"/>
          <w:szCs w:val="24"/>
        </w:rPr>
        <w:t xml:space="preserve">2. Przedmiotem przetargu są następujące nieruchomości gruntowe: </w:t>
      </w:r>
    </w:p>
    <w:tbl>
      <w:tblPr>
        <w:tblW w:w="9923" w:type="dxa"/>
        <w:tblInd w:w="-437" w:type="dxa"/>
        <w:tblLayout w:type="fixed"/>
        <w:tblCellMar>
          <w:left w:w="0" w:type="dxa"/>
          <w:right w:w="0" w:type="dxa"/>
        </w:tblCellMar>
        <w:tblLook w:val="04A0" w:firstRow="1" w:lastRow="0" w:firstColumn="1" w:lastColumn="0" w:noHBand="0" w:noVBand="1"/>
      </w:tblPr>
      <w:tblGrid>
        <w:gridCol w:w="567"/>
        <w:gridCol w:w="1843"/>
        <w:gridCol w:w="1276"/>
        <w:gridCol w:w="992"/>
        <w:gridCol w:w="3119"/>
        <w:gridCol w:w="2126"/>
      </w:tblGrid>
      <w:tr w:rsidR="005B639E" w:rsidTr="00156EFB">
        <w:tc>
          <w:tcPr>
            <w:tcW w:w="567" w:type="dxa"/>
            <w:tcBorders>
              <w:top w:val="single" w:sz="6" w:space="0" w:color="000000"/>
              <w:left w:val="single" w:sz="6" w:space="0" w:color="000000"/>
              <w:bottom w:val="single" w:sz="6" w:space="0" w:color="000000"/>
              <w:right w:val="nil"/>
            </w:tcBorders>
            <w:vAlign w:val="center"/>
            <w:hideMark/>
          </w:tcPr>
          <w:p w:rsidR="005B639E" w:rsidRDefault="005B639E">
            <w:pPr>
              <w:pStyle w:val="WW-Zawartotabeli111"/>
              <w:spacing w:after="0"/>
              <w:jc w:val="center"/>
              <w:rPr>
                <w:b/>
                <w:szCs w:val="24"/>
              </w:rPr>
            </w:pPr>
            <w:r>
              <w:rPr>
                <w:b/>
                <w:szCs w:val="24"/>
              </w:rPr>
              <w:t>Lp.</w:t>
            </w:r>
          </w:p>
        </w:tc>
        <w:tc>
          <w:tcPr>
            <w:tcW w:w="1843" w:type="dxa"/>
            <w:tcBorders>
              <w:top w:val="single" w:sz="6" w:space="0" w:color="000000"/>
              <w:left w:val="single" w:sz="6" w:space="0" w:color="000000"/>
              <w:bottom w:val="single" w:sz="6" w:space="0" w:color="000000"/>
              <w:right w:val="nil"/>
            </w:tcBorders>
            <w:vAlign w:val="center"/>
            <w:hideMark/>
          </w:tcPr>
          <w:p w:rsidR="005B639E" w:rsidRDefault="005B639E">
            <w:pPr>
              <w:pStyle w:val="WW-Zawartotabeli111"/>
              <w:spacing w:after="0"/>
              <w:jc w:val="center"/>
              <w:rPr>
                <w:b/>
                <w:szCs w:val="24"/>
              </w:rPr>
            </w:pPr>
            <w:r>
              <w:rPr>
                <w:b/>
                <w:szCs w:val="24"/>
              </w:rPr>
              <w:t xml:space="preserve">Położenie </w:t>
            </w:r>
          </w:p>
          <w:p w:rsidR="005B639E" w:rsidRDefault="005B639E">
            <w:pPr>
              <w:pStyle w:val="WW-Zawartotabeli111"/>
              <w:spacing w:after="0"/>
              <w:jc w:val="center"/>
              <w:rPr>
                <w:b/>
                <w:szCs w:val="24"/>
              </w:rPr>
            </w:pPr>
            <w:r>
              <w:rPr>
                <w:b/>
                <w:szCs w:val="24"/>
              </w:rPr>
              <w:t>nieruchomości</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B639E" w:rsidRDefault="005B639E">
            <w:pPr>
              <w:pStyle w:val="WW-Zawartotabeli111"/>
              <w:spacing w:after="0"/>
              <w:jc w:val="center"/>
              <w:rPr>
                <w:b/>
                <w:sz w:val="20"/>
              </w:rPr>
            </w:pPr>
            <w:r>
              <w:rPr>
                <w:b/>
                <w:sz w:val="20"/>
              </w:rPr>
              <w:t>Powierzchnia</w:t>
            </w:r>
          </w:p>
        </w:tc>
        <w:tc>
          <w:tcPr>
            <w:tcW w:w="992" w:type="dxa"/>
            <w:tcBorders>
              <w:top w:val="single" w:sz="6" w:space="0" w:color="000000"/>
              <w:left w:val="single" w:sz="6" w:space="0" w:color="000000"/>
              <w:bottom w:val="single" w:sz="6" w:space="0" w:color="000000"/>
              <w:right w:val="nil"/>
            </w:tcBorders>
            <w:vAlign w:val="center"/>
            <w:hideMark/>
          </w:tcPr>
          <w:p w:rsidR="005B639E" w:rsidRDefault="005B639E">
            <w:pPr>
              <w:pStyle w:val="WW-Zawartotabeli111"/>
              <w:spacing w:after="0"/>
              <w:jc w:val="center"/>
              <w:rPr>
                <w:b/>
                <w:szCs w:val="24"/>
              </w:rPr>
            </w:pPr>
            <w:r>
              <w:rPr>
                <w:b/>
                <w:szCs w:val="24"/>
              </w:rPr>
              <w:t>Nr działek</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B639E" w:rsidRDefault="005B639E">
            <w:pPr>
              <w:pStyle w:val="WW-Zawartotabeli111"/>
              <w:spacing w:after="0"/>
              <w:jc w:val="center"/>
              <w:rPr>
                <w:b/>
                <w:szCs w:val="24"/>
              </w:rPr>
            </w:pPr>
            <w:r>
              <w:rPr>
                <w:b/>
                <w:szCs w:val="24"/>
              </w:rPr>
              <w:t xml:space="preserve">Rodzaj </w:t>
            </w:r>
          </w:p>
          <w:p w:rsidR="005B639E" w:rsidRDefault="005B639E">
            <w:pPr>
              <w:pStyle w:val="WW-Zawartotabeli111"/>
              <w:spacing w:after="0"/>
              <w:jc w:val="center"/>
              <w:rPr>
                <w:b/>
                <w:szCs w:val="24"/>
              </w:rPr>
            </w:pPr>
            <w:r>
              <w:rPr>
                <w:b/>
                <w:szCs w:val="24"/>
              </w:rPr>
              <w:t>użytku</w:t>
            </w: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5B639E" w:rsidRDefault="005B639E">
            <w:pPr>
              <w:pStyle w:val="WW-Zawartotabeli111"/>
              <w:spacing w:after="0"/>
              <w:jc w:val="center"/>
              <w:rPr>
                <w:b/>
                <w:szCs w:val="24"/>
              </w:rPr>
            </w:pPr>
            <w:r>
              <w:rPr>
                <w:b/>
                <w:szCs w:val="24"/>
              </w:rPr>
              <w:t>Nr księgi wieczystej</w:t>
            </w:r>
          </w:p>
        </w:tc>
      </w:tr>
      <w:tr w:rsidR="005B639E" w:rsidTr="00156EFB">
        <w:trPr>
          <w:trHeight w:val="296"/>
        </w:trPr>
        <w:tc>
          <w:tcPr>
            <w:tcW w:w="567" w:type="dxa"/>
            <w:vMerge w:val="restart"/>
            <w:tcBorders>
              <w:top w:val="nil"/>
              <w:left w:val="single" w:sz="6" w:space="0" w:color="000000"/>
              <w:bottom w:val="single" w:sz="4" w:space="0" w:color="auto"/>
              <w:right w:val="nil"/>
            </w:tcBorders>
            <w:vAlign w:val="center"/>
            <w:hideMark/>
          </w:tcPr>
          <w:p w:rsidR="005B639E" w:rsidRDefault="005B639E">
            <w:pPr>
              <w:pStyle w:val="WW-Zawartotabeli111"/>
              <w:spacing w:after="0"/>
              <w:jc w:val="center"/>
              <w:rPr>
                <w:szCs w:val="24"/>
              </w:rPr>
            </w:pPr>
            <w:r>
              <w:rPr>
                <w:szCs w:val="24"/>
              </w:rPr>
              <w:t>1.</w:t>
            </w:r>
          </w:p>
        </w:tc>
        <w:tc>
          <w:tcPr>
            <w:tcW w:w="1843" w:type="dxa"/>
            <w:vMerge w:val="restart"/>
            <w:tcBorders>
              <w:top w:val="nil"/>
              <w:left w:val="single" w:sz="6" w:space="0" w:color="000000"/>
              <w:bottom w:val="single" w:sz="4" w:space="0" w:color="auto"/>
              <w:right w:val="nil"/>
            </w:tcBorders>
            <w:vAlign w:val="center"/>
            <w:hideMark/>
          </w:tcPr>
          <w:p w:rsidR="005B639E" w:rsidRDefault="005B639E">
            <w:pPr>
              <w:rPr>
                <w:sz w:val="24"/>
                <w:szCs w:val="24"/>
              </w:rPr>
            </w:pPr>
            <w:r>
              <w:rPr>
                <w:sz w:val="24"/>
                <w:szCs w:val="24"/>
              </w:rPr>
              <w:t xml:space="preserve">Toruń, </w:t>
            </w:r>
          </w:p>
          <w:p w:rsidR="005B639E" w:rsidRDefault="005B639E">
            <w:pPr>
              <w:rPr>
                <w:sz w:val="24"/>
                <w:szCs w:val="24"/>
              </w:rPr>
            </w:pPr>
            <w:r>
              <w:rPr>
                <w:sz w:val="24"/>
                <w:szCs w:val="24"/>
              </w:rPr>
              <w:t>obręb nr 54,</w:t>
            </w:r>
          </w:p>
          <w:p w:rsidR="005B639E" w:rsidRDefault="005B639E">
            <w:pPr>
              <w:rPr>
                <w:b/>
                <w:sz w:val="24"/>
                <w:szCs w:val="24"/>
              </w:rPr>
            </w:pPr>
            <w:r>
              <w:rPr>
                <w:b/>
                <w:sz w:val="24"/>
                <w:szCs w:val="24"/>
              </w:rPr>
              <w:t>ul. Przelot 24-26</w:t>
            </w:r>
          </w:p>
        </w:tc>
        <w:tc>
          <w:tcPr>
            <w:tcW w:w="1276" w:type="dxa"/>
            <w:vMerge w:val="restart"/>
            <w:tcBorders>
              <w:top w:val="nil"/>
              <w:left w:val="single" w:sz="6" w:space="0" w:color="000000"/>
              <w:bottom w:val="single" w:sz="4" w:space="0" w:color="auto"/>
              <w:right w:val="single" w:sz="6" w:space="0" w:color="000000"/>
            </w:tcBorders>
            <w:vAlign w:val="center"/>
            <w:hideMark/>
          </w:tcPr>
          <w:p w:rsidR="005B639E" w:rsidRDefault="005B639E">
            <w:pPr>
              <w:jc w:val="center"/>
              <w:rPr>
                <w:sz w:val="24"/>
                <w:szCs w:val="24"/>
                <w:lang w:eastAsia="pl-PL"/>
              </w:rPr>
            </w:pPr>
            <w:r>
              <w:rPr>
                <w:sz w:val="24"/>
                <w:szCs w:val="24"/>
                <w:lang w:eastAsia="pl-PL"/>
              </w:rPr>
              <w:t>2,6176 ha</w:t>
            </w:r>
          </w:p>
        </w:tc>
        <w:tc>
          <w:tcPr>
            <w:tcW w:w="992" w:type="dxa"/>
            <w:tcBorders>
              <w:top w:val="nil"/>
              <w:left w:val="single" w:sz="6" w:space="0" w:color="000000"/>
              <w:bottom w:val="single" w:sz="4" w:space="0" w:color="auto"/>
              <w:right w:val="nil"/>
            </w:tcBorders>
            <w:vAlign w:val="center"/>
            <w:hideMark/>
          </w:tcPr>
          <w:p w:rsidR="005B639E" w:rsidRDefault="005B639E">
            <w:pPr>
              <w:jc w:val="center"/>
              <w:rPr>
                <w:sz w:val="24"/>
                <w:szCs w:val="24"/>
                <w:lang w:eastAsia="pl-PL"/>
              </w:rPr>
            </w:pPr>
            <w:r>
              <w:rPr>
                <w:sz w:val="24"/>
                <w:szCs w:val="24"/>
                <w:lang w:eastAsia="pl-PL"/>
              </w:rPr>
              <w:t>90/12</w:t>
            </w:r>
          </w:p>
        </w:tc>
        <w:tc>
          <w:tcPr>
            <w:tcW w:w="3119" w:type="dxa"/>
            <w:tcBorders>
              <w:top w:val="nil"/>
              <w:left w:val="single" w:sz="6" w:space="0" w:color="000000"/>
              <w:bottom w:val="single" w:sz="4" w:space="0" w:color="auto"/>
              <w:right w:val="single" w:sz="6" w:space="0" w:color="000000"/>
            </w:tcBorders>
            <w:vAlign w:val="center"/>
            <w:hideMark/>
          </w:tcPr>
          <w:p w:rsidR="005B639E" w:rsidRDefault="005B639E">
            <w:pPr>
              <w:pStyle w:val="Tekstpodstawowy"/>
              <w:tabs>
                <w:tab w:val="left" w:pos="0"/>
                <w:tab w:val="left" w:pos="720"/>
              </w:tabs>
              <w:jc w:val="center"/>
              <w:rPr>
                <w:rFonts w:ascii="Times New Roman" w:hAnsi="Times New Roman"/>
                <w:sz w:val="20"/>
              </w:rPr>
            </w:pPr>
            <w:r>
              <w:rPr>
                <w:rFonts w:ascii="Times New Roman" w:hAnsi="Times New Roman"/>
                <w:sz w:val="20"/>
              </w:rPr>
              <w:t>RVI – grunty orne (pow. 0,7836 ha) i LsV-lasy (0,5611 ha)</w:t>
            </w: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Cs w:val="24"/>
              </w:rPr>
            </w:pPr>
            <w:r>
              <w:rPr>
                <w:rFonts w:ascii="Times New Roman" w:hAnsi="Times New Roman"/>
                <w:szCs w:val="24"/>
              </w:rPr>
              <w:t>TO1T/00051617/0</w:t>
            </w:r>
          </w:p>
        </w:tc>
      </w:tr>
      <w:tr w:rsidR="005B639E" w:rsidTr="00156EFB">
        <w:tc>
          <w:tcPr>
            <w:tcW w:w="567" w:type="dxa"/>
            <w:vMerge/>
            <w:tcBorders>
              <w:top w:val="nil"/>
              <w:left w:val="single" w:sz="6" w:space="0" w:color="000000"/>
              <w:bottom w:val="single" w:sz="4" w:space="0" w:color="auto"/>
              <w:right w:val="nil"/>
            </w:tcBorders>
            <w:vAlign w:val="center"/>
            <w:hideMark/>
          </w:tcPr>
          <w:p w:rsidR="005B639E" w:rsidRDefault="005B639E">
            <w:pPr>
              <w:suppressAutoHyphens w:val="0"/>
              <w:rPr>
                <w:sz w:val="24"/>
                <w:szCs w:val="24"/>
                <w:lang w:eastAsia="pl-PL"/>
              </w:rPr>
            </w:pPr>
          </w:p>
        </w:tc>
        <w:tc>
          <w:tcPr>
            <w:tcW w:w="1843" w:type="dxa"/>
            <w:vMerge/>
            <w:tcBorders>
              <w:top w:val="nil"/>
              <w:left w:val="single" w:sz="6" w:space="0" w:color="000000"/>
              <w:bottom w:val="single" w:sz="4" w:space="0" w:color="auto"/>
              <w:right w:val="nil"/>
            </w:tcBorders>
            <w:vAlign w:val="center"/>
            <w:hideMark/>
          </w:tcPr>
          <w:p w:rsidR="005B639E" w:rsidRDefault="005B639E">
            <w:pPr>
              <w:suppressAutoHyphens w:val="0"/>
              <w:rPr>
                <w:b/>
                <w:sz w:val="24"/>
                <w:szCs w:val="24"/>
              </w:rPr>
            </w:pPr>
          </w:p>
        </w:tc>
        <w:tc>
          <w:tcPr>
            <w:tcW w:w="1276" w:type="dxa"/>
            <w:vMerge/>
            <w:tcBorders>
              <w:top w:val="nil"/>
              <w:left w:val="single" w:sz="6" w:space="0" w:color="000000"/>
              <w:bottom w:val="single" w:sz="4" w:space="0" w:color="auto"/>
              <w:right w:val="single" w:sz="6" w:space="0" w:color="000000"/>
            </w:tcBorders>
            <w:vAlign w:val="center"/>
            <w:hideMark/>
          </w:tcPr>
          <w:p w:rsidR="005B639E" w:rsidRDefault="005B639E">
            <w:pPr>
              <w:suppressAutoHyphens w:val="0"/>
              <w:rPr>
                <w:sz w:val="24"/>
                <w:szCs w:val="24"/>
                <w:lang w:eastAsia="pl-PL"/>
              </w:rPr>
            </w:pPr>
          </w:p>
        </w:tc>
        <w:tc>
          <w:tcPr>
            <w:tcW w:w="992" w:type="dxa"/>
            <w:tcBorders>
              <w:top w:val="single" w:sz="4" w:space="0" w:color="auto"/>
              <w:left w:val="single" w:sz="6" w:space="0" w:color="000000"/>
              <w:bottom w:val="single" w:sz="4" w:space="0" w:color="auto"/>
              <w:right w:val="single" w:sz="4" w:space="0" w:color="auto"/>
            </w:tcBorders>
            <w:vAlign w:val="center"/>
            <w:hideMark/>
          </w:tcPr>
          <w:p w:rsidR="005B639E" w:rsidRDefault="005B639E">
            <w:pPr>
              <w:jc w:val="center"/>
              <w:rPr>
                <w:sz w:val="24"/>
                <w:szCs w:val="24"/>
                <w:lang w:eastAsia="pl-PL"/>
              </w:rPr>
            </w:pPr>
            <w:r>
              <w:rPr>
                <w:sz w:val="24"/>
                <w:szCs w:val="24"/>
                <w:lang w:eastAsia="pl-PL"/>
              </w:rPr>
              <w:t>93/6</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 w:val="20"/>
              </w:rPr>
            </w:pPr>
            <w:r>
              <w:rPr>
                <w:rFonts w:ascii="Times New Roman" w:hAnsi="Times New Roman"/>
                <w:sz w:val="20"/>
              </w:rPr>
              <w:t>RVI – grunty orne (pow.1,2531 ha)</w:t>
            </w:r>
          </w:p>
        </w:tc>
        <w:tc>
          <w:tcPr>
            <w:tcW w:w="2126" w:type="dxa"/>
            <w:tcBorders>
              <w:top w:val="nil"/>
              <w:left w:val="single" w:sz="4" w:space="0" w:color="auto"/>
              <w:bottom w:val="single" w:sz="6" w:space="0" w:color="000000"/>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Cs w:val="24"/>
              </w:rPr>
            </w:pPr>
            <w:r>
              <w:rPr>
                <w:rFonts w:ascii="Times New Roman" w:hAnsi="Times New Roman"/>
                <w:szCs w:val="24"/>
              </w:rPr>
              <w:t>TO1T/00063985/7</w:t>
            </w:r>
          </w:p>
        </w:tc>
      </w:tr>
      <w:tr w:rsidR="005B639E" w:rsidTr="00156EFB">
        <w:tc>
          <w:tcPr>
            <w:tcW w:w="567" w:type="dxa"/>
            <w:vMerge/>
            <w:tcBorders>
              <w:top w:val="nil"/>
              <w:left w:val="single" w:sz="6" w:space="0" w:color="000000"/>
              <w:bottom w:val="single" w:sz="4" w:space="0" w:color="auto"/>
              <w:right w:val="nil"/>
            </w:tcBorders>
            <w:vAlign w:val="center"/>
            <w:hideMark/>
          </w:tcPr>
          <w:p w:rsidR="005B639E" w:rsidRDefault="005B639E">
            <w:pPr>
              <w:suppressAutoHyphens w:val="0"/>
              <w:rPr>
                <w:sz w:val="24"/>
                <w:szCs w:val="24"/>
                <w:lang w:eastAsia="pl-PL"/>
              </w:rPr>
            </w:pPr>
          </w:p>
        </w:tc>
        <w:tc>
          <w:tcPr>
            <w:tcW w:w="1843" w:type="dxa"/>
            <w:vMerge/>
            <w:tcBorders>
              <w:top w:val="nil"/>
              <w:left w:val="single" w:sz="6" w:space="0" w:color="000000"/>
              <w:bottom w:val="single" w:sz="4" w:space="0" w:color="auto"/>
              <w:right w:val="nil"/>
            </w:tcBorders>
            <w:vAlign w:val="center"/>
            <w:hideMark/>
          </w:tcPr>
          <w:p w:rsidR="005B639E" w:rsidRDefault="005B639E">
            <w:pPr>
              <w:suppressAutoHyphens w:val="0"/>
              <w:rPr>
                <w:b/>
                <w:sz w:val="24"/>
                <w:szCs w:val="24"/>
              </w:rPr>
            </w:pPr>
          </w:p>
        </w:tc>
        <w:tc>
          <w:tcPr>
            <w:tcW w:w="1276" w:type="dxa"/>
            <w:vMerge/>
            <w:tcBorders>
              <w:top w:val="nil"/>
              <w:left w:val="single" w:sz="6" w:space="0" w:color="000000"/>
              <w:bottom w:val="single" w:sz="4" w:space="0" w:color="auto"/>
              <w:right w:val="single" w:sz="6" w:space="0" w:color="000000"/>
            </w:tcBorders>
            <w:vAlign w:val="center"/>
            <w:hideMark/>
          </w:tcPr>
          <w:p w:rsidR="005B639E" w:rsidRDefault="005B639E">
            <w:pPr>
              <w:suppressAutoHyphens w:val="0"/>
              <w:rPr>
                <w:sz w:val="24"/>
                <w:szCs w:val="24"/>
                <w:lang w:eastAsia="pl-PL"/>
              </w:rPr>
            </w:pPr>
          </w:p>
        </w:tc>
        <w:tc>
          <w:tcPr>
            <w:tcW w:w="992" w:type="dxa"/>
            <w:tcBorders>
              <w:top w:val="single" w:sz="4" w:space="0" w:color="auto"/>
              <w:left w:val="single" w:sz="6" w:space="0" w:color="000000"/>
              <w:bottom w:val="single" w:sz="4" w:space="0" w:color="auto"/>
              <w:right w:val="single" w:sz="4" w:space="0" w:color="auto"/>
            </w:tcBorders>
            <w:vAlign w:val="center"/>
            <w:hideMark/>
          </w:tcPr>
          <w:p w:rsidR="005B639E" w:rsidRDefault="005B639E">
            <w:pPr>
              <w:jc w:val="center"/>
              <w:rPr>
                <w:sz w:val="24"/>
                <w:szCs w:val="24"/>
                <w:lang w:eastAsia="pl-PL"/>
              </w:rPr>
            </w:pPr>
            <w:r>
              <w:rPr>
                <w:sz w:val="24"/>
                <w:szCs w:val="24"/>
                <w:lang w:eastAsia="pl-PL"/>
              </w:rPr>
              <w:t>93/3</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 w:val="20"/>
              </w:rPr>
            </w:pPr>
            <w:r>
              <w:rPr>
                <w:rFonts w:ascii="Times New Roman" w:hAnsi="Times New Roman"/>
                <w:sz w:val="20"/>
              </w:rPr>
              <w:t>Bp - zurbanizowane tereny niezabudowane lub w trakcie zabudowy (pow. 0,0097 ha)</w:t>
            </w:r>
          </w:p>
        </w:tc>
        <w:tc>
          <w:tcPr>
            <w:tcW w:w="2126" w:type="dxa"/>
            <w:vMerge w:val="restart"/>
            <w:tcBorders>
              <w:top w:val="single" w:sz="6" w:space="0" w:color="000000"/>
              <w:left w:val="single" w:sz="4" w:space="0" w:color="auto"/>
              <w:bottom w:val="single" w:sz="4" w:space="0" w:color="auto"/>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Cs w:val="24"/>
              </w:rPr>
            </w:pPr>
            <w:r>
              <w:rPr>
                <w:rFonts w:ascii="Times New Roman" w:hAnsi="Times New Roman"/>
                <w:szCs w:val="24"/>
              </w:rPr>
              <w:t>TO1T/00034467/8</w:t>
            </w:r>
          </w:p>
        </w:tc>
      </w:tr>
      <w:tr w:rsidR="005B639E" w:rsidTr="00156EFB">
        <w:tc>
          <w:tcPr>
            <w:tcW w:w="567" w:type="dxa"/>
            <w:vMerge/>
            <w:tcBorders>
              <w:top w:val="nil"/>
              <w:left w:val="single" w:sz="6" w:space="0" w:color="000000"/>
              <w:bottom w:val="single" w:sz="4" w:space="0" w:color="auto"/>
              <w:right w:val="nil"/>
            </w:tcBorders>
            <w:vAlign w:val="center"/>
            <w:hideMark/>
          </w:tcPr>
          <w:p w:rsidR="005B639E" w:rsidRDefault="005B639E">
            <w:pPr>
              <w:suppressAutoHyphens w:val="0"/>
              <w:rPr>
                <w:sz w:val="24"/>
                <w:szCs w:val="24"/>
                <w:lang w:eastAsia="pl-PL"/>
              </w:rPr>
            </w:pPr>
          </w:p>
        </w:tc>
        <w:tc>
          <w:tcPr>
            <w:tcW w:w="1843" w:type="dxa"/>
            <w:vMerge/>
            <w:tcBorders>
              <w:top w:val="nil"/>
              <w:left w:val="single" w:sz="6" w:space="0" w:color="000000"/>
              <w:bottom w:val="single" w:sz="4" w:space="0" w:color="auto"/>
              <w:right w:val="nil"/>
            </w:tcBorders>
            <w:vAlign w:val="center"/>
            <w:hideMark/>
          </w:tcPr>
          <w:p w:rsidR="005B639E" w:rsidRDefault="005B639E">
            <w:pPr>
              <w:suppressAutoHyphens w:val="0"/>
              <w:rPr>
                <w:b/>
                <w:sz w:val="24"/>
                <w:szCs w:val="24"/>
              </w:rPr>
            </w:pPr>
          </w:p>
        </w:tc>
        <w:tc>
          <w:tcPr>
            <w:tcW w:w="1276" w:type="dxa"/>
            <w:vMerge/>
            <w:tcBorders>
              <w:top w:val="nil"/>
              <w:left w:val="single" w:sz="6" w:space="0" w:color="000000"/>
              <w:bottom w:val="single" w:sz="4" w:space="0" w:color="auto"/>
              <w:right w:val="single" w:sz="6" w:space="0" w:color="000000"/>
            </w:tcBorders>
            <w:vAlign w:val="center"/>
            <w:hideMark/>
          </w:tcPr>
          <w:p w:rsidR="005B639E" w:rsidRDefault="005B639E">
            <w:pPr>
              <w:suppressAutoHyphens w:val="0"/>
              <w:rPr>
                <w:sz w:val="24"/>
                <w:szCs w:val="24"/>
                <w:lang w:eastAsia="pl-PL"/>
              </w:rPr>
            </w:pPr>
          </w:p>
        </w:tc>
        <w:tc>
          <w:tcPr>
            <w:tcW w:w="992" w:type="dxa"/>
            <w:tcBorders>
              <w:top w:val="single" w:sz="4" w:space="0" w:color="auto"/>
              <w:left w:val="single" w:sz="6" w:space="0" w:color="000000"/>
              <w:bottom w:val="single" w:sz="4" w:space="0" w:color="auto"/>
              <w:right w:val="single" w:sz="4" w:space="0" w:color="auto"/>
            </w:tcBorders>
            <w:vAlign w:val="center"/>
            <w:hideMark/>
          </w:tcPr>
          <w:p w:rsidR="005B639E" w:rsidRDefault="005B639E">
            <w:pPr>
              <w:jc w:val="center"/>
              <w:rPr>
                <w:sz w:val="24"/>
                <w:szCs w:val="24"/>
                <w:lang w:eastAsia="pl-PL"/>
              </w:rPr>
            </w:pPr>
            <w:r>
              <w:rPr>
                <w:sz w:val="24"/>
                <w:szCs w:val="24"/>
                <w:lang w:eastAsia="pl-PL"/>
              </w:rPr>
              <w:t>176/9</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 w:val="20"/>
              </w:rPr>
            </w:pPr>
            <w:r>
              <w:rPr>
                <w:rFonts w:ascii="Times New Roman" w:hAnsi="Times New Roman"/>
                <w:sz w:val="20"/>
              </w:rPr>
              <w:t>Bp - zurbanizowane tereny niezabudowane lub w trakcie zabudowy ( pow. 0,0070 ha)</w:t>
            </w:r>
          </w:p>
        </w:tc>
        <w:tc>
          <w:tcPr>
            <w:tcW w:w="2126" w:type="dxa"/>
            <w:vMerge/>
            <w:tcBorders>
              <w:top w:val="single" w:sz="6" w:space="0" w:color="000000"/>
              <w:left w:val="single" w:sz="4" w:space="0" w:color="auto"/>
              <w:bottom w:val="single" w:sz="4" w:space="0" w:color="auto"/>
              <w:right w:val="single" w:sz="4" w:space="0" w:color="auto"/>
            </w:tcBorders>
            <w:vAlign w:val="center"/>
            <w:hideMark/>
          </w:tcPr>
          <w:p w:rsidR="005B639E" w:rsidRDefault="005B639E">
            <w:pPr>
              <w:suppressAutoHyphens w:val="0"/>
              <w:rPr>
                <w:sz w:val="24"/>
                <w:szCs w:val="24"/>
              </w:rPr>
            </w:pPr>
          </w:p>
        </w:tc>
      </w:tr>
      <w:tr w:rsidR="005B639E" w:rsidTr="00156EFB">
        <w:tc>
          <w:tcPr>
            <w:tcW w:w="567" w:type="dxa"/>
            <w:vMerge/>
            <w:tcBorders>
              <w:top w:val="nil"/>
              <w:left w:val="single" w:sz="6" w:space="0" w:color="000000"/>
              <w:bottom w:val="single" w:sz="4" w:space="0" w:color="auto"/>
              <w:right w:val="nil"/>
            </w:tcBorders>
            <w:vAlign w:val="center"/>
            <w:hideMark/>
          </w:tcPr>
          <w:p w:rsidR="005B639E" w:rsidRDefault="005B639E">
            <w:pPr>
              <w:suppressAutoHyphens w:val="0"/>
              <w:rPr>
                <w:sz w:val="24"/>
                <w:szCs w:val="24"/>
                <w:lang w:eastAsia="pl-PL"/>
              </w:rPr>
            </w:pPr>
          </w:p>
        </w:tc>
        <w:tc>
          <w:tcPr>
            <w:tcW w:w="1843" w:type="dxa"/>
            <w:vMerge/>
            <w:tcBorders>
              <w:top w:val="nil"/>
              <w:left w:val="single" w:sz="6" w:space="0" w:color="000000"/>
              <w:bottom w:val="single" w:sz="4" w:space="0" w:color="auto"/>
              <w:right w:val="nil"/>
            </w:tcBorders>
            <w:vAlign w:val="center"/>
            <w:hideMark/>
          </w:tcPr>
          <w:p w:rsidR="005B639E" w:rsidRDefault="005B639E">
            <w:pPr>
              <w:suppressAutoHyphens w:val="0"/>
              <w:rPr>
                <w:b/>
                <w:sz w:val="24"/>
                <w:szCs w:val="24"/>
              </w:rPr>
            </w:pPr>
          </w:p>
        </w:tc>
        <w:tc>
          <w:tcPr>
            <w:tcW w:w="1276" w:type="dxa"/>
            <w:vMerge/>
            <w:tcBorders>
              <w:top w:val="nil"/>
              <w:left w:val="single" w:sz="6" w:space="0" w:color="000000"/>
              <w:bottom w:val="single" w:sz="4" w:space="0" w:color="auto"/>
              <w:right w:val="single" w:sz="6" w:space="0" w:color="000000"/>
            </w:tcBorders>
            <w:vAlign w:val="center"/>
            <w:hideMark/>
          </w:tcPr>
          <w:p w:rsidR="005B639E" w:rsidRDefault="005B639E">
            <w:pPr>
              <w:suppressAutoHyphens w:val="0"/>
              <w:rPr>
                <w:sz w:val="24"/>
                <w:szCs w:val="24"/>
                <w:lang w:eastAsia="pl-PL"/>
              </w:rPr>
            </w:pPr>
          </w:p>
        </w:tc>
        <w:tc>
          <w:tcPr>
            <w:tcW w:w="992" w:type="dxa"/>
            <w:tcBorders>
              <w:top w:val="single" w:sz="4" w:space="0" w:color="auto"/>
              <w:left w:val="single" w:sz="6" w:space="0" w:color="000000"/>
              <w:bottom w:val="single" w:sz="4" w:space="0" w:color="auto"/>
              <w:right w:val="single" w:sz="4" w:space="0" w:color="auto"/>
            </w:tcBorders>
            <w:vAlign w:val="center"/>
            <w:hideMark/>
          </w:tcPr>
          <w:p w:rsidR="005B639E" w:rsidRDefault="005B639E">
            <w:pPr>
              <w:jc w:val="center"/>
              <w:rPr>
                <w:sz w:val="24"/>
                <w:szCs w:val="24"/>
                <w:lang w:eastAsia="pl-PL"/>
              </w:rPr>
            </w:pPr>
            <w:r>
              <w:rPr>
                <w:sz w:val="24"/>
                <w:szCs w:val="24"/>
                <w:lang w:eastAsia="pl-PL"/>
              </w:rPr>
              <w:t>176/10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639E" w:rsidRDefault="005B639E">
            <w:pPr>
              <w:pStyle w:val="Tekstpodstawowy"/>
              <w:tabs>
                <w:tab w:val="left" w:pos="0"/>
                <w:tab w:val="left" w:pos="720"/>
              </w:tabs>
              <w:jc w:val="center"/>
              <w:rPr>
                <w:rFonts w:ascii="Times New Roman" w:hAnsi="Times New Roman"/>
                <w:sz w:val="20"/>
              </w:rPr>
            </w:pPr>
            <w:r>
              <w:rPr>
                <w:rFonts w:ascii="Times New Roman" w:hAnsi="Times New Roman"/>
                <w:sz w:val="20"/>
              </w:rPr>
              <w:t>Bp - zurbanizowane tereny niezabudowane lub w trakcie zabudowy(pow. 0,0031ha)</w:t>
            </w:r>
          </w:p>
        </w:tc>
        <w:tc>
          <w:tcPr>
            <w:tcW w:w="2126" w:type="dxa"/>
            <w:vMerge/>
            <w:tcBorders>
              <w:top w:val="single" w:sz="6" w:space="0" w:color="000000"/>
              <w:left w:val="single" w:sz="4" w:space="0" w:color="auto"/>
              <w:bottom w:val="single" w:sz="4" w:space="0" w:color="auto"/>
              <w:right w:val="single" w:sz="4" w:space="0" w:color="auto"/>
            </w:tcBorders>
            <w:vAlign w:val="center"/>
            <w:hideMark/>
          </w:tcPr>
          <w:p w:rsidR="005B639E" w:rsidRDefault="005B639E">
            <w:pPr>
              <w:suppressAutoHyphens w:val="0"/>
              <w:rPr>
                <w:sz w:val="24"/>
                <w:szCs w:val="24"/>
              </w:rPr>
            </w:pPr>
          </w:p>
        </w:tc>
      </w:tr>
    </w:tbl>
    <w:p w:rsidR="005B639E" w:rsidRDefault="005B639E" w:rsidP="005B639E">
      <w:pPr>
        <w:spacing w:line="360" w:lineRule="auto"/>
        <w:ind w:firstLine="708"/>
        <w:jc w:val="both"/>
        <w:rPr>
          <w:sz w:val="16"/>
          <w:szCs w:val="16"/>
        </w:rPr>
      </w:pPr>
    </w:p>
    <w:p w:rsidR="005B639E" w:rsidRDefault="005B639E" w:rsidP="005B639E">
      <w:pPr>
        <w:ind w:firstLine="708"/>
        <w:jc w:val="both"/>
        <w:rPr>
          <w:sz w:val="24"/>
          <w:szCs w:val="24"/>
        </w:rPr>
      </w:pPr>
      <w:r>
        <w:rPr>
          <w:sz w:val="24"/>
          <w:szCs w:val="24"/>
        </w:rPr>
        <w:t xml:space="preserve">3. W księdze wieczystej KW Nr TO1T/00051617/0 prowadzonej m.in. dla działki geod.                </w:t>
      </w:r>
      <w:r w:rsidR="001A4C64">
        <w:rPr>
          <w:sz w:val="24"/>
          <w:szCs w:val="24"/>
        </w:rPr>
        <w:t xml:space="preserve"> </w:t>
      </w:r>
      <w:r w:rsidR="00501D40">
        <w:rPr>
          <w:sz w:val="24"/>
          <w:szCs w:val="24"/>
        </w:rPr>
        <w:t xml:space="preserve">  </w:t>
      </w:r>
      <w:r>
        <w:rPr>
          <w:sz w:val="24"/>
          <w:szCs w:val="24"/>
        </w:rPr>
        <w:t xml:space="preserve">nr 90/12 w „Dziale III – Prawa, roszczenia i ograniczenia” wpisana jest służebność gruntowa drogi, która nie </w:t>
      </w:r>
      <w:r w:rsidR="00531E8A">
        <w:rPr>
          <w:sz w:val="24"/>
          <w:szCs w:val="24"/>
        </w:rPr>
        <w:t xml:space="preserve">jest wykonywana na </w:t>
      </w:r>
      <w:r>
        <w:rPr>
          <w:sz w:val="24"/>
          <w:szCs w:val="24"/>
        </w:rPr>
        <w:t>przedmiotowej dział</w:t>
      </w:r>
      <w:r w:rsidR="00531E8A">
        <w:rPr>
          <w:sz w:val="24"/>
          <w:szCs w:val="24"/>
        </w:rPr>
        <w:t>ce</w:t>
      </w:r>
      <w:r>
        <w:rPr>
          <w:sz w:val="24"/>
          <w:szCs w:val="24"/>
        </w:rPr>
        <w:t xml:space="preserve">.  </w:t>
      </w:r>
    </w:p>
    <w:p w:rsidR="005B639E" w:rsidRDefault="005B639E" w:rsidP="005B639E">
      <w:pPr>
        <w:ind w:firstLine="708"/>
        <w:jc w:val="both"/>
        <w:rPr>
          <w:sz w:val="24"/>
          <w:szCs w:val="24"/>
        </w:rPr>
      </w:pPr>
      <w:r>
        <w:rPr>
          <w:sz w:val="24"/>
          <w:szCs w:val="24"/>
        </w:rPr>
        <w:t>4. W księdze wieczystej KW Nr TO1T/00034467/8 prowadzonej m.in. dla działek geod.                nr 93/3, nr 176/9 i nr 176/10 w „Dziale I-Sp - Spis praw związanych z własnością” i w „Dziale  III – Prawa, roszczenia i ograniczenia” wpisane są służebności gruntowe, które nie dotyczą przedmiotowych działek.</w:t>
      </w:r>
    </w:p>
    <w:p w:rsidR="005B639E" w:rsidRDefault="005B639E" w:rsidP="005B639E">
      <w:pPr>
        <w:ind w:firstLine="708"/>
        <w:jc w:val="both"/>
        <w:rPr>
          <w:sz w:val="24"/>
          <w:szCs w:val="24"/>
        </w:rPr>
      </w:pPr>
    </w:p>
    <w:p w:rsidR="005B639E" w:rsidRDefault="005B639E" w:rsidP="005B639E">
      <w:pPr>
        <w:suppressAutoHyphens w:val="0"/>
        <w:ind w:firstLine="708"/>
        <w:jc w:val="both"/>
        <w:rPr>
          <w:rFonts w:eastAsia="Calibri"/>
          <w:sz w:val="24"/>
          <w:szCs w:val="24"/>
          <w:lang w:eastAsia="en-US"/>
        </w:rPr>
      </w:pPr>
      <w:r>
        <w:rPr>
          <w:sz w:val="24"/>
          <w:szCs w:val="24"/>
        </w:rPr>
        <w:t>§3.1. Kompleks nieruchomości położony jest na terenie objętym miejscowym planem zagospodarowania przestrzennego zatwierdzonym Uchwałą Nr 40</w:t>
      </w:r>
      <w:r w:rsidR="00E47C94">
        <w:rPr>
          <w:sz w:val="24"/>
          <w:szCs w:val="24"/>
        </w:rPr>
        <w:t>7/08 Rady Miasta Torunia z dnia</w:t>
      </w:r>
      <w:r>
        <w:rPr>
          <w:sz w:val="24"/>
          <w:szCs w:val="24"/>
        </w:rPr>
        <w:t xml:space="preserve"> 2 października 2008 r. </w:t>
      </w:r>
      <w:r>
        <w:rPr>
          <w:rStyle w:val="b"/>
          <w:sz w:val="24"/>
          <w:szCs w:val="24"/>
        </w:rPr>
        <w:t>w sprawie miejscowego planu zagospodarowania przestrzennego obszaru „Grębocin Nad Strugą – B” w Toruniu, znajdującym się w granicach jednostki planistycznej 6.14-U1</w:t>
      </w:r>
      <w:r>
        <w:rPr>
          <w:sz w:val="24"/>
          <w:szCs w:val="24"/>
        </w:rPr>
        <w:t xml:space="preserve">, dla której wskazano </w:t>
      </w:r>
      <w:r w:rsidRPr="00202C22">
        <w:rPr>
          <w:sz w:val="24"/>
          <w:szCs w:val="24"/>
          <w:u w:val="single"/>
        </w:rPr>
        <w:t>przeznaczenie podstawowe</w:t>
      </w:r>
      <w:r>
        <w:rPr>
          <w:sz w:val="24"/>
          <w:szCs w:val="24"/>
        </w:rPr>
        <w:t>: tereny usług</w:t>
      </w:r>
      <w:r w:rsidR="00202C22">
        <w:rPr>
          <w:sz w:val="24"/>
          <w:szCs w:val="24"/>
        </w:rPr>
        <w:br/>
      </w:r>
      <w:r>
        <w:rPr>
          <w:sz w:val="24"/>
          <w:szCs w:val="24"/>
        </w:rPr>
        <w:t xml:space="preserve">i </w:t>
      </w:r>
      <w:r w:rsidR="00202C22" w:rsidRPr="00202C22">
        <w:rPr>
          <w:sz w:val="24"/>
          <w:szCs w:val="24"/>
          <w:u w:val="single"/>
        </w:rPr>
        <w:t xml:space="preserve">przeznaczenie </w:t>
      </w:r>
      <w:r w:rsidRPr="00202C22">
        <w:rPr>
          <w:rFonts w:eastAsia="Calibri"/>
          <w:sz w:val="24"/>
          <w:szCs w:val="24"/>
          <w:u w:val="single"/>
          <w:lang w:eastAsia="en-US"/>
        </w:rPr>
        <w:t>dopuszczalne</w:t>
      </w:r>
      <w:r>
        <w:rPr>
          <w:rFonts w:eastAsia="Calibri"/>
          <w:sz w:val="24"/>
          <w:szCs w:val="24"/>
          <w:lang w:eastAsia="en-US"/>
        </w:rPr>
        <w:t>: produkcja, składy</w:t>
      </w:r>
      <w:r w:rsidR="00202C22">
        <w:rPr>
          <w:rFonts w:eastAsia="Calibri"/>
          <w:sz w:val="24"/>
          <w:szCs w:val="24"/>
          <w:lang w:eastAsia="en-US"/>
        </w:rPr>
        <w:t xml:space="preserve"> </w:t>
      </w:r>
      <w:r>
        <w:rPr>
          <w:rFonts w:eastAsia="Calibri"/>
          <w:sz w:val="24"/>
          <w:szCs w:val="24"/>
          <w:lang w:eastAsia="en-US"/>
        </w:rPr>
        <w:t>i magazyny, drogi wewnętrzne, parkingi, garaże wielostanowiskowe, funkcja mieszkaniowa integralnie związana z prowadzoną działalnością usługową lub produkcyjną, obiekty małej architektury, zieleń urządzona, urządzenia i sieci infrastruktury technicznej.</w:t>
      </w:r>
    </w:p>
    <w:p w:rsidR="005B639E" w:rsidRDefault="005B639E" w:rsidP="005B639E">
      <w:pPr>
        <w:suppressAutoHyphens w:val="0"/>
        <w:ind w:firstLine="708"/>
        <w:jc w:val="both"/>
        <w:rPr>
          <w:rFonts w:eastAsia="Calibri"/>
          <w:sz w:val="24"/>
          <w:szCs w:val="24"/>
          <w:lang w:eastAsia="en-US"/>
        </w:rPr>
      </w:pPr>
      <w:r>
        <w:rPr>
          <w:rFonts w:eastAsia="Calibri"/>
          <w:sz w:val="24"/>
          <w:szCs w:val="24"/>
          <w:lang w:eastAsia="en-US"/>
        </w:rPr>
        <w:lastRenderedPageBreak/>
        <w:t>2. Ww. plan miejscowy wyklucza lokalizację:</w:t>
      </w:r>
    </w:p>
    <w:p w:rsidR="005B639E" w:rsidRDefault="005B639E" w:rsidP="005B639E">
      <w:pPr>
        <w:numPr>
          <w:ilvl w:val="0"/>
          <w:numId w:val="3"/>
        </w:numPr>
        <w:suppressAutoHyphens w:val="0"/>
        <w:contextualSpacing/>
        <w:jc w:val="both"/>
        <w:rPr>
          <w:rFonts w:eastAsia="Calibri"/>
          <w:sz w:val="24"/>
          <w:szCs w:val="24"/>
          <w:lang w:eastAsia="en-US"/>
        </w:rPr>
      </w:pPr>
      <w:r>
        <w:rPr>
          <w:rFonts w:eastAsia="Calibri"/>
          <w:sz w:val="24"/>
          <w:szCs w:val="24"/>
          <w:lang w:eastAsia="en-US"/>
        </w:rPr>
        <w:t xml:space="preserve">stacji demontażu pojazdów, sprzętu gospodarstwa domowego, komputerów, itp.                              i przetwarzania odpadów powstałych z tego demontażu, </w:t>
      </w:r>
    </w:p>
    <w:p w:rsidR="005B639E" w:rsidRDefault="005B639E" w:rsidP="005B639E">
      <w:pPr>
        <w:numPr>
          <w:ilvl w:val="0"/>
          <w:numId w:val="3"/>
        </w:numPr>
        <w:suppressAutoHyphens w:val="0"/>
        <w:contextualSpacing/>
        <w:jc w:val="both"/>
        <w:rPr>
          <w:rFonts w:eastAsia="Calibri"/>
          <w:sz w:val="24"/>
          <w:szCs w:val="24"/>
          <w:lang w:eastAsia="en-US"/>
        </w:rPr>
      </w:pPr>
      <w:r>
        <w:rPr>
          <w:rFonts w:eastAsia="Calibri"/>
          <w:sz w:val="24"/>
          <w:szCs w:val="24"/>
          <w:lang w:eastAsia="en-US"/>
        </w:rPr>
        <w:t>obiektów, urządzeń i instalacji związanych z odzyskiem lub unieszkodliwianiem odpadów oraz ze składowaniem, zbieraniem i przeładunk</w:t>
      </w:r>
      <w:r w:rsidR="00202C22">
        <w:rPr>
          <w:rFonts w:eastAsia="Calibri"/>
          <w:sz w:val="24"/>
          <w:szCs w:val="24"/>
          <w:lang w:eastAsia="en-US"/>
        </w:rPr>
        <w:t xml:space="preserve">iem odpadów (np. złomowiska), </w:t>
      </w:r>
      <w:r>
        <w:rPr>
          <w:rFonts w:eastAsia="Calibri"/>
          <w:sz w:val="24"/>
          <w:szCs w:val="24"/>
          <w:lang w:eastAsia="en-US"/>
        </w:rPr>
        <w:t>z wyłączeniem gospodarki odpadami powstałymi w</w:t>
      </w:r>
      <w:r w:rsidR="00202C22">
        <w:rPr>
          <w:rFonts w:eastAsia="Calibri"/>
          <w:sz w:val="24"/>
          <w:szCs w:val="24"/>
          <w:lang w:eastAsia="en-US"/>
        </w:rPr>
        <w:t xml:space="preserve"> trakcie działalności usługowej </w:t>
      </w:r>
      <w:r>
        <w:rPr>
          <w:rFonts w:eastAsia="Calibri"/>
          <w:sz w:val="24"/>
          <w:szCs w:val="24"/>
          <w:lang w:eastAsia="en-US"/>
        </w:rPr>
        <w:t xml:space="preserve">i produkcyjnej, prowadzonej w ramach przeznaczenia podstawowego terenu, </w:t>
      </w:r>
    </w:p>
    <w:p w:rsidR="005B639E" w:rsidRDefault="005B639E" w:rsidP="005B639E">
      <w:pPr>
        <w:numPr>
          <w:ilvl w:val="0"/>
          <w:numId w:val="3"/>
        </w:numPr>
        <w:suppressAutoHyphens w:val="0"/>
        <w:contextualSpacing/>
        <w:jc w:val="both"/>
        <w:rPr>
          <w:rFonts w:eastAsia="Calibri"/>
          <w:sz w:val="24"/>
          <w:szCs w:val="24"/>
          <w:lang w:eastAsia="en-US"/>
        </w:rPr>
      </w:pPr>
      <w:r>
        <w:rPr>
          <w:rFonts w:eastAsia="Calibri"/>
          <w:sz w:val="24"/>
          <w:szCs w:val="24"/>
          <w:lang w:eastAsia="en-US"/>
        </w:rPr>
        <w:t>funkcji chronionych,</w:t>
      </w:r>
    </w:p>
    <w:p w:rsidR="005B639E" w:rsidRDefault="005B639E" w:rsidP="005B639E">
      <w:pPr>
        <w:numPr>
          <w:ilvl w:val="0"/>
          <w:numId w:val="3"/>
        </w:numPr>
        <w:suppressAutoHyphens w:val="0"/>
        <w:contextualSpacing/>
        <w:jc w:val="both"/>
        <w:rPr>
          <w:rFonts w:eastAsia="Calibri"/>
          <w:sz w:val="24"/>
          <w:szCs w:val="24"/>
          <w:lang w:eastAsia="en-US"/>
        </w:rPr>
      </w:pPr>
      <w:r>
        <w:rPr>
          <w:rFonts w:eastAsia="Calibri"/>
          <w:sz w:val="24"/>
          <w:szCs w:val="24"/>
          <w:lang w:eastAsia="en-US"/>
        </w:rPr>
        <w:t xml:space="preserve">przedsięwzięć mogących znacząco oddziaływać na środowisko i wymagających obowiązkowo sporządzenia raportu o oddziaływaniu na środowisko (zakaz nie dotyczy urządzeń i sieci infrastruktury technicznej z wyjątkiem stacji bazowych telefonii komórkowej). </w:t>
      </w:r>
    </w:p>
    <w:p w:rsidR="005B639E" w:rsidRDefault="005B639E" w:rsidP="005B639E">
      <w:pPr>
        <w:suppressAutoHyphens w:val="0"/>
        <w:ind w:firstLine="708"/>
        <w:jc w:val="both"/>
        <w:rPr>
          <w:rFonts w:eastAsia="Calibri"/>
          <w:sz w:val="24"/>
          <w:szCs w:val="24"/>
          <w:lang w:eastAsia="en-US"/>
        </w:rPr>
      </w:pPr>
      <w:r>
        <w:rPr>
          <w:rFonts w:eastAsia="Calibri"/>
          <w:sz w:val="24"/>
          <w:szCs w:val="24"/>
          <w:lang w:eastAsia="en-US"/>
        </w:rPr>
        <w:t>3. Plan miejscowy wyznacza pas terenu, oznaczony na rysunku planu – jako obszar ograniczonego użytkowania dla napowietrznej linii elektroenergetycznej WN 110 kV (po 20 metrów w obie strony od osi linii) - ustalenie przestaje obowiązywać w przypadku dyslokacji linii lub jej skablowania.</w:t>
      </w:r>
    </w:p>
    <w:p w:rsidR="005B639E" w:rsidRDefault="005B639E" w:rsidP="005B639E">
      <w:pPr>
        <w:suppressAutoHyphens w:val="0"/>
        <w:ind w:firstLine="708"/>
        <w:jc w:val="both"/>
        <w:rPr>
          <w:rFonts w:eastAsia="Calibri"/>
          <w:sz w:val="24"/>
          <w:szCs w:val="24"/>
          <w:lang w:eastAsia="en-US"/>
        </w:rPr>
      </w:pPr>
      <w:r>
        <w:rPr>
          <w:rFonts w:eastAsia="Calibri"/>
          <w:sz w:val="24"/>
          <w:szCs w:val="24"/>
          <w:lang w:eastAsia="en-US"/>
        </w:rPr>
        <w:t xml:space="preserve">4. Ponadto plan miejscowy </w:t>
      </w:r>
      <w:r w:rsidR="00202C22">
        <w:rPr>
          <w:rFonts w:eastAsia="Calibri"/>
          <w:sz w:val="24"/>
          <w:szCs w:val="24"/>
          <w:lang w:eastAsia="en-US"/>
        </w:rPr>
        <w:t>wprowadza</w:t>
      </w:r>
      <w:r>
        <w:rPr>
          <w:rFonts w:eastAsia="Calibri"/>
          <w:sz w:val="24"/>
          <w:szCs w:val="24"/>
          <w:lang w:eastAsia="en-US"/>
        </w:rPr>
        <w:t>:</w:t>
      </w:r>
    </w:p>
    <w:p w:rsidR="005B639E" w:rsidRDefault="005B639E" w:rsidP="005B639E">
      <w:pPr>
        <w:pStyle w:val="Akapitzlist"/>
        <w:numPr>
          <w:ilvl w:val="0"/>
          <w:numId w:val="4"/>
        </w:numPr>
        <w:suppressAutoHyphens w:val="0"/>
        <w:jc w:val="both"/>
        <w:rPr>
          <w:rFonts w:eastAsia="Calibri"/>
          <w:sz w:val="24"/>
          <w:szCs w:val="24"/>
          <w:lang w:eastAsia="en-US"/>
        </w:rPr>
      </w:pPr>
      <w:r>
        <w:rPr>
          <w:rFonts w:eastAsia="Calibri"/>
          <w:sz w:val="24"/>
          <w:szCs w:val="24"/>
          <w:lang w:eastAsia="en-US"/>
        </w:rPr>
        <w:t>nakaz uzgodnienia zamierzeń inwestycyjnych – zagospodarowania terenu, usytuowania budynków, ich przeznaczenia i gabarytów, nasadzeń zieleni lokalizowanych w pasie ograniczonego użytkowania linii elektroenergetycznej –</w:t>
      </w:r>
      <w:r w:rsidR="00F753EB">
        <w:rPr>
          <w:rFonts w:eastAsia="Calibri"/>
          <w:sz w:val="24"/>
          <w:szCs w:val="24"/>
          <w:lang w:eastAsia="en-US"/>
        </w:rPr>
        <w:br/>
      </w:r>
      <w:r>
        <w:rPr>
          <w:rFonts w:eastAsia="Calibri"/>
          <w:sz w:val="24"/>
          <w:szCs w:val="24"/>
          <w:lang w:eastAsia="en-US"/>
        </w:rPr>
        <w:t>z zarządcą tej linii,</w:t>
      </w:r>
    </w:p>
    <w:p w:rsidR="002F139C" w:rsidRDefault="005B639E" w:rsidP="005B639E">
      <w:pPr>
        <w:pStyle w:val="Akapitzlist"/>
        <w:numPr>
          <w:ilvl w:val="0"/>
          <w:numId w:val="4"/>
        </w:numPr>
        <w:suppressAutoHyphens w:val="0"/>
        <w:jc w:val="both"/>
        <w:rPr>
          <w:rFonts w:eastAsia="Calibri"/>
          <w:sz w:val="24"/>
          <w:szCs w:val="24"/>
          <w:lang w:eastAsia="en-US"/>
        </w:rPr>
      </w:pPr>
      <w:r>
        <w:rPr>
          <w:rFonts w:eastAsia="Calibri"/>
          <w:sz w:val="24"/>
          <w:szCs w:val="24"/>
          <w:lang w:eastAsia="en-US"/>
        </w:rPr>
        <w:t>nakaz zachowania pasa technicznego o szerokości po 1,5 metra od osi istniejących kanałów ściekowych z możliwością przełożenia tych sieci na warunkach</w:t>
      </w:r>
      <w:r w:rsidR="00F753EB">
        <w:rPr>
          <w:rFonts w:eastAsia="Calibri"/>
          <w:sz w:val="24"/>
          <w:szCs w:val="24"/>
          <w:lang w:eastAsia="en-US"/>
        </w:rPr>
        <w:br/>
      </w:r>
      <w:r>
        <w:rPr>
          <w:rFonts w:eastAsia="Calibri"/>
          <w:sz w:val="24"/>
          <w:szCs w:val="24"/>
          <w:lang w:eastAsia="en-US"/>
        </w:rPr>
        <w:t>i w uzgodnieniu z ich zarządcą oraz nakaz odsunięcia linii zabudowy na odległość po 3,0 metry od osi kanałów ściekowych. Ustalenia przestają obowiązywać</w:t>
      </w:r>
      <w:r w:rsidR="00F753EB">
        <w:rPr>
          <w:rFonts w:eastAsia="Calibri"/>
          <w:sz w:val="24"/>
          <w:szCs w:val="24"/>
          <w:lang w:eastAsia="en-US"/>
        </w:rPr>
        <w:br/>
      </w:r>
      <w:r>
        <w:rPr>
          <w:rFonts w:eastAsia="Calibri"/>
          <w:sz w:val="24"/>
          <w:szCs w:val="24"/>
          <w:lang w:eastAsia="en-US"/>
        </w:rPr>
        <w:t>w przypadku przełożenia sieci na tereny komunikacji publicznej lub zieleni urządzonej</w:t>
      </w:r>
      <w:r w:rsidR="002F139C">
        <w:rPr>
          <w:rFonts w:eastAsia="Calibri"/>
          <w:sz w:val="24"/>
          <w:szCs w:val="24"/>
          <w:lang w:eastAsia="en-US"/>
        </w:rPr>
        <w:t>,</w:t>
      </w:r>
    </w:p>
    <w:p w:rsidR="002F139C" w:rsidRDefault="002F139C" w:rsidP="005B639E">
      <w:pPr>
        <w:pStyle w:val="Akapitzlist"/>
        <w:numPr>
          <w:ilvl w:val="0"/>
          <w:numId w:val="4"/>
        </w:numPr>
        <w:suppressAutoHyphens w:val="0"/>
        <w:jc w:val="both"/>
        <w:rPr>
          <w:rFonts w:eastAsia="Calibri"/>
          <w:sz w:val="24"/>
          <w:szCs w:val="24"/>
          <w:lang w:eastAsia="en-US"/>
        </w:rPr>
      </w:pPr>
      <w:r>
        <w:rPr>
          <w:rFonts w:eastAsia="Calibri"/>
          <w:sz w:val="24"/>
          <w:szCs w:val="24"/>
          <w:lang w:eastAsia="en-US"/>
        </w:rPr>
        <w:t>maksymalną wysokość budynków 3 kondygnacje nadziemne, lecz nie więcej niż 15,5 m nad poziomem terenu,</w:t>
      </w:r>
    </w:p>
    <w:p w:rsidR="002F139C" w:rsidRDefault="002F139C" w:rsidP="005B639E">
      <w:pPr>
        <w:pStyle w:val="Akapitzlist"/>
        <w:numPr>
          <w:ilvl w:val="0"/>
          <w:numId w:val="4"/>
        </w:numPr>
        <w:suppressAutoHyphens w:val="0"/>
        <w:jc w:val="both"/>
        <w:rPr>
          <w:rFonts w:eastAsia="Calibri"/>
          <w:sz w:val="24"/>
          <w:szCs w:val="24"/>
          <w:lang w:eastAsia="en-US"/>
        </w:rPr>
      </w:pPr>
      <w:r>
        <w:rPr>
          <w:rFonts w:eastAsia="Calibri"/>
          <w:sz w:val="24"/>
          <w:szCs w:val="24"/>
          <w:lang w:eastAsia="en-US"/>
        </w:rPr>
        <w:t>nakaz zachowania powierzchni działki budowalnej jako biologicznie czynnej – min. 15 %,</w:t>
      </w:r>
    </w:p>
    <w:p w:rsidR="005B639E" w:rsidRDefault="002F139C" w:rsidP="005B639E">
      <w:pPr>
        <w:pStyle w:val="Akapitzlist"/>
        <w:numPr>
          <w:ilvl w:val="0"/>
          <w:numId w:val="4"/>
        </w:numPr>
        <w:suppressAutoHyphens w:val="0"/>
        <w:jc w:val="both"/>
        <w:rPr>
          <w:rFonts w:eastAsia="Calibri"/>
          <w:sz w:val="24"/>
          <w:szCs w:val="24"/>
          <w:lang w:eastAsia="en-US"/>
        </w:rPr>
      </w:pPr>
      <w:r>
        <w:rPr>
          <w:rFonts w:eastAsia="Calibri"/>
          <w:sz w:val="24"/>
          <w:szCs w:val="24"/>
          <w:lang w:eastAsia="en-US"/>
        </w:rPr>
        <w:t>nakaz wprowadzenia, od strony dróg publicznych, pasa zieleni izolacyjnej</w:t>
      </w:r>
      <w:r>
        <w:rPr>
          <w:rFonts w:eastAsia="Calibri"/>
          <w:sz w:val="24"/>
          <w:szCs w:val="24"/>
          <w:lang w:eastAsia="en-US"/>
        </w:rPr>
        <w:br/>
        <w:t xml:space="preserve">o szerokości min. 5,0 m, </w:t>
      </w:r>
      <w:r w:rsidR="005B639E">
        <w:rPr>
          <w:rFonts w:eastAsia="Calibri"/>
          <w:sz w:val="24"/>
          <w:szCs w:val="24"/>
          <w:lang w:eastAsia="en-US"/>
        </w:rPr>
        <w:t xml:space="preserve"> </w:t>
      </w:r>
      <w:r>
        <w:rPr>
          <w:rFonts w:eastAsia="Calibri"/>
          <w:sz w:val="24"/>
          <w:szCs w:val="24"/>
          <w:lang w:eastAsia="en-US"/>
        </w:rPr>
        <w:t xml:space="preserve">w przypadku </w:t>
      </w:r>
      <w:r w:rsidR="00715CE8">
        <w:rPr>
          <w:rFonts w:eastAsia="Calibri"/>
          <w:sz w:val="24"/>
          <w:szCs w:val="24"/>
          <w:lang w:eastAsia="en-US"/>
        </w:rPr>
        <w:t>lokalizacji</w:t>
      </w:r>
      <w:r>
        <w:rPr>
          <w:rFonts w:eastAsia="Calibri"/>
          <w:sz w:val="24"/>
          <w:szCs w:val="24"/>
          <w:lang w:eastAsia="en-US"/>
        </w:rPr>
        <w:t xml:space="preserve"> otwartych placów składowych</w:t>
      </w:r>
      <w:r w:rsidR="00F753EB">
        <w:rPr>
          <w:rFonts w:eastAsia="Calibri"/>
          <w:sz w:val="24"/>
          <w:szCs w:val="24"/>
          <w:lang w:eastAsia="en-US"/>
        </w:rPr>
        <w:br/>
      </w:r>
      <w:r>
        <w:rPr>
          <w:rFonts w:eastAsia="Calibri"/>
          <w:sz w:val="24"/>
          <w:szCs w:val="24"/>
          <w:lang w:eastAsia="en-US"/>
        </w:rPr>
        <w:t xml:space="preserve">od strony </w:t>
      </w:r>
      <w:r w:rsidR="00715CE8">
        <w:rPr>
          <w:rFonts w:eastAsia="Calibri"/>
          <w:sz w:val="24"/>
          <w:szCs w:val="24"/>
          <w:lang w:eastAsia="en-US"/>
        </w:rPr>
        <w:t>dróg publicznych.</w:t>
      </w:r>
    </w:p>
    <w:p w:rsidR="00715CE8" w:rsidRDefault="00715CE8" w:rsidP="00715CE8">
      <w:pPr>
        <w:pStyle w:val="Akapitzlist"/>
        <w:suppressAutoHyphens w:val="0"/>
        <w:ind w:left="1068"/>
        <w:jc w:val="both"/>
        <w:rPr>
          <w:rFonts w:eastAsia="Calibri"/>
          <w:sz w:val="24"/>
          <w:szCs w:val="24"/>
          <w:lang w:eastAsia="en-US"/>
        </w:rPr>
      </w:pPr>
    </w:p>
    <w:p w:rsidR="005B639E" w:rsidRPr="00A368D5" w:rsidRDefault="005B639E" w:rsidP="005B639E">
      <w:pPr>
        <w:ind w:firstLine="708"/>
        <w:jc w:val="both"/>
        <w:rPr>
          <w:sz w:val="24"/>
          <w:szCs w:val="24"/>
          <w:lang w:eastAsia="pl-PL"/>
        </w:rPr>
      </w:pPr>
      <w:r>
        <w:rPr>
          <w:sz w:val="24"/>
          <w:szCs w:val="24"/>
        </w:rPr>
        <w:t>§4</w:t>
      </w:r>
      <w:r>
        <w:rPr>
          <w:sz w:val="24"/>
          <w:szCs w:val="24"/>
          <w:lang w:eastAsia="pl-PL"/>
        </w:rPr>
        <w:t>.1. Zbywany grunt jest niezabudowany, niezagospodarowany i porośnięty drzewami. Kształt działki to nieregularny wielobok. Nieruchomość jest nieuzbrojona, ale znajduje się</w:t>
      </w:r>
      <w:r w:rsidR="00FC0553">
        <w:rPr>
          <w:sz w:val="24"/>
          <w:szCs w:val="24"/>
          <w:lang w:eastAsia="pl-PL"/>
        </w:rPr>
        <w:br/>
        <w:t>|</w:t>
      </w:r>
      <w:r>
        <w:rPr>
          <w:sz w:val="24"/>
          <w:szCs w:val="24"/>
          <w:lang w:eastAsia="pl-PL"/>
        </w:rPr>
        <w:t>w zasięgu sieci: elektroenergetycznej, wodociągowej, kanalizacji sanitarnej, gazowej</w:t>
      </w:r>
      <w:r w:rsidR="00FC0553">
        <w:rPr>
          <w:sz w:val="24"/>
          <w:szCs w:val="24"/>
          <w:lang w:eastAsia="pl-PL"/>
        </w:rPr>
        <w:br/>
      </w:r>
      <w:r>
        <w:rPr>
          <w:sz w:val="24"/>
          <w:szCs w:val="24"/>
          <w:lang w:eastAsia="pl-PL"/>
        </w:rPr>
        <w:t xml:space="preserve">i telekomunikacyjnej. Przez grunt przebiegają sieci uzbrojenia terenu: sieć wodociągowa DN 150, kanalizacja sanitarna DN 300, kanalizacja deszczowa DN 800, infrastruktura teletechniczna 1xHPDE 40 mm („iB”), napowietrzna linia elektroenergetyczna WN 110 kV , </w:t>
      </w:r>
      <w:r w:rsidRPr="00A368D5">
        <w:rPr>
          <w:sz w:val="24"/>
          <w:szCs w:val="24"/>
          <w:lang w:eastAsia="pl-PL"/>
        </w:rPr>
        <w:t>linia telekomunikacyjna.</w:t>
      </w:r>
    </w:p>
    <w:p w:rsidR="007937E3" w:rsidRPr="00A368D5" w:rsidRDefault="005B639E" w:rsidP="00F6208F">
      <w:pPr>
        <w:ind w:firstLine="708"/>
        <w:jc w:val="both"/>
        <w:rPr>
          <w:sz w:val="24"/>
          <w:szCs w:val="24"/>
          <w:lang w:eastAsia="pl-PL"/>
        </w:rPr>
      </w:pPr>
      <w:r w:rsidRPr="00A368D5">
        <w:rPr>
          <w:sz w:val="24"/>
          <w:szCs w:val="24"/>
          <w:lang w:eastAsia="pl-PL"/>
        </w:rPr>
        <w:t>2. Nabywca nieruchomości zobowiązany jest do u</w:t>
      </w:r>
      <w:r w:rsidR="00F6208F" w:rsidRPr="00A368D5">
        <w:rPr>
          <w:sz w:val="24"/>
          <w:szCs w:val="24"/>
          <w:lang w:eastAsia="pl-PL"/>
        </w:rPr>
        <w:t>stanowienia w akcie notarialnym</w:t>
      </w:r>
      <w:r w:rsidR="007937E3" w:rsidRPr="00A368D5">
        <w:rPr>
          <w:sz w:val="24"/>
          <w:szCs w:val="24"/>
          <w:lang w:eastAsia="pl-PL"/>
        </w:rPr>
        <w:t>:</w:t>
      </w:r>
    </w:p>
    <w:p w:rsidR="007937E3" w:rsidRPr="0007179A" w:rsidRDefault="005B639E" w:rsidP="0007179A">
      <w:pPr>
        <w:pStyle w:val="Akapitzlist"/>
        <w:numPr>
          <w:ilvl w:val="0"/>
          <w:numId w:val="8"/>
        </w:numPr>
        <w:jc w:val="both"/>
        <w:rPr>
          <w:sz w:val="24"/>
          <w:szCs w:val="24"/>
          <w:lang w:eastAsia="pl-PL"/>
        </w:rPr>
      </w:pPr>
      <w:r w:rsidRPr="00A368D5">
        <w:rPr>
          <w:sz w:val="24"/>
          <w:szCs w:val="24"/>
          <w:lang w:eastAsia="pl-PL"/>
        </w:rPr>
        <w:t>nieodpłatnej służebności gruntowej</w:t>
      </w:r>
      <w:r w:rsidR="00F6208F" w:rsidRPr="00A368D5">
        <w:rPr>
          <w:sz w:val="24"/>
          <w:szCs w:val="24"/>
          <w:lang w:eastAsia="pl-PL"/>
        </w:rPr>
        <w:t xml:space="preserve"> na działkach 90/12</w:t>
      </w:r>
      <w:r w:rsidR="001A6EBB">
        <w:rPr>
          <w:sz w:val="24"/>
          <w:szCs w:val="24"/>
          <w:lang w:eastAsia="pl-PL"/>
        </w:rPr>
        <w:t xml:space="preserve"> KW Nr TO1T/00051617/0</w:t>
      </w:r>
      <w:r w:rsidR="00F6208F" w:rsidRPr="00A368D5">
        <w:rPr>
          <w:sz w:val="24"/>
          <w:szCs w:val="24"/>
          <w:lang w:eastAsia="pl-PL"/>
        </w:rPr>
        <w:t xml:space="preserve"> i 93/</w:t>
      </w:r>
      <w:r w:rsidR="007937E3" w:rsidRPr="00A368D5">
        <w:rPr>
          <w:sz w:val="24"/>
          <w:szCs w:val="24"/>
          <w:lang w:eastAsia="pl-PL"/>
        </w:rPr>
        <w:t>6</w:t>
      </w:r>
      <w:r w:rsidR="001A6EBB">
        <w:rPr>
          <w:sz w:val="24"/>
          <w:szCs w:val="24"/>
          <w:lang w:eastAsia="pl-PL"/>
        </w:rPr>
        <w:t xml:space="preserve"> (TO1T/000639985/7)</w:t>
      </w:r>
      <w:r w:rsidR="00F6208F" w:rsidRPr="00A368D5">
        <w:rPr>
          <w:sz w:val="24"/>
          <w:szCs w:val="24"/>
          <w:lang w:eastAsia="pl-PL"/>
        </w:rPr>
        <w:t xml:space="preserve"> w obrębie 54</w:t>
      </w:r>
      <w:r w:rsidR="001A6EBB">
        <w:rPr>
          <w:sz w:val="24"/>
          <w:szCs w:val="24"/>
          <w:lang w:eastAsia="pl-PL"/>
        </w:rPr>
        <w:t xml:space="preserve"> </w:t>
      </w:r>
      <w:r w:rsidRPr="00A368D5">
        <w:rPr>
          <w:sz w:val="24"/>
          <w:szCs w:val="24"/>
          <w:lang w:eastAsia="pl-PL"/>
        </w:rPr>
        <w:t>na rzecz każdoczesnego właściciela nieruchomości sąsiedniej stanowiącej działkę geod. nr 176/4</w:t>
      </w:r>
      <w:r w:rsidR="001A6EBB">
        <w:rPr>
          <w:sz w:val="24"/>
          <w:szCs w:val="24"/>
          <w:lang w:eastAsia="pl-PL"/>
        </w:rPr>
        <w:t xml:space="preserve"> w </w:t>
      </w:r>
      <w:r w:rsidRPr="00A368D5">
        <w:rPr>
          <w:sz w:val="24"/>
          <w:szCs w:val="24"/>
          <w:lang w:eastAsia="pl-PL"/>
        </w:rPr>
        <w:t>obręb</w:t>
      </w:r>
      <w:r w:rsidR="001A6EBB">
        <w:rPr>
          <w:sz w:val="24"/>
          <w:szCs w:val="24"/>
          <w:lang w:eastAsia="pl-PL"/>
        </w:rPr>
        <w:t>ie</w:t>
      </w:r>
      <w:r w:rsidRPr="00A368D5">
        <w:rPr>
          <w:sz w:val="24"/>
          <w:szCs w:val="24"/>
          <w:lang w:eastAsia="pl-PL"/>
        </w:rPr>
        <w:t xml:space="preserve"> nr 54, zapisanej w księdze wieczystej</w:t>
      </w:r>
      <w:r w:rsidR="00F753EB">
        <w:rPr>
          <w:sz w:val="24"/>
          <w:szCs w:val="24"/>
          <w:lang w:eastAsia="pl-PL"/>
        </w:rPr>
        <w:br/>
      </w:r>
      <w:r w:rsidRPr="00A368D5">
        <w:rPr>
          <w:sz w:val="24"/>
          <w:szCs w:val="24"/>
          <w:lang w:eastAsia="pl-PL"/>
        </w:rPr>
        <w:t>KW Nr TO1T/00034467/8, wykorzystywanej obecnie jako pas drogowy</w:t>
      </w:r>
      <w:r w:rsidR="001A6EBB">
        <w:rPr>
          <w:sz w:val="24"/>
          <w:szCs w:val="24"/>
          <w:lang w:eastAsia="pl-PL"/>
        </w:rPr>
        <w:br/>
      </w:r>
      <w:r w:rsidRPr="00A368D5">
        <w:rPr>
          <w:sz w:val="24"/>
          <w:szCs w:val="24"/>
          <w:lang w:eastAsia="pl-PL"/>
        </w:rPr>
        <w:t xml:space="preserve">ul. Przelot, zabezpieczającej prawo istnienia i korzystania z kolektora </w:t>
      </w:r>
      <w:r w:rsidRPr="00A368D5">
        <w:rPr>
          <w:sz w:val="24"/>
          <w:szCs w:val="24"/>
          <w:lang w:eastAsia="pl-PL"/>
        </w:rPr>
        <w:lastRenderedPageBreak/>
        <w:t xml:space="preserve">deszczowego Ø800 </w:t>
      </w:r>
      <w:r w:rsidRPr="0007179A">
        <w:rPr>
          <w:sz w:val="24"/>
          <w:szCs w:val="24"/>
          <w:lang w:eastAsia="pl-PL"/>
        </w:rPr>
        <w:t>wraz ze strefą ochronną – po 3 metry z każdej strony kolektora od osi przewodu</w:t>
      </w:r>
      <w:r w:rsidR="00F6208F" w:rsidRPr="0007179A">
        <w:rPr>
          <w:sz w:val="24"/>
          <w:szCs w:val="24"/>
          <w:lang w:eastAsia="pl-PL"/>
        </w:rPr>
        <w:t xml:space="preserve"> oraz zakazem</w:t>
      </w:r>
      <w:r w:rsidRPr="0007179A">
        <w:rPr>
          <w:sz w:val="24"/>
          <w:szCs w:val="24"/>
          <w:lang w:eastAsia="pl-PL"/>
        </w:rPr>
        <w:t xml:space="preserve"> zabudowy </w:t>
      </w:r>
      <w:r w:rsidR="00F6208F" w:rsidRPr="0007179A">
        <w:rPr>
          <w:sz w:val="24"/>
          <w:szCs w:val="24"/>
          <w:lang w:eastAsia="pl-PL"/>
        </w:rPr>
        <w:t xml:space="preserve">w odległości </w:t>
      </w:r>
      <w:r w:rsidR="0007179A" w:rsidRPr="0007179A">
        <w:rPr>
          <w:sz w:val="24"/>
          <w:szCs w:val="24"/>
          <w:lang w:eastAsia="pl-PL"/>
        </w:rPr>
        <w:t xml:space="preserve">min. </w:t>
      </w:r>
      <w:r w:rsidR="00F6208F" w:rsidRPr="0007179A">
        <w:rPr>
          <w:sz w:val="24"/>
          <w:szCs w:val="24"/>
          <w:lang w:eastAsia="pl-PL"/>
        </w:rPr>
        <w:t xml:space="preserve">5 m od </w:t>
      </w:r>
      <w:r w:rsidRPr="0007179A">
        <w:rPr>
          <w:sz w:val="24"/>
          <w:szCs w:val="24"/>
          <w:lang w:eastAsia="pl-PL"/>
        </w:rPr>
        <w:t>osi przewodu</w:t>
      </w:r>
      <w:r w:rsidR="007937E3" w:rsidRPr="0007179A">
        <w:rPr>
          <w:sz w:val="24"/>
          <w:szCs w:val="24"/>
          <w:lang w:eastAsia="pl-PL"/>
        </w:rPr>
        <w:t>,</w:t>
      </w:r>
    </w:p>
    <w:p w:rsidR="007937E3" w:rsidRPr="0007179A" w:rsidRDefault="007937E3" w:rsidP="0007179A">
      <w:pPr>
        <w:pStyle w:val="Akapitzlist"/>
        <w:numPr>
          <w:ilvl w:val="0"/>
          <w:numId w:val="8"/>
        </w:numPr>
        <w:tabs>
          <w:tab w:val="left" w:pos="1134"/>
        </w:tabs>
        <w:spacing w:after="57"/>
        <w:jc w:val="both"/>
        <w:rPr>
          <w:sz w:val="24"/>
          <w:szCs w:val="24"/>
        </w:rPr>
      </w:pPr>
      <w:r w:rsidRPr="0007179A">
        <w:rPr>
          <w:sz w:val="24"/>
          <w:szCs w:val="24"/>
          <w:lang w:eastAsia="pl-PL"/>
        </w:rPr>
        <w:t xml:space="preserve">nieodpłatnej służebności gruntowej </w:t>
      </w:r>
      <w:r w:rsidRPr="0007179A">
        <w:rPr>
          <w:sz w:val="24"/>
          <w:szCs w:val="24"/>
        </w:rPr>
        <w:t>polegającej na prawie przejazdu</w:t>
      </w:r>
      <w:r w:rsidRPr="0007179A">
        <w:rPr>
          <w:sz w:val="24"/>
          <w:szCs w:val="24"/>
        </w:rPr>
        <w:br/>
        <w:t>i przechodu po terenie działek  geod. nr 176/9, 93/3 z obrębu nr 54, zapisanych w księdze wieczystej KW Nr TO1T/00034467/8 i działki nr 93/6 z obrębu</w:t>
      </w:r>
      <w:r w:rsidR="0007179A" w:rsidRPr="0007179A">
        <w:rPr>
          <w:sz w:val="24"/>
          <w:szCs w:val="24"/>
        </w:rPr>
        <w:br/>
      </w:r>
      <w:r w:rsidRPr="0007179A">
        <w:rPr>
          <w:sz w:val="24"/>
          <w:szCs w:val="24"/>
        </w:rPr>
        <w:t>nr 54 zapisanej w księdze wieczystej KW Nr TO1T/00063985/7 na rzecz każdoczesnego właściciela nieruchomości, położonej w Toruniu przy</w:t>
      </w:r>
      <w:r w:rsidR="001A6EBB">
        <w:rPr>
          <w:sz w:val="24"/>
          <w:szCs w:val="24"/>
        </w:rPr>
        <w:br/>
      </w:r>
      <w:r w:rsidRPr="0007179A">
        <w:rPr>
          <w:sz w:val="24"/>
          <w:szCs w:val="24"/>
        </w:rPr>
        <w:t xml:space="preserve">ul. Przelot 26, oznaczonej nr działki 93/2, o powierzchni 0,0872 ha.  Droga dojazdowa do nieruchomości jest </w:t>
      </w:r>
      <w:r w:rsidR="008135A4">
        <w:rPr>
          <w:sz w:val="24"/>
          <w:szCs w:val="24"/>
        </w:rPr>
        <w:t>nie</w:t>
      </w:r>
      <w:r w:rsidRPr="0007179A">
        <w:rPr>
          <w:sz w:val="24"/>
          <w:szCs w:val="24"/>
        </w:rPr>
        <w:t>urządzona.</w:t>
      </w:r>
    </w:p>
    <w:p w:rsidR="001A6EBB" w:rsidRPr="001A6EBB" w:rsidRDefault="001A6EBB" w:rsidP="0007179A">
      <w:pPr>
        <w:pStyle w:val="Akapitzlist"/>
        <w:numPr>
          <w:ilvl w:val="0"/>
          <w:numId w:val="11"/>
        </w:numPr>
        <w:jc w:val="both"/>
        <w:rPr>
          <w:color w:val="000000"/>
          <w:sz w:val="24"/>
          <w:szCs w:val="24"/>
          <w:lang w:eastAsia="zh-CN"/>
        </w:rPr>
      </w:pPr>
      <w:r>
        <w:rPr>
          <w:color w:val="000000"/>
          <w:sz w:val="24"/>
          <w:szCs w:val="24"/>
          <w:lang w:eastAsia="zh-CN"/>
        </w:rPr>
        <w:t>Lokalizacja zabudowy na zbywanym terenie powinna być uzgodniona z Miejskim zarządem Dróg w zakresie zbliżania do kolektora deszczowego, koszty ewentualnej przebudowy obciążać będą nabywcę.</w:t>
      </w:r>
    </w:p>
    <w:p w:rsidR="005B639E" w:rsidRPr="0007179A" w:rsidRDefault="005B639E" w:rsidP="0007179A">
      <w:pPr>
        <w:pStyle w:val="Akapitzlist"/>
        <w:numPr>
          <w:ilvl w:val="0"/>
          <w:numId w:val="11"/>
        </w:numPr>
        <w:jc w:val="both"/>
        <w:rPr>
          <w:color w:val="000000"/>
          <w:sz w:val="24"/>
          <w:szCs w:val="24"/>
          <w:lang w:eastAsia="zh-CN"/>
        </w:rPr>
      </w:pPr>
      <w:r w:rsidRPr="0007179A">
        <w:rPr>
          <w:sz w:val="24"/>
          <w:szCs w:val="24"/>
        </w:rPr>
        <w:t>Przez nieruchomość oznaczoną numer</w:t>
      </w:r>
      <w:r w:rsidR="006E70F7" w:rsidRPr="0007179A">
        <w:rPr>
          <w:sz w:val="24"/>
          <w:szCs w:val="24"/>
        </w:rPr>
        <w:t>ami działek 93/6, 90/12 i 176/9 przebiega</w:t>
      </w:r>
      <w:r w:rsidRPr="0007179A">
        <w:rPr>
          <w:sz w:val="24"/>
          <w:szCs w:val="24"/>
        </w:rPr>
        <w:t xml:space="preserve"> napowietrzn</w:t>
      </w:r>
      <w:r w:rsidR="006E70F7" w:rsidRPr="0007179A">
        <w:rPr>
          <w:sz w:val="24"/>
          <w:szCs w:val="24"/>
        </w:rPr>
        <w:t>a</w:t>
      </w:r>
      <w:r w:rsidRPr="0007179A">
        <w:rPr>
          <w:sz w:val="24"/>
          <w:szCs w:val="24"/>
        </w:rPr>
        <w:t xml:space="preserve"> lini</w:t>
      </w:r>
      <w:r w:rsidR="006E70F7" w:rsidRPr="0007179A">
        <w:rPr>
          <w:sz w:val="24"/>
          <w:szCs w:val="24"/>
        </w:rPr>
        <w:t>a</w:t>
      </w:r>
      <w:r w:rsidRPr="0007179A">
        <w:rPr>
          <w:sz w:val="24"/>
          <w:szCs w:val="24"/>
        </w:rPr>
        <w:t xml:space="preserve"> elektroenergetyczn</w:t>
      </w:r>
      <w:r w:rsidR="006E70F7" w:rsidRPr="0007179A">
        <w:rPr>
          <w:sz w:val="24"/>
          <w:szCs w:val="24"/>
        </w:rPr>
        <w:t>a</w:t>
      </w:r>
      <w:r w:rsidRPr="0007179A">
        <w:rPr>
          <w:sz w:val="24"/>
          <w:szCs w:val="24"/>
        </w:rPr>
        <w:t xml:space="preserve"> 110/kV wraz z</w:t>
      </w:r>
      <w:r w:rsidR="006E70F7" w:rsidRPr="0007179A">
        <w:rPr>
          <w:sz w:val="24"/>
          <w:szCs w:val="24"/>
        </w:rPr>
        <w:t>e</w:t>
      </w:r>
      <w:r w:rsidRPr="0007179A">
        <w:rPr>
          <w:sz w:val="24"/>
          <w:szCs w:val="24"/>
        </w:rPr>
        <w:t xml:space="preserve"> słup</w:t>
      </w:r>
      <w:r w:rsidR="00386680" w:rsidRPr="0007179A">
        <w:rPr>
          <w:sz w:val="24"/>
          <w:szCs w:val="24"/>
        </w:rPr>
        <w:t>em</w:t>
      </w:r>
      <w:r w:rsidR="00FC0553" w:rsidRPr="0007179A">
        <w:rPr>
          <w:sz w:val="24"/>
          <w:szCs w:val="24"/>
        </w:rPr>
        <w:t xml:space="preserve"> posadowionym</w:t>
      </w:r>
      <w:r w:rsidR="001A6EBB">
        <w:rPr>
          <w:sz w:val="24"/>
          <w:szCs w:val="24"/>
        </w:rPr>
        <w:br/>
      </w:r>
      <w:r w:rsidR="00FC0553" w:rsidRPr="0007179A">
        <w:rPr>
          <w:sz w:val="24"/>
          <w:szCs w:val="24"/>
        </w:rPr>
        <w:t>w narożniku działki nr 93/6</w:t>
      </w:r>
      <w:r w:rsidRPr="0007179A">
        <w:rPr>
          <w:sz w:val="24"/>
          <w:szCs w:val="24"/>
        </w:rPr>
        <w:t>. Mając na względzie tę okoliczność, nabywca nieruchomości przyjmuje do wiadomości fakt, iż właściciel urządzeń elektroenergetycznych ENERGA-OPERATOR SA. ma podstawy do wystąpienia</w:t>
      </w:r>
      <w:r w:rsidR="0007179A">
        <w:rPr>
          <w:sz w:val="24"/>
          <w:szCs w:val="24"/>
        </w:rPr>
        <w:br/>
      </w:r>
      <w:r w:rsidRPr="0007179A">
        <w:rPr>
          <w:sz w:val="24"/>
          <w:szCs w:val="24"/>
        </w:rPr>
        <w:t xml:space="preserve">o ustanowienie bądź zasiedzenie w związku z tym stosownej służebności przesyłu. Ponadto </w:t>
      </w:r>
      <w:r w:rsidR="006E70F7" w:rsidRPr="0007179A">
        <w:rPr>
          <w:sz w:val="24"/>
          <w:szCs w:val="24"/>
        </w:rPr>
        <w:t>z tego powodu</w:t>
      </w:r>
      <w:r w:rsidRPr="0007179A">
        <w:rPr>
          <w:sz w:val="24"/>
          <w:szCs w:val="24"/>
        </w:rPr>
        <w:t xml:space="preserve"> miejscowy plan zagospodarowania uchwalony dla tego obszaru wyznacza strefy ograniczonego użytkowania na przedmiotowej nieruchomości.</w:t>
      </w:r>
    </w:p>
    <w:p w:rsidR="005B639E" w:rsidRPr="0007179A" w:rsidRDefault="005B639E" w:rsidP="0007179A">
      <w:pPr>
        <w:pStyle w:val="Akapitzlist"/>
        <w:numPr>
          <w:ilvl w:val="0"/>
          <w:numId w:val="11"/>
        </w:numPr>
        <w:jc w:val="both"/>
        <w:rPr>
          <w:color w:val="000000"/>
          <w:sz w:val="24"/>
          <w:szCs w:val="24"/>
          <w:lang w:eastAsia="zh-CN"/>
        </w:rPr>
      </w:pPr>
      <w:r w:rsidRPr="0007179A">
        <w:rPr>
          <w:sz w:val="24"/>
          <w:szCs w:val="24"/>
          <w:lang w:eastAsia="pl-PL"/>
        </w:rPr>
        <w:t>Dojazd do nieruchomości odbywać się będzie z istniejących dróg publicznych oraz po gruntach przewidzianych docelowo, w miejscowym planie zagospodarowania przestrzennego, pod drogi. Gmina Miasta Toruń umożliwi nabywcy nieruchomości nieodpłatne korzystanie z tych gruntów, znajdujących się w liniach pasów drogowych projektowanych ulic w celu urządzenia wjazdu na posesję.</w:t>
      </w:r>
    </w:p>
    <w:p w:rsidR="005B639E" w:rsidRPr="0007179A" w:rsidRDefault="005B639E" w:rsidP="0007179A">
      <w:pPr>
        <w:pStyle w:val="Akapitzlist"/>
        <w:numPr>
          <w:ilvl w:val="0"/>
          <w:numId w:val="11"/>
        </w:numPr>
        <w:jc w:val="both"/>
        <w:rPr>
          <w:color w:val="000000"/>
          <w:sz w:val="24"/>
          <w:szCs w:val="24"/>
          <w:lang w:eastAsia="zh-CN"/>
        </w:rPr>
      </w:pPr>
      <w:r w:rsidRPr="0007179A">
        <w:rPr>
          <w:sz w:val="24"/>
          <w:szCs w:val="24"/>
          <w:lang w:eastAsia="pl-PL"/>
        </w:rPr>
        <w:t>W ewidencji gruntów kompleks nieruchomości oznaczony jest użytkami:                                    „Bp – zurbanizowane tereny niezabudowane</w:t>
      </w:r>
      <w:r w:rsidR="00253E60" w:rsidRPr="0007179A">
        <w:rPr>
          <w:sz w:val="24"/>
          <w:szCs w:val="24"/>
          <w:lang w:eastAsia="pl-PL"/>
        </w:rPr>
        <w:t xml:space="preserve"> lub w trakcie zabudowy”, „RVI – grunty orne” </w:t>
      </w:r>
      <w:r w:rsidRPr="0007179A">
        <w:rPr>
          <w:sz w:val="24"/>
          <w:szCs w:val="24"/>
          <w:lang w:eastAsia="pl-PL"/>
        </w:rPr>
        <w:t>i „LsV – lasy”.  Zgodnie z art. 37a ust. 1 pkt 1 ustawy z dnia 28 września 1991 r. o lasach, Skarbowi Państwa, reprezentowanemu przez Lasy Państwowe, przysługuje z mocy prawa prawo pierwokupu tego gruntu. Przeznaczenie nieruchomości do innego niż leśny, sposobu użytkowania, wymaga uzyskania decyzji zezwalającej na wyłączenie gruntu z produkcji leśnej. Procedura wydania takiej decyzji prowadzona jest na warunkach określonych w ustawie z dnia 3 lutego 1995 r. o ochronie gruntów rolnych i leśnych.</w:t>
      </w:r>
    </w:p>
    <w:p w:rsidR="005B639E" w:rsidRPr="0007179A" w:rsidRDefault="005B639E" w:rsidP="0007179A">
      <w:pPr>
        <w:pStyle w:val="Akapitzlist"/>
        <w:numPr>
          <w:ilvl w:val="0"/>
          <w:numId w:val="11"/>
        </w:numPr>
        <w:jc w:val="both"/>
        <w:rPr>
          <w:color w:val="000000"/>
          <w:sz w:val="24"/>
          <w:szCs w:val="24"/>
          <w:lang w:eastAsia="zh-CN"/>
        </w:rPr>
      </w:pPr>
      <w:r w:rsidRPr="0007179A">
        <w:rPr>
          <w:sz w:val="24"/>
          <w:szCs w:val="24"/>
        </w:rPr>
        <w:t>Przed przystąpieniem do przetargu jego uczestnik winien we własnym zakresie ustalić możliwość realizacji na nieruchomości planowanego przedsi</w:t>
      </w:r>
      <w:r w:rsidR="00253E60" w:rsidRPr="0007179A">
        <w:rPr>
          <w:sz w:val="24"/>
          <w:szCs w:val="24"/>
        </w:rPr>
        <w:t>ęwzięcia oraz jego zgodność</w:t>
      </w:r>
      <w:r w:rsidRPr="0007179A">
        <w:rPr>
          <w:sz w:val="24"/>
          <w:szCs w:val="24"/>
        </w:rPr>
        <w:t xml:space="preserve"> z przepisami odrębnymi.</w:t>
      </w:r>
    </w:p>
    <w:p w:rsidR="00253E60" w:rsidRPr="0007179A" w:rsidRDefault="00253E60" w:rsidP="0007179A">
      <w:pPr>
        <w:pStyle w:val="Akapitzlist"/>
        <w:ind w:left="1068"/>
        <w:jc w:val="both"/>
        <w:rPr>
          <w:color w:val="000000"/>
          <w:sz w:val="24"/>
          <w:szCs w:val="24"/>
          <w:lang w:eastAsia="zh-CN"/>
        </w:rPr>
      </w:pPr>
    </w:p>
    <w:p w:rsidR="005B639E" w:rsidRPr="0007179A" w:rsidRDefault="005B639E" w:rsidP="0007179A">
      <w:pPr>
        <w:tabs>
          <w:tab w:val="left" w:pos="424"/>
        </w:tabs>
        <w:suppressAutoHyphens w:val="0"/>
        <w:jc w:val="both"/>
        <w:rPr>
          <w:sz w:val="24"/>
          <w:szCs w:val="24"/>
          <w:lang w:eastAsia="pl-PL"/>
        </w:rPr>
      </w:pPr>
      <w:r w:rsidRPr="0007179A">
        <w:rPr>
          <w:sz w:val="24"/>
          <w:szCs w:val="24"/>
          <w:lang w:eastAsia="pl-PL"/>
        </w:rPr>
        <w:tab/>
      </w:r>
      <w:r w:rsidRPr="0007179A">
        <w:rPr>
          <w:sz w:val="24"/>
          <w:szCs w:val="24"/>
          <w:lang w:eastAsia="pl-PL"/>
        </w:rPr>
        <w:tab/>
        <w:t>§5.1. Ustala się następujące warunki przetargu:</w:t>
      </w:r>
    </w:p>
    <w:tbl>
      <w:tblPr>
        <w:tblW w:w="9923" w:type="dxa"/>
        <w:tblInd w:w="8" w:type="dxa"/>
        <w:tblLayout w:type="fixed"/>
        <w:tblCellMar>
          <w:left w:w="0" w:type="dxa"/>
          <w:right w:w="0" w:type="dxa"/>
        </w:tblCellMar>
        <w:tblLook w:val="04A0" w:firstRow="1" w:lastRow="0" w:firstColumn="1" w:lastColumn="0" w:noHBand="0" w:noVBand="1"/>
      </w:tblPr>
      <w:tblGrid>
        <w:gridCol w:w="567"/>
        <w:gridCol w:w="2127"/>
        <w:gridCol w:w="1417"/>
        <w:gridCol w:w="1418"/>
        <w:gridCol w:w="2268"/>
        <w:gridCol w:w="2126"/>
      </w:tblGrid>
      <w:tr w:rsidR="005B639E" w:rsidRPr="0007179A" w:rsidTr="00253E60">
        <w:tc>
          <w:tcPr>
            <w:tcW w:w="567" w:type="dxa"/>
            <w:tcBorders>
              <w:top w:val="single" w:sz="6" w:space="0" w:color="000000"/>
              <w:left w:val="single" w:sz="6" w:space="0" w:color="000000"/>
              <w:bottom w:val="single" w:sz="6" w:space="0" w:color="000000"/>
              <w:right w:val="nil"/>
            </w:tcBorders>
            <w:vAlign w:val="center"/>
            <w:hideMark/>
          </w:tcPr>
          <w:p w:rsidR="005B639E" w:rsidRPr="0007179A" w:rsidRDefault="005B639E" w:rsidP="0007179A">
            <w:pPr>
              <w:pStyle w:val="WW-Zawartotabeli111"/>
              <w:spacing w:after="0"/>
              <w:jc w:val="center"/>
              <w:rPr>
                <w:b/>
                <w:szCs w:val="24"/>
              </w:rPr>
            </w:pPr>
            <w:r w:rsidRPr="0007179A">
              <w:rPr>
                <w:b/>
                <w:szCs w:val="24"/>
              </w:rPr>
              <w:t>Lp.</w:t>
            </w:r>
          </w:p>
        </w:tc>
        <w:tc>
          <w:tcPr>
            <w:tcW w:w="2127" w:type="dxa"/>
            <w:tcBorders>
              <w:top w:val="single" w:sz="6" w:space="0" w:color="000000"/>
              <w:left w:val="single" w:sz="6" w:space="0" w:color="000000"/>
              <w:bottom w:val="single" w:sz="6" w:space="0" w:color="000000"/>
              <w:right w:val="nil"/>
            </w:tcBorders>
            <w:vAlign w:val="center"/>
            <w:hideMark/>
          </w:tcPr>
          <w:p w:rsidR="005B639E" w:rsidRPr="0007179A" w:rsidRDefault="005B639E" w:rsidP="0007179A">
            <w:pPr>
              <w:pStyle w:val="WW-Zawartotabeli111"/>
              <w:spacing w:after="0"/>
              <w:jc w:val="center"/>
              <w:rPr>
                <w:b/>
                <w:szCs w:val="24"/>
              </w:rPr>
            </w:pPr>
            <w:r w:rsidRPr="0007179A">
              <w:rPr>
                <w:b/>
                <w:szCs w:val="24"/>
              </w:rPr>
              <w:t xml:space="preserve">Położenie </w:t>
            </w:r>
          </w:p>
          <w:p w:rsidR="005B639E" w:rsidRPr="0007179A" w:rsidRDefault="005B639E" w:rsidP="0007179A">
            <w:pPr>
              <w:pStyle w:val="WW-Zawartotabeli111"/>
              <w:spacing w:after="0"/>
              <w:jc w:val="center"/>
              <w:rPr>
                <w:b/>
                <w:szCs w:val="24"/>
              </w:rPr>
            </w:pPr>
            <w:r w:rsidRPr="0007179A">
              <w:rPr>
                <w:b/>
                <w:szCs w:val="24"/>
              </w:rPr>
              <w:t>nieruchomości</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B639E" w:rsidRPr="0007179A" w:rsidRDefault="005B639E" w:rsidP="0007179A">
            <w:pPr>
              <w:pStyle w:val="WW-Zawartotabeli111"/>
              <w:spacing w:after="0"/>
              <w:jc w:val="center"/>
              <w:rPr>
                <w:b/>
                <w:szCs w:val="24"/>
              </w:rPr>
            </w:pPr>
            <w:r w:rsidRPr="0007179A">
              <w:rPr>
                <w:b/>
                <w:szCs w:val="24"/>
              </w:rPr>
              <w:t>Powierzchnia</w:t>
            </w:r>
          </w:p>
        </w:tc>
        <w:tc>
          <w:tcPr>
            <w:tcW w:w="1418" w:type="dxa"/>
            <w:tcBorders>
              <w:top w:val="single" w:sz="6" w:space="0" w:color="000000"/>
              <w:left w:val="single" w:sz="6" w:space="0" w:color="000000"/>
              <w:bottom w:val="single" w:sz="6" w:space="0" w:color="000000"/>
              <w:right w:val="nil"/>
            </w:tcBorders>
            <w:vAlign w:val="center"/>
            <w:hideMark/>
          </w:tcPr>
          <w:p w:rsidR="005B639E" w:rsidRPr="0007179A" w:rsidRDefault="005B639E" w:rsidP="0007179A">
            <w:pPr>
              <w:pStyle w:val="WW-Zawartotabeli111"/>
              <w:spacing w:after="0"/>
              <w:jc w:val="center"/>
              <w:rPr>
                <w:b/>
                <w:szCs w:val="24"/>
              </w:rPr>
            </w:pPr>
            <w:r w:rsidRPr="0007179A">
              <w:rPr>
                <w:b/>
                <w:szCs w:val="24"/>
              </w:rPr>
              <w:t>Nr działek</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B639E" w:rsidRPr="0007179A" w:rsidRDefault="005B639E" w:rsidP="0007179A">
            <w:pPr>
              <w:pStyle w:val="WW-Zawartotabeli111"/>
              <w:spacing w:after="0"/>
              <w:jc w:val="center"/>
              <w:rPr>
                <w:b/>
                <w:szCs w:val="24"/>
              </w:rPr>
            </w:pPr>
            <w:r w:rsidRPr="0007179A">
              <w:rPr>
                <w:b/>
                <w:szCs w:val="24"/>
              </w:rPr>
              <w:t xml:space="preserve">Cena </w:t>
            </w:r>
          </w:p>
          <w:p w:rsidR="005B639E" w:rsidRPr="0007179A" w:rsidRDefault="005B639E" w:rsidP="0007179A">
            <w:pPr>
              <w:pStyle w:val="WW-Zawartotabeli111"/>
              <w:spacing w:after="0"/>
              <w:jc w:val="center"/>
              <w:rPr>
                <w:b/>
                <w:szCs w:val="24"/>
              </w:rPr>
            </w:pPr>
            <w:r w:rsidRPr="0007179A">
              <w:rPr>
                <w:b/>
                <w:szCs w:val="24"/>
              </w:rPr>
              <w:t>wywoławcza</w:t>
            </w: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5B639E" w:rsidRPr="0007179A" w:rsidRDefault="005B639E" w:rsidP="0007179A">
            <w:pPr>
              <w:pStyle w:val="WW-Zawartotabeli111"/>
              <w:spacing w:after="0"/>
              <w:jc w:val="center"/>
              <w:rPr>
                <w:b/>
                <w:szCs w:val="24"/>
              </w:rPr>
            </w:pPr>
            <w:r w:rsidRPr="0007179A">
              <w:rPr>
                <w:b/>
                <w:szCs w:val="24"/>
              </w:rPr>
              <w:t>Wadium</w:t>
            </w:r>
          </w:p>
        </w:tc>
      </w:tr>
      <w:tr w:rsidR="005B639E" w:rsidRPr="0007179A" w:rsidTr="00253E60">
        <w:trPr>
          <w:trHeight w:val="296"/>
        </w:trPr>
        <w:tc>
          <w:tcPr>
            <w:tcW w:w="567" w:type="dxa"/>
            <w:vMerge w:val="restart"/>
            <w:tcBorders>
              <w:top w:val="nil"/>
              <w:left w:val="single" w:sz="6" w:space="0" w:color="000000"/>
              <w:bottom w:val="single" w:sz="4" w:space="0" w:color="auto"/>
              <w:right w:val="nil"/>
            </w:tcBorders>
            <w:vAlign w:val="center"/>
            <w:hideMark/>
          </w:tcPr>
          <w:p w:rsidR="005B639E" w:rsidRPr="0007179A" w:rsidRDefault="005B639E" w:rsidP="0007179A">
            <w:pPr>
              <w:pStyle w:val="WW-Zawartotabeli111"/>
              <w:spacing w:after="0"/>
              <w:jc w:val="center"/>
              <w:rPr>
                <w:szCs w:val="24"/>
              </w:rPr>
            </w:pPr>
            <w:r w:rsidRPr="0007179A">
              <w:rPr>
                <w:szCs w:val="24"/>
              </w:rPr>
              <w:t>1.</w:t>
            </w:r>
          </w:p>
        </w:tc>
        <w:tc>
          <w:tcPr>
            <w:tcW w:w="2127" w:type="dxa"/>
            <w:vMerge w:val="restart"/>
            <w:tcBorders>
              <w:top w:val="nil"/>
              <w:left w:val="single" w:sz="6" w:space="0" w:color="000000"/>
              <w:bottom w:val="single" w:sz="4" w:space="0" w:color="auto"/>
              <w:right w:val="nil"/>
            </w:tcBorders>
            <w:vAlign w:val="center"/>
            <w:hideMark/>
          </w:tcPr>
          <w:p w:rsidR="005B639E" w:rsidRPr="0007179A" w:rsidRDefault="005B639E" w:rsidP="0007179A">
            <w:pPr>
              <w:rPr>
                <w:sz w:val="24"/>
                <w:szCs w:val="24"/>
              </w:rPr>
            </w:pPr>
            <w:r w:rsidRPr="0007179A">
              <w:rPr>
                <w:sz w:val="24"/>
                <w:szCs w:val="24"/>
              </w:rPr>
              <w:t xml:space="preserve">Toruń, </w:t>
            </w:r>
          </w:p>
          <w:p w:rsidR="005B639E" w:rsidRPr="0007179A" w:rsidRDefault="005B639E" w:rsidP="0007179A">
            <w:pPr>
              <w:rPr>
                <w:sz w:val="24"/>
                <w:szCs w:val="24"/>
              </w:rPr>
            </w:pPr>
            <w:r w:rsidRPr="0007179A">
              <w:rPr>
                <w:sz w:val="24"/>
                <w:szCs w:val="24"/>
              </w:rPr>
              <w:t>obręb nr 54,</w:t>
            </w:r>
          </w:p>
          <w:p w:rsidR="005B639E" w:rsidRPr="0007179A" w:rsidRDefault="005B639E" w:rsidP="0007179A">
            <w:pPr>
              <w:rPr>
                <w:b/>
                <w:sz w:val="24"/>
                <w:szCs w:val="24"/>
              </w:rPr>
            </w:pPr>
            <w:r w:rsidRPr="0007179A">
              <w:rPr>
                <w:b/>
                <w:sz w:val="24"/>
                <w:szCs w:val="24"/>
              </w:rPr>
              <w:t>ul. Przelot 24-26</w:t>
            </w:r>
          </w:p>
        </w:tc>
        <w:tc>
          <w:tcPr>
            <w:tcW w:w="1417" w:type="dxa"/>
            <w:vMerge w:val="restart"/>
            <w:tcBorders>
              <w:top w:val="nil"/>
              <w:left w:val="single" w:sz="6" w:space="0" w:color="000000"/>
              <w:bottom w:val="single" w:sz="4" w:space="0" w:color="auto"/>
              <w:right w:val="single" w:sz="6" w:space="0" w:color="000000"/>
            </w:tcBorders>
            <w:vAlign w:val="center"/>
            <w:hideMark/>
          </w:tcPr>
          <w:p w:rsidR="005B639E" w:rsidRPr="0007179A" w:rsidRDefault="005B639E" w:rsidP="0007179A">
            <w:pPr>
              <w:jc w:val="center"/>
              <w:rPr>
                <w:sz w:val="24"/>
                <w:szCs w:val="24"/>
                <w:lang w:eastAsia="pl-PL"/>
              </w:rPr>
            </w:pPr>
            <w:r w:rsidRPr="0007179A">
              <w:rPr>
                <w:sz w:val="24"/>
                <w:szCs w:val="24"/>
                <w:lang w:eastAsia="pl-PL"/>
              </w:rPr>
              <w:t>2,</w:t>
            </w:r>
            <w:r w:rsidR="00253E60" w:rsidRPr="0007179A">
              <w:rPr>
                <w:sz w:val="24"/>
                <w:szCs w:val="24"/>
                <w:lang w:eastAsia="pl-PL"/>
              </w:rPr>
              <w:t>6176</w:t>
            </w:r>
            <w:r w:rsidRPr="0007179A">
              <w:rPr>
                <w:sz w:val="24"/>
                <w:szCs w:val="24"/>
                <w:lang w:eastAsia="pl-PL"/>
              </w:rPr>
              <w:t xml:space="preserve"> ha</w:t>
            </w:r>
          </w:p>
        </w:tc>
        <w:tc>
          <w:tcPr>
            <w:tcW w:w="1418" w:type="dxa"/>
            <w:tcBorders>
              <w:top w:val="nil"/>
              <w:left w:val="single" w:sz="6" w:space="0" w:color="000000"/>
              <w:bottom w:val="single" w:sz="4" w:space="0" w:color="auto"/>
              <w:right w:val="nil"/>
            </w:tcBorders>
            <w:vAlign w:val="center"/>
            <w:hideMark/>
          </w:tcPr>
          <w:p w:rsidR="005B639E" w:rsidRPr="0007179A" w:rsidRDefault="005B639E" w:rsidP="0007179A">
            <w:pPr>
              <w:jc w:val="center"/>
              <w:rPr>
                <w:sz w:val="24"/>
                <w:szCs w:val="24"/>
                <w:lang w:eastAsia="pl-PL"/>
              </w:rPr>
            </w:pPr>
            <w:r w:rsidRPr="0007179A">
              <w:rPr>
                <w:sz w:val="24"/>
                <w:szCs w:val="24"/>
                <w:lang w:eastAsia="pl-PL"/>
              </w:rPr>
              <w:t>90/</w:t>
            </w:r>
            <w:r w:rsidR="00253E60" w:rsidRPr="0007179A">
              <w:rPr>
                <w:sz w:val="24"/>
                <w:szCs w:val="24"/>
                <w:lang w:eastAsia="pl-PL"/>
              </w:rPr>
              <w:t>12</w:t>
            </w:r>
          </w:p>
        </w:tc>
        <w:tc>
          <w:tcPr>
            <w:tcW w:w="2268" w:type="dxa"/>
            <w:vMerge w:val="restart"/>
            <w:tcBorders>
              <w:top w:val="nil"/>
              <w:left w:val="single" w:sz="6" w:space="0" w:color="000000"/>
              <w:bottom w:val="single" w:sz="4" w:space="0" w:color="auto"/>
              <w:right w:val="single" w:sz="6" w:space="0" w:color="000000"/>
            </w:tcBorders>
            <w:vAlign w:val="center"/>
            <w:hideMark/>
          </w:tcPr>
          <w:p w:rsidR="005B639E" w:rsidRPr="0007179A" w:rsidRDefault="00253E60" w:rsidP="0007179A">
            <w:pPr>
              <w:pStyle w:val="Tekstpodstawowy"/>
              <w:tabs>
                <w:tab w:val="left" w:pos="0"/>
                <w:tab w:val="left" w:pos="720"/>
              </w:tabs>
              <w:jc w:val="center"/>
              <w:rPr>
                <w:rFonts w:ascii="Times New Roman" w:hAnsi="Times New Roman"/>
                <w:b/>
                <w:szCs w:val="24"/>
              </w:rPr>
            </w:pPr>
            <w:r w:rsidRPr="0007179A">
              <w:rPr>
                <w:rFonts w:ascii="Times New Roman" w:hAnsi="Times New Roman"/>
                <w:b/>
                <w:szCs w:val="24"/>
              </w:rPr>
              <w:t>8</w:t>
            </w:r>
            <w:r w:rsidR="005B639E" w:rsidRPr="0007179A">
              <w:rPr>
                <w:rFonts w:ascii="Times New Roman" w:hAnsi="Times New Roman"/>
                <w:b/>
                <w:szCs w:val="24"/>
              </w:rPr>
              <w:t>.</w:t>
            </w:r>
            <w:r w:rsidRPr="0007179A">
              <w:rPr>
                <w:rFonts w:ascii="Times New Roman" w:hAnsi="Times New Roman"/>
                <w:b/>
                <w:szCs w:val="24"/>
              </w:rPr>
              <w:t>000</w:t>
            </w:r>
            <w:r w:rsidR="005B639E" w:rsidRPr="0007179A">
              <w:rPr>
                <w:rFonts w:ascii="Times New Roman" w:hAnsi="Times New Roman"/>
                <w:b/>
                <w:szCs w:val="24"/>
              </w:rPr>
              <w:t>.000 zł</w:t>
            </w:r>
          </w:p>
        </w:tc>
        <w:tc>
          <w:tcPr>
            <w:tcW w:w="2126" w:type="dxa"/>
            <w:vMerge w:val="restart"/>
            <w:tcBorders>
              <w:top w:val="single" w:sz="6" w:space="0" w:color="000000"/>
              <w:left w:val="single" w:sz="6" w:space="0" w:color="000000"/>
              <w:bottom w:val="single" w:sz="4" w:space="0" w:color="auto"/>
              <w:right w:val="single" w:sz="4" w:space="0" w:color="auto"/>
            </w:tcBorders>
            <w:vAlign w:val="center"/>
            <w:hideMark/>
          </w:tcPr>
          <w:p w:rsidR="005B639E" w:rsidRPr="0007179A" w:rsidRDefault="00253E60" w:rsidP="0007179A">
            <w:pPr>
              <w:pStyle w:val="Tekstpodstawowy"/>
              <w:tabs>
                <w:tab w:val="left" w:pos="0"/>
                <w:tab w:val="left" w:pos="720"/>
              </w:tabs>
              <w:jc w:val="center"/>
              <w:rPr>
                <w:rFonts w:ascii="Times New Roman" w:hAnsi="Times New Roman"/>
                <w:b/>
                <w:szCs w:val="24"/>
              </w:rPr>
            </w:pPr>
            <w:r w:rsidRPr="0007179A">
              <w:rPr>
                <w:rFonts w:ascii="Times New Roman" w:hAnsi="Times New Roman"/>
                <w:b/>
                <w:szCs w:val="24"/>
              </w:rPr>
              <w:t>800</w:t>
            </w:r>
            <w:r w:rsidR="005B639E" w:rsidRPr="0007179A">
              <w:rPr>
                <w:rFonts w:ascii="Times New Roman" w:hAnsi="Times New Roman"/>
                <w:b/>
                <w:szCs w:val="24"/>
              </w:rPr>
              <w:t>.000 zł</w:t>
            </w:r>
          </w:p>
        </w:tc>
      </w:tr>
      <w:tr w:rsidR="005B639E" w:rsidRPr="0007179A" w:rsidTr="00253E60">
        <w:tc>
          <w:tcPr>
            <w:tcW w:w="56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sz w:val="24"/>
                <w:szCs w:val="24"/>
                <w:lang w:eastAsia="pl-PL"/>
              </w:rPr>
            </w:pPr>
          </w:p>
        </w:tc>
        <w:tc>
          <w:tcPr>
            <w:tcW w:w="212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b/>
                <w:sz w:val="24"/>
                <w:szCs w:val="24"/>
              </w:rPr>
            </w:pPr>
          </w:p>
        </w:tc>
        <w:tc>
          <w:tcPr>
            <w:tcW w:w="1417"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sz w:val="24"/>
                <w:szCs w:val="24"/>
                <w:lang w:eastAsia="pl-PL"/>
              </w:rPr>
            </w:pPr>
          </w:p>
        </w:tc>
        <w:tc>
          <w:tcPr>
            <w:tcW w:w="1418" w:type="dxa"/>
            <w:tcBorders>
              <w:top w:val="single" w:sz="4" w:space="0" w:color="auto"/>
              <w:left w:val="single" w:sz="6" w:space="0" w:color="000000"/>
              <w:bottom w:val="single" w:sz="4" w:space="0" w:color="auto"/>
              <w:right w:val="single" w:sz="6" w:space="0" w:color="000000"/>
            </w:tcBorders>
            <w:vAlign w:val="center"/>
            <w:hideMark/>
          </w:tcPr>
          <w:p w:rsidR="005B639E" w:rsidRPr="0007179A" w:rsidRDefault="005B639E" w:rsidP="0007179A">
            <w:pPr>
              <w:jc w:val="center"/>
              <w:rPr>
                <w:sz w:val="24"/>
                <w:szCs w:val="24"/>
                <w:lang w:eastAsia="pl-PL"/>
              </w:rPr>
            </w:pPr>
            <w:r w:rsidRPr="0007179A">
              <w:rPr>
                <w:sz w:val="24"/>
                <w:szCs w:val="24"/>
                <w:lang w:eastAsia="pl-PL"/>
              </w:rPr>
              <w:t>93/6</w:t>
            </w:r>
          </w:p>
        </w:tc>
        <w:tc>
          <w:tcPr>
            <w:tcW w:w="2268"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b/>
                <w:sz w:val="24"/>
                <w:szCs w:val="24"/>
              </w:rPr>
            </w:pPr>
          </w:p>
        </w:tc>
        <w:tc>
          <w:tcPr>
            <w:tcW w:w="2126" w:type="dxa"/>
            <w:vMerge/>
            <w:tcBorders>
              <w:top w:val="single" w:sz="6" w:space="0" w:color="000000"/>
              <w:left w:val="single" w:sz="6" w:space="0" w:color="000000"/>
              <w:bottom w:val="single" w:sz="4" w:space="0" w:color="auto"/>
              <w:right w:val="single" w:sz="4" w:space="0" w:color="auto"/>
            </w:tcBorders>
            <w:vAlign w:val="center"/>
            <w:hideMark/>
          </w:tcPr>
          <w:p w:rsidR="005B639E" w:rsidRPr="0007179A" w:rsidRDefault="005B639E" w:rsidP="0007179A">
            <w:pPr>
              <w:suppressAutoHyphens w:val="0"/>
              <w:rPr>
                <w:b/>
                <w:sz w:val="24"/>
                <w:szCs w:val="24"/>
              </w:rPr>
            </w:pPr>
          </w:p>
        </w:tc>
      </w:tr>
      <w:tr w:rsidR="005B639E" w:rsidRPr="0007179A" w:rsidTr="00253E60">
        <w:tc>
          <w:tcPr>
            <w:tcW w:w="56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sz w:val="24"/>
                <w:szCs w:val="24"/>
                <w:lang w:eastAsia="pl-PL"/>
              </w:rPr>
            </w:pPr>
          </w:p>
        </w:tc>
        <w:tc>
          <w:tcPr>
            <w:tcW w:w="212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b/>
                <w:sz w:val="24"/>
                <w:szCs w:val="24"/>
              </w:rPr>
            </w:pPr>
          </w:p>
        </w:tc>
        <w:tc>
          <w:tcPr>
            <w:tcW w:w="1417"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sz w:val="24"/>
                <w:szCs w:val="24"/>
                <w:lang w:eastAsia="pl-PL"/>
              </w:rPr>
            </w:pPr>
          </w:p>
        </w:tc>
        <w:tc>
          <w:tcPr>
            <w:tcW w:w="1418" w:type="dxa"/>
            <w:tcBorders>
              <w:top w:val="single" w:sz="4" w:space="0" w:color="auto"/>
              <w:left w:val="single" w:sz="6" w:space="0" w:color="000000"/>
              <w:bottom w:val="single" w:sz="4" w:space="0" w:color="auto"/>
              <w:right w:val="single" w:sz="6" w:space="0" w:color="000000"/>
            </w:tcBorders>
            <w:vAlign w:val="center"/>
            <w:hideMark/>
          </w:tcPr>
          <w:p w:rsidR="005B639E" w:rsidRPr="0007179A" w:rsidRDefault="005B639E" w:rsidP="0007179A">
            <w:pPr>
              <w:jc w:val="center"/>
              <w:rPr>
                <w:sz w:val="24"/>
                <w:szCs w:val="24"/>
                <w:lang w:eastAsia="pl-PL"/>
              </w:rPr>
            </w:pPr>
            <w:r w:rsidRPr="0007179A">
              <w:rPr>
                <w:sz w:val="24"/>
                <w:szCs w:val="24"/>
                <w:lang w:eastAsia="pl-PL"/>
              </w:rPr>
              <w:t>93/3</w:t>
            </w:r>
          </w:p>
        </w:tc>
        <w:tc>
          <w:tcPr>
            <w:tcW w:w="2268"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b/>
                <w:sz w:val="24"/>
                <w:szCs w:val="24"/>
              </w:rPr>
            </w:pPr>
          </w:p>
        </w:tc>
        <w:tc>
          <w:tcPr>
            <w:tcW w:w="2126" w:type="dxa"/>
            <w:vMerge/>
            <w:tcBorders>
              <w:top w:val="single" w:sz="6" w:space="0" w:color="000000"/>
              <w:left w:val="single" w:sz="6" w:space="0" w:color="000000"/>
              <w:bottom w:val="single" w:sz="4" w:space="0" w:color="auto"/>
              <w:right w:val="single" w:sz="4" w:space="0" w:color="auto"/>
            </w:tcBorders>
            <w:vAlign w:val="center"/>
            <w:hideMark/>
          </w:tcPr>
          <w:p w:rsidR="005B639E" w:rsidRPr="0007179A" w:rsidRDefault="005B639E" w:rsidP="0007179A">
            <w:pPr>
              <w:suppressAutoHyphens w:val="0"/>
              <w:rPr>
                <w:b/>
                <w:sz w:val="24"/>
                <w:szCs w:val="24"/>
              </w:rPr>
            </w:pPr>
          </w:p>
        </w:tc>
      </w:tr>
      <w:tr w:rsidR="005B639E" w:rsidRPr="0007179A" w:rsidTr="00253E60">
        <w:tc>
          <w:tcPr>
            <w:tcW w:w="56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sz w:val="24"/>
                <w:szCs w:val="24"/>
                <w:lang w:eastAsia="pl-PL"/>
              </w:rPr>
            </w:pPr>
          </w:p>
        </w:tc>
        <w:tc>
          <w:tcPr>
            <w:tcW w:w="212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b/>
                <w:sz w:val="24"/>
                <w:szCs w:val="24"/>
              </w:rPr>
            </w:pPr>
          </w:p>
        </w:tc>
        <w:tc>
          <w:tcPr>
            <w:tcW w:w="1417"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sz w:val="24"/>
                <w:szCs w:val="24"/>
                <w:lang w:eastAsia="pl-PL"/>
              </w:rPr>
            </w:pPr>
          </w:p>
        </w:tc>
        <w:tc>
          <w:tcPr>
            <w:tcW w:w="1418" w:type="dxa"/>
            <w:tcBorders>
              <w:top w:val="single" w:sz="4" w:space="0" w:color="auto"/>
              <w:left w:val="single" w:sz="6" w:space="0" w:color="000000"/>
              <w:bottom w:val="single" w:sz="4" w:space="0" w:color="auto"/>
              <w:right w:val="single" w:sz="6" w:space="0" w:color="000000"/>
            </w:tcBorders>
            <w:vAlign w:val="center"/>
            <w:hideMark/>
          </w:tcPr>
          <w:p w:rsidR="005B639E" w:rsidRPr="0007179A" w:rsidRDefault="005B639E" w:rsidP="0007179A">
            <w:pPr>
              <w:jc w:val="center"/>
              <w:rPr>
                <w:sz w:val="24"/>
                <w:szCs w:val="24"/>
                <w:lang w:eastAsia="pl-PL"/>
              </w:rPr>
            </w:pPr>
            <w:r w:rsidRPr="0007179A">
              <w:rPr>
                <w:sz w:val="24"/>
                <w:szCs w:val="24"/>
                <w:lang w:eastAsia="pl-PL"/>
              </w:rPr>
              <w:t>176/9</w:t>
            </w:r>
          </w:p>
        </w:tc>
        <w:tc>
          <w:tcPr>
            <w:tcW w:w="2268"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b/>
                <w:sz w:val="24"/>
                <w:szCs w:val="24"/>
              </w:rPr>
            </w:pPr>
          </w:p>
        </w:tc>
        <w:tc>
          <w:tcPr>
            <w:tcW w:w="2126" w:type="dxa"/>
            <w:vMerge/>
            <w:tcBorders>
              <w:top w:val="single" w:sz="6" w:space="0" w:color="000000"/>
              <w:left w:val="single" w:sz="6" w:space="0" w:color="000000"/>
              <w:bottom w:val="single" w:sz="4" w:space="0" w:color="auto"/>
              <w:right w:val="single" w:sz="4" w:space="0" w:color="auto"/>
            </w:tcBorders>
            <w:vAlign w:val="center"/>
            <w:hideMark/>
          </w:tcPr>
          <w:p w:rsidR="005B639E" w:rsidRPr="0007179A" w:rsidRDefault="005B639E" w:rsidP="0007179A">
            <w:pPr>
              <w:suppressAutoHyphens w:val="0"/>
              <w:rPr>
                <w:b/>
                <w:sz w:val="24"/>
                <w:szCs w:val="24"/>
              </w:rPr>
            </w:pPr>
          </w:p>
        </w:tc>
      </w:tr>
      <w:tr w:rsidR="005B639E" w:rsidRPr="0007179A" w:rsidTr="00253E60">
        <w:tc>
          <w:tcPr>
            <w:tcW w:w="56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sz w:val="24"/>
                <w:szCs w:val="24"/>
                <w:lang w:eastAsia="pl-PL"/>
              </w:rPr>
            </w:pPr>
          </w:p>
        </w:tc>
        <w:tc>
          <w:tcPr>
            <w:tcW w:w="2127" w:type="dxa"/>
            <w:vMerge/>
            <w:tcBorders>
              <w:top w:val="nil"/>
              <w:left w:val="single" w:sz="6" w:space="0" w:color="000000"/>
              <w:bottom w:val="single" w:sz="4" w:space="0" w:color="auto"/>
              <w:right w:val="nil"/>
            </w:tcBorders>
            <w:vAlign w:val="center"/>
            <w:hideMark/>
          </w:tcPr>
          <w:p w:rsidR="005B639E" w:rsidRPr="0007179A" w:rsidRDefault="005B639E" w:rsidP="0007179A">
            <w:pPr>
              <w:suppressAutoHyphens w:val="0"/>
              <w:rPr>
                <w:b/>
                <w:sz w:val="24"/>
                <w:szCs w:val="24"/>
              </w:rPr>
            </w:pPr>
          </w:p>
        </w:tc>
        <w:tc>
          <w:tcPr>
            <w:tcW w:w="1417"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sz w:val="24"/>
                <w:szCs w:val="24"/>
                <w:lang w:eastAsia="pl-PL"/>
              </w:rPr>
            </w:pPr>
          </w:p>
        </w:tc>
        <w:tc>
          <w:tcPr>
            <w:tcW w:w="1418" w:type="dxa"/>
            <w:tcBorders>
              <w:top w:val="single" w:sz="4" w:space="0" w:color="auto"/>
              <w:left w:val="single" w:sz="6" w:space="0" w:color="000000"/>
              <w:bottom w:val="single" w:sz="4" w:space="0" w:color="auto"/>
              <w:right w:val="single" w:sz="6" w:space="0" w:color="000000"/>
            </w:tcBorders>
            <w:vAlign w:val="center"/>
            <w:hideMark/>
          </w:tcPr>
          <w:p w:rsidR="005B639E" w:rsidRPr="0007179A" w:rsidRDefault="005B639E" w:rsidP="0007179A">
            <w:pPr>
              <w:jc w:val="center"/>
              <w:rPr>
                <w:sz w:val="24"/>
                <w:szCs w:val="24"/>
                <w:lang w:eastAsia="pl-PL"/>
              </w:rPr>
            </w:pPr>
            <w:r w:rsidRPr="0007179A">
              <w:rPr>
                <w:sz w:val="24"/>
                <w:szCs w:val="24"/>
                <w:lang w:eastAsia="pl-PL"/>
              </w:rPr>
              <w:t>176/10</w:t>
            </w:r>
          </w:p>
        </w:tc>
        <w:tc>
          <w:tcPr>
            <w:tcW w:w="2268" w:type="dxa"/>
            <w:vMerge/>
            <w:tcBorders>
              <w:top w:val="nil"/>
              <w:left w:val="single" w:sz="6" w:space="0" w:color="000000"/>
              <w:bottom w:val="single" w:sz="4" w:space="0" w:color="auto"/>
              <w:right w:val="single" w:sz="6" w:space="0" w:color="000000"/>
            </w:tcBorders>
            <w:vAlign w:val="center"/>
            <w:hideMark/>
          </w:tcPr>
          <w:p w:rsidR="005B639E" w:rsidRPr="0007179A" w:rsidRDefault="005B639E" w:rsidP="0007179A">
            <w:pPr>
              <w:suppressAutoHyphens w:val="0"/>
              <w:rPr>
                <w:b/>
                <w:sz w:val="24"/>
                <w:szCs w:val="24"/>
              </w:rPr>
            </w:pPr>
          </w:p>
        </w:tc>
        <w:tc>
          <w:tcPr>
            <w:tcW w:w="2126" w:type="dxa"/>
            <w:vMerge/>
            <w:tcBorders>
              <w:top w:val="single" w:sz="6" w:space="0" w:color="000000"/>
              <w:left w:val="single" w:sz="6" w:space="0" w:color="000000"/>
              <w:bottom w:val="single" w:sz="4" w:space="0" w:color="auto"/>
              <w:right w:val="single" w:sz="4" w:space="0" w:color="auto"/>
            </w:tcBorders>
            <w:vAlign w:val="center"/>
            <w:hideMark/>
          </w:tcPr>
          <w:p w:rsidR="005B639E" w:rsidRPr="0007179A" w:rsidRDefault="005B639E" w:rsidP="0007179A">
            <w:pPr>
              <w:suppressAutoHyphens w:val="0"/>
              <w:rPr>
                <w:b/>
                <w:sz w:val="24"/>
                <w:szCs w:val="24"/>
              </w:rPr>
            </w:pPr>
          </w:p>
        </w:tc>
      </w:tr>
    </w:tbl>
    <w:p w:rsidR="005B639E" w:rsidRPr="0007179A" w:rsidRDefault="00253E60" w:rsidP="0007179A">
      <w:pPr>
        <w:pStyle w:val="Tekstpodstawowy"/>
        <w:tabs>
          <w:tab w:val="left" w:pos="855"/>
        </w:tabs>
        <w:jc w:val="both"/>
        <w:rPr>
          <w:rFonts w:ascii="Times New Roman" w:hAnsi="Times New Roman"/>
          <w:szCs w:val="24"/>
        </w:rPr>
      </w:pPr>
      <w:r w:rsidRPr="0007179A">
        <w:rPr>
          <w:rFonts w:ascii="Times New Roman" w:hAnsi="Times New Roman"/>
          <w:szCs w:val="24"/>
        </w:rPr>
        <w:tab/>
      </w:r>
      <w:r w:rsidR="005B639E" w:rsidRPr="0007179A">
        <w:rPr>
          <w:rFonts w:ascii="Times New Roman" w:hAnsi="Times New Roman"/>
          <w:szCs w:val="24"/>
        </w:rPr>
        <w:t xml:space="preserve">2. Ustalona w przetargu cena stanowi cenę brutto w rozumieniu </w:t>
      </w:r>
      <w:r w:rsidRPr="0007179A">
        <w:rPr>
          <w:rFonts w:ascii="Times New Roman" w:hAnsi="Times New Roman"/>
          <w:szCs w:val="24"/>
        </w:rPr>
        <w:t xml:space="preserve">przepisów o podatku od towarów </w:t>
      </w:r>
      <w:r w:rsidR="005B639E" w:rsidRPr="0007179A">
        <w:rPr>
          <w:rFonts w:ascii="Times New Roman" w:hAnsi="Times New Roman"/>
          <w:szCs w:val="24"/>
        </w:rPr>
        <w:t>i usług.</w:t>
      </w:r>
    </w:p>
    <w:p w:rsidR="00253E60" w:rsidRPr="0007179A" w:rsidRDefault="00253E60"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 xml:space="preserve">§6.1. W przetargu mogą wziąć udział podmioty, które wpłacą wadium w pieniądzu,                  w formie przelewu, na konto Urzędu Miasta Torunia - BANK MILLENNIUM S.A. O/Toruń                    nr 67 1160 2202 0000 0000 6171 9146 w terminie </w:t>
      </w:r>
      <w:r w:rsidRPr="0007179A">
        <w:rPr>
          <w:rFonts w:ascii="Times New Roman" w:hAnsi="Times New Roman"/>
          <w:b/>
          <w:szCs w:val="24"/>
        </w:rPr>
        <w:t xml:space="preserve">do dnia </w:t>
      </w:r>
      <w:r w:rsidR="00E43A87">
        <w:rPr>
          <w:rFonts w:ascii="Times New Roman" w:hAnsi="Times New Roman"/>
          <w:b/>
          <w:szCs w:val="24"/>
        </w:rPr>
        <w:t>30</w:t>
      </w:r>
      <w:r w:rsidR="00253E60" w:rsidRPr="0007179A">
        <w:rPr>
          <w:rFonts w:ascii="Times New Roman" w:hAnsi="Times New Roman"/>
          <w:b/>
          <w:szCs w:val="24"/>
        </w:rPr>
        <w:t xml:space="preserve"> października 2024</w:t>
      </w:r>
      <w:r w:rsidRPr="0007179A">
        <w:rPr>
          <w:rFonts w:ascii="Times New Roman" w:hAnsi="Times New Roman"/>
          <w:b/>
          <w:szCs w:val="24"/>
        </w:rPr>
        <w:t xml:space="preserve"> r. włącznie</w:t>
      </w:r>
      <w:r w:rsidRPr="0007179A">
        <w:rPr>
          <w:rFonts w:ascii="Times New Roman" w:hAnsi="Times New Roman"/>
          <w:szCs w:val="24"/>
        </w:rPr>
        <w:t>. Za datę wpłaty wadium uznaje się dzień wpływu środków pieniężnych na wskazane konto Gminy. Na dowodzie wpłaty należy umieścić dopisek wskazujący oznaczenie działki, do licytacji której uczestnik zamierza przystąpić. Wpłacone wadium uprawnia do uczestnictwa wyłącznie w przetargu, którego dotyczy.</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 Podmioty, które wpłacą wadium w sposób niezgodny z postanowieniami ust. 1,                      w szczególności gdy wadium zostanie wpłacone w gotówce w kasie Urzędu Miasta Torunia,                  nie zostaną dopuszczone do udziału w przetargu.</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 xml:space="preserve">3. Komisja przetargowa w dniu </w:t>
      </w:r>
      <w:r w:rsidR="00E43A87">
        <w:rPr>
          <w:rFonts w:ascii="Times New Roman" w:hAnsi="Times New Roman"/>
          <w:szCs w:val="24"/>
        </w:rPr>
        <w:t>31</w:t>
      </w:r>
      <w:r w:rsidR="00ED4C4D" w:rsidRPr="0007179A">
        <w:rPr>
          <w:rFonts w:ascii="Times New Roman" w:hAnsi="Times New Roman"/>
          <w:szCs w:val="24"/>
        </w:rPr>
        <w:t xml:space="preserve"> października 2024r.</w:t>
      </w:r>
      <w:r w:rsidRPr="0007179A">
        <w:rPr>
          <w:rFonts w:ascii="Times New Roman" w:hAnsi="Times New Roman"/>
          <w:szCs w:val="24"/>
        </w:rPr>
        <w:t xml:space="preserve"> r. stwierdzi dokonanie wpłat wadiów na podstawie wyciągu bankowego z wskazanego konta i sporządzi wykaz osób, które spełniły ten warunek.</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§7.1. Uczestnicy przetargu i osoby działające w ich imieniu winni przed przystąpieniem do licytacji przedstawić Komisji Przetargowej:</w:t>
      </w:r>
    </w:p>
    <w:p w:rsidR="005B639E" w:rsidRPr="0007179A" w:rsidRDefault="005B639E" w:rsidP="0007179A">
      <w:pPr>
        <w:pStyle w:val="Tekstpodstawowy"/>
        <w:numPr>
          <w:ilvl w:val="0"/>
          <w:numId w:val="6"/>
        </w:numPr>
        <w:tabs>
          <w:tab w:val="left" w:pos="855"/>
        </w:tabs>
        <w:jc w:val="both"/>
        <w:rPr>
          <w:rFonts w:ascii="Times New Roman" w:hAnsi="Times New Roman"/>
          <w:szCs w:val="24"/>
        </w:rPr>
      </w:pPr>
      <w:r w:rsidRPr="0007179A">
        <w:rPr>
          <w:rFonts w:ascii="Times New Roman" w:hAnsi="Times New Roman"/>
          <w:szCs w:val="24"/>
        </w:rPr>
        <w:t>wszyscy: dokument potwierdzający tożsamość tj. dowód osobisty lub paszport;</w:t>
      </w:r>
    </w:p>
    <w:p w:rsidR="005B639E" w:rsidRPr="0007179A" w:rsidRDefault="005B639E" w:rsidP="0007179A">
      <w:pPr>
        <w:pStyle w:val="Tekstpodstawowy"/>
        <w:numPr>
          <w:ilvl w:val="0"/>
          <w:numId w:val="6"/>
        </w:numPr>
        <w:tabs>
          <w:tab w:val="left" w:pos="855"/>
        </w:tabs>
        <w:jc w:val="both"/>
        <w:rPr>
          <w:rFonts w:ascii="Times New Roman" w:hAnsi="Times New Roman"/>
          <w:szCs w:val="24"/>
        </w:rPr>
      </w:pPr>
      <w:r w:rsidRPr="0007179A">
        <w:rPr>
          <w:rFonts w:ascii="Times New Roman" w:hAnsi="Times New Roman"/>
          <w:szCs w:val="24"/>
        </w:rPr>
        <w:t>osoby prawne i jednostki organizacyjne nie będące osobami prawnymi, którym ustawa przyznała zdolność prawną: aktualny wypis z właściwego rejestru oraz upoważnienie organu uprawnionego do reprezentowania podmiotu;</w:t>
      </w:r>
    </w:p>
    <w:p w:rsidR="005B639E" w:rsidRPr="0007179A" w:rsidRDefault="005B639E" w:rsidP="0007179A">
      <w:pPr>
        <w:pStyle w:val="Tekstpodstawowy"/>
        <w:numPr>
          <w:ilvl w:val="0"/>
          <w:numId w:val="6"/>
        </w:numPr>
        <w:tabs>
          <w:tab w:val="left" w:pos="855"/>
        </w:tabs>
        <w:jc w:val="both"/>
        <w:rPr>
          <w:rFonts w:ascii="Times New Roman" w:hAnsi="Times New Roman"/>
          <w:szCs w:val="24"/>
        </w:rPr>
      </w:pPr>
      <w:r w:rsidRPr="0007179A">
        <w:rPr>
          <w:rFonts w:ascii="Times New Roman" w:hAnsi="Times New Roman"/>
          <w:szCs w:val="24"/>
        </w:rPr>
        <w:t>pełnomocnicy: pełnomocnictwo do uczestnictwa w przetargu (w formie pisemnej) lub pełnomocnictwo do nabycia nieruchomości (w formie aktu notarialnego);</w:t>
      </w:r>
    </w:p>
    <w:p w:rsidR="005B639E" w:rsidRPr="0007179A" w:rsidRDefault="005B639E" w:rsidP="0007179A">
      <w:pPr>
        <w:pStyle w:val="Tekstpodstawowy"/>
        <w:numPr>
          <w:ilvl w:val="0"/>
          <w:numId w:val="6"/>
        </w:numPr>
        <w:tabs>
          <w:tab w:val="left" w:pos="855"/>
        </w:tabs>
        <w:jc w:val="both"/>
        <w:rPr>
          <w:rFonts w:ascii="Times New Roman" w:hAnsi="Times New Roman"/>
          <w:szCs w:val="24"/>
        </w:rPr>
      </w:pPr>
      <w:r w:rsidRPr="0007179A">
        <w:rPr>
          <w:rFonts w:ascii="Times New Roman" w:hAnsi="Times New Roman"/>
          <w:szCs w:val="24"/>
        </w:rPr>
        <w:t>małżonek zamierzający samodzielnie licytować nieruchomość nabywaną do majątku wspólnego: pisemną zgodę współmałżonka.</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 Nie przedłożenie wymaganych dokumentów wymienionych w ust. 1 skutkować będzie nie dopuszczeniem do uczestnictwa w przetargu.</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3. W przetargu nie mogą uczestniczyć osoby wchodzące w skład Komisji Przetargowej, osoby im bliskie, lub pozostające w takim stosunku prawnym lub faktycznym, że może budzić to uzasadnione wątpliwości co do bezstronności Komisji Przetargowej.</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§8.1. Licytacja odbywa się przez podniesienie ręki osoby biorącej udział w przetargu oraz głośne podanie oferowanej ceny, będącej powiększeniem ceny wywoławczej o kolejne postąpienia.</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 xml:space="preserve">2. Postąpienie nie może być niższe niż </w:t>
      </w:r>
      <w:r w:rsidRPr="0007179A">
        <w:rPr>
          <w:rFonts w:ascii="Times New Roman" w:hAnsi="Times New Roman"/>
          <w:b/>
          <w:szCs w:val="24"/>
        </w:rPr>
        <w:t>1% ceny wywoławczej</w:t>
      </w:r>
      <w:r w:rsidRPr="0007179A">
        <w:rPr>
          <w:rFonts w:ascii="Times New Roman" w:hAnsi="Times New Roman"/>
          <w:szCs w:val="24"/>
        </w:rPr>
        <w:t xml:space="preserve"> z zaokrągleniem</w:t>
      </w:r>
      <w:r w:rsidR="00ED4C4D" w:rsidRPr="0007179A">
        <w:rPr>
          <w:rFonts w:ascii="Times New Roman" w:hAnsi="Times New Roman"/>
          <w:szCs w:val="24"/>
        </w:rPr>
        <w:br/>
      </w:r>
      <w:r w:rsidRPr="0007179A">
        <w:rPr>
          <w:rFonts w:ascii="Times New Roman" w:hAnsi="Times New Roman"/>
          <w:szCs w:val="24"/>
        </w:rPr>
        <w:t>w górę do pełnych dziesiątek złotych.</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§9.  O rozstrzygnięciu licytacji decyduje wielkość i kolejność zaoferowanej ceny.</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§10. Po trzecim wywołaniu najwyższej zaoferowanej ceny dalsze postąpienia nie zostaną przyjęte.</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§11. Przetarg jest ważny bez względu na liczbę uczestników przetargu, jeżeli chociaż jeden uczestnik zaoferuje co najmniej jedno postąpienie powyżej ceny wywoławczej.</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§12. Wadium wpłacone przez uczestnika, który przetarg wygrał zalicza się na poczet ceny sprzedaży z chwilą zawarcia umowy sprzedaży w formie aktu notarialnego. Wadium ulega przepadkowi w wypadku uchylenia się od zawarcia aktu notarialnego przez uczestnika, który przetarg wygrał.</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 xml:space="preserve">§13. Pozostałym uczestnikom przetargu wadium zostanie niezwłocznie, nie później niż przed upływem 3 dni od dnia odwołania, unieważnienia lub rozstrzygnięcia przetargu, </w:t>
      </w:r>
      <w:r w:rsidRPr="0007179A">
        <w:rPr>
          <w:rFonts w:ascii="Times New Roman" w:hAnsi="Times New Roman"/>
          <w:szCs w:val="24"/>
        </w:rPr>
        <w:lastRenderedPageBreak/>
        <w:t>zwrócone przelewem - w wysokości nominalnej, na wskazane przez nich konto. W przypadku braku pisemnego wskazania - najpóźniej w dniu przetargu - rachunku bankowego, na które ma być dokonany zwrot, wadium zostanie zwrócone na konto, z którego wpłynęło</w:t>
      </w:r>
      <w:r w:rsidR="008D2981" w:rsidRPr="0007179A">
        <w:rPr>
          <w:rFonts w:ascii="Times New Roman" w:hAnsi="Times New Roman"/>
          <w:szCs w:val="24"/>
        </w:rPr>
        <w:t>.</w:t>
      </w:r>
    </w:p>
    <w:p w:rsidR="00ED4C4D" w:rsidRPr="0007179A" w:rsidRDefault="00ED4C4D" w:rsidP="0007179A">
      <w:pPr>
        <w:pStyle w:val="Tekstpodstawowy"/>
        <w:tabs>
          <w:tab w:val="left" w:pos="855"/>
        </w:tabs>
        <w:jc w:val="both"/>
        <w:rPr>
          <w:rFonts w:ascii="Times New Roman" w:hAnsi="Times New Roman"/>
          <w:szCs w:val="24"/>
        </w:rPr>
      </w:pP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§14.1. Protokół przetargu sporządza się w trzech jednobrzmiących egzemplarzach.</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 Protokół przetargu stanowi podstawę do zawarcia umowy sprzedaży w formie aktu notarialnego.</w:t>
      </w:r>
    </w:p>
    <w:p w:rsidR="00FC0553" w:rsidRPr="0007179A" w:rsidRDefault="00FC0553" w:rsidP="0007179A">
      <w:pPr>
        <w:jc w:val="both"/>
        <w:rPr>
          <w:sz w:val="24"/>
          <w:szCs w:val="24"/>
        </w:rPr>
      </w:pPr>
    </w:p>
    <w:p w:rsidR="008D2981" w:rsidRPr="0007179A" w:rsidRDefault="005B639E" w:rsidP="0007179A">
      <w:pPr>
        <w:jc w:val="both"/>
        <w:rPr>
          <w:rFonts w:eastAsia="SimSun"/>
          <w:kern w:val="2"/>
          <w:sz w:val="24"/>
          <w:szCs w:val="24"/>
        </w:rPr>
      </w:pPr>
      <w:r w:rsidRPr="0007179A">
        <w:rPr>
          <w:sz w:val="24"/>
          <w:szCs w:val="24"/>
        </w:rPr>
        <w:tab/>
        <w:t xml:space="preserve">§15.1. </w:t>
      </w:r>
      <w:r w:rsidR="008D2981" w:rsidRPr="0007179A">
        <w:rPr>
          <w:rStyle w:val="alb"/>
          <w:sz w:val="24"/>
          <w:szCs w:val="24"/>
        </w:rPr>
        <w:t xml:space="preserve">Prezydent Miasta Torunia </w:t>
      </w:r>
      <w:r w:rsidR="008D2981" w:rsidRPr="0007179A">
        <w:rPr>
          <w:sz w:val="24"/>
          <w:szCs w:val="24"/>
        </w:rPr>
        <w:t>zawiadomi osobę ustaloną jako nabywca nieruchomości o miejscu i terminie zawarcia umowy sprzedaży  nieruchomości, najpóźniej</w:t>
      </w:r>
      <w:r w:rsidR="002B0D5D">
        <w:rPr>
          <w:sz w:val="24"/>
          <w:szCs w:val="24"/>
        </w:rPr>
        <w:br/>
      </w:r>
      <w:r w:rsidR="008D2981" w:rsidRPr="0007179A">
        <w:rPr>
          <w:sz w:val="24"/>
          <w:szCs w:val="24"/>
        </w:rPr>
        <w:t>w ciągu 21 dni od dnia rozstrzygnięcia przetargu. Wyznaczony termin nie może być krótszy niż 7 dni od dnia doręczenia zawiadomienia.</w:t>
      </w:r>
    </w:p>
    <w:p w:rsidR="008D2981" w:rsidRPr="0007179A" w:rsidRDefault="008D2981" w:rsidP="0007179A">
      <w:pPr>
        <w:jc w:val="both"/>
        <w:rPr>
          <w:rStyle w:val="alb"/>
          <w:sz w:val="24"/>
          <w:szCs w:val="24"/>
        </w:rPr>
      </w:pPr>
      <w:r w:rsidRPr="0007179A">
        <w:rPr>
          <w:sz w:val="24"/>
          <w:szCs w:val="24"/>
        </w:rPr>
        <w:t xml:space="preserve">                2. Umowa sprzedaży nieruchomości, w formie aktu notarialnego, winna zostać zawarta najpóźniej w terminie do dnia 31  grudnia 2024r., </w:t>
      </w:r>
      <w:r w:rsidRPr="0007179A">
        <w:rPr>
          <w:color w:val="000000"/>
          <w:sz w:val="24"/>
          <w:szCs w:val="24"/>
        </w:rPr>
        <w:t>przy czym nie wcześniej niż po upływie terminu, w którym może być wykonane przez Skarb Państwa prawo pierwokupu.</w:t>
      </w:r>
      <w:r w:rsidR="002B0D5D">
        <w:rPr>
          <w:color w:val="000000"/>
          <w:sz w:val="24"/>
          <w:szCs w:val="24"/>
        </w:rPr>
        <w:t xml:space="preserve"> Termin zawarcia umowy warunkowej: do dnia  15 listopada 2024r. </w:t>
      </w:r>
      <w:r w:rsidRPr="0007179A">
        <w:rPr>
          <w:sz w:val="24"/>
          <w:szCs w:val="24"/>
        </w:rPr>
        <w:t xml:space="preserve">W przypadku wystąpienia wyjątkowych  okoliczności, których osoba ustalona jako nabywca nieruchomości przetargu nie mogła przewidzieć w dniu przetargu, Prezydent Miasta Torunia może zadecydować o przesunięciu  terminu zawarcia umowy. </w:t>
      </w:r>
    </w:p>
    <w:p w:rsidR="008D2981" w:rsidRPr="0007179A" w:rsidRDefault="008D2981" w:rsidP="0007179A">
      <w:pPr>
        <w:jc w:val="both"/>
        <w:rPr>
          <w:sz w:val="24"/>
          <w:szCs w:val="24"/>
        </w:rPr>
      </w:pPr>
      <w:r w:rsidRPr="0007179A">
        <w:rPr>
          <w:rStyle w:val="alb"/>
          <w:sz w:val="24"/>
          <w:szCs w:val="24"/>
        </w:rPr>
        <w:t xml:space="preserve">                3. </w:t>
      </w:r>
      <w:r w:rsidRPr="0007179A">
        <w:rPr>
          <w:sz w:val="24"/>
          <w:szCs w:val="24"/>
        </w:rPr>
        <w:t>Jeżeli osoba ustalona jako nabywca nieruchomości nie przystąpi bez usprawiedliwienia do zawarcia umowy w miejscu i w terminie podanych w zawiadomieniu,</w:t>
      </w:r>
      <w:r w:rsidRPr="0007179A">
        <w:rPr>
          <w:sz w:val="24"/>
          <w:szCs w:val="24"/>
        </w:rPr>
        <w:br/>
        <w:t xml:space="preserve">o którym mowa w ust. 1, z zastrzeżeniem ust. 2, Prezydent Miasta Torunia może odstąpić od zawarcia umowy, a wpłacone wadium nie podlega zwrotowi. </w:t>
      </w:r>
    </w:p>
    <w:p w:rsidR="008D2981" w:rsidRPr="0007179A" w:rsidRDefault="008D2981" w:rsidP="0007179A">
      <w:pPr>
        <w:pStyle w:val="Textbody"/>
        <w:spacing w:after="0" w:line="240" w:lineRule="auto"/>
        <w:ind w:firstLine="554"/>
        <w:jc w:val="both"/>
        <w:rPr>
          <w:color w:val="000000"/>
          <w:sz w:val="24"/>
          <w:szCs w:val="24"/>
        </w:rPr>
      </w:pPr>
      <w:r w:rsidRPr="0007179A">
        <w:rPr>
          <w:sz w:val="24"/>
          <w:szCs w:val="24"/>
        </w:rPr>
        <w:t xml:space="preserve">         4. </w:t>
      </w:r>
      <w:r w:rsidRPr="0007179A">
        <w:rPr>
          <w:color w:val="000000"/>
          <w:sz w:val="24"/>
          <w:szCs w:val="24"/>
        </w:rPr>
        <w:t>Jeżeli  umowa  przenosząca  własność nieruchomości nie zostanie zawarta</w:t>
      </w:r>
      <w:r w:rsidRPr="0007179A">
        <w:rPr>
          <w:color w:val="000000"/>
          <w:sz w:val="24"/>
          <w:szCs w:val="24"/>
        </w:rPr>
        <w:br/>
        <w:t>z powodu skorzystania z prawa pierwokupu przez uprawniony podmiot, wadium zostanie zwrócone zwycięzcy przetargu niezwłocznie po otrzymaniu przez Gminę oświadczenia o wykonaniu prawa pierwokupu.</w:t>
      </w:r>
    </w:p>
    <w:p w:rsidR="008D2981" w:rsidRPr="0007179A" w:rsidRDefault="008D2981" w:rsidP="0007179A">
      <w:pPr>
        <w:pStyle w:val="Tekstpodstawowy"/>
        <w:tabs>
          <w:tab w:val="left" w:pos="855"/>
        </w:tabs>
        <w:jc w:val="both"/>
        <w:rPr>
          <w:rFonts w:ascii="Times New Roman" w:hAnsi="Times New Roman"/>
          <w:szCs w:val="24"/>
        </w:rPr>
      </w:pPr>
    </w:p>
    <w:p w:rsidR="005B639E" w:rsidRPr="0007179A" w:rsidRDefault="00FC0553" w:rsidP="0007179A">
      <w:pPr>
        <w:pStyle w:val="Tekstpodstawowy"/>
        <w:tabs>
          <w:tab w:val="left" w:pos="855"/>
        </w:tabs>
        <w:jc w:val="both"/>
        <w:rPr>
          <w:rFonts w:ascii="Times New Roman" w:hAnsi="Times New Roman"/>
          <w:szCs w:val="24"/>
        </w:rPr>
      </w:pPr>
      <w:r w:rsidRPr="0007179A">
        <w:rPr>
          <w:rFonts w:ascii="Times New Roman" w:hAnsi="Times New Roman"/>
          <w:szCs w:val="24"/>
        </w:rPr>
        <w:tab/>
      </w:r>
      <w:r w:rsidR="005B639E" w:rsidRPr="0007179A">
        <w:rPr>
          <w:rFonts w:ascii="Times New Roman" w:hAnsi="Times New Roman"/>
          <w:szCs w:val="24"/>
        </w:rPr>
        <w:t>§1</w:t>
      </w:r>
      <w:r w:rsidRPr="0007179A">
        <w:rPr>
          <w:rFonts w:ascii="Times New Roman" w:hAnsi="Times New Roman"/>
          <w:szCs w:val="24"/>
        </w:rPr>
        <w:t>6</w:t>
      </w:r>
      <w:r w:rsidR="005B639E" w:rsidRPr="0007179A">
        <w:rPr>
          <w:rFonts w:ascii="Times New Roman" w:hAnsi="Times New Roman"/>
          <w:szCs w:val="24"/>
        </w:rPr>
        <w:t>. Zwycięzca przetargu zobowiązany jest zapłacić ustaloną w przetargu cenę sprzedaży nieruchomości pomniejszoną o wpłacone wadium, przelewem na rachunek bankowy Urzędu Miasta Torunia - BANK MILLENIUM S.A. O/Toruń nr 95 1160 2202 0000 0000 6171 9127 przed zawarciem warunkowej umowy sprzedaży w formie aktu notarialnego, w terminie i w sposób umożliwiający potwierdzenie wpływu środków pieniężnych na wyżej wskazane konto.</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w:t>
      </w:r>
      <w:r w:rsidR="00FC0553" w:rsidRPr="0007179A">
        <w:rPr>
          <w:rFonts w:ascii="Times New Roman" w:hAnsi="Times New Roman"/>
          <w:szCs w:val="24"/>
        </w:rPr>
        <w:t>7</w:t>
      </w:r>
      <w:r w:rsidRPr="0007179A">
        <w:rPr>
          <w:rFonts w:ascii="Times New Roman" w:hAnsi="Times New Roman"/>
          <w:szCs w:val="24"/>
        </w:rPr>
        <w:t>. Nabycie nieruchomości przez cudzoziemca następuje z uwzględnieniem przepisów ustawy z dnia 24 marca 1920 r. o nabywaniu nieruchomości przez cudzoziemców.</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§1</w:t>
      </w:r>
      <w:r w:rsidR="00FC0553" w:rsidRPr="0007179A">
        <w:rPr>
          <w:rFonts w:ascii="Times New Roman" w:hAnsi="Times New Roman"/>
          <w:szCs w:val="24"/>
        </w:rPr>
        <w:t>8</w:t>
      </w:r>
      <w:r w:rsidRPr="0007179A">
        <w:rPr>
          <w:rFonts w:ascii="Times New Roman" w:hAnsi="Times New Roman"/>
          <w:szCs w:val="24"/>
        </w:rPr>
        <w:t>. Koszty nabycia nieruchomości ponosi nabywający.</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w:t>
      </w:r>
      <w:r w:rsidR="00FC0553" w:rsidRPr="0007179A">
        <w:rPr>
          <w:rFonts w:ascii="Times New Roman" w:hAnsi="Times New Roman"/>
          <w:szCs w:val="24"/>
        </w:rPr>
        <w:t>19</w:t>
      </w:r>
      <w:r w:rsidRPr="0007179A">
        <w:rPr>
          <w:rFonts w:ascii="Times New Roman" w:hAnsi="Times New Roman"/>
          <w:szCs w:val="24"/>
        </w:rPr>
        <w:t>. Dane nieruchomości zostały podane na podstawie informacji z ewidencji gruntów                   i budynków. Geodezyjne okazanie granic sprzedawanej nieruchomości odbyć się może na koszt                     i wniosek nabywcy.</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w:t>
      </w:r>
      <w:r w:rsidR="00FC0553" w:rsidRPr="0007179A">
        <w:rPr>
          <w:rFonts w:ascii="Times New Roman" w:hAnsi="Times New Roman"/>
          <w:szCs w:val="24"/>
        </w:rPr>
        <w:t>0</w:t>
      </w:r>
      <w:r w:rsidRPr="0007179A">
        <w:rPr>
          <w:rFonts w:ascii="Times New Roman" w:hAnsi="Times New Roman"/>
          <w:szCs w:val="24"/>
        </w:rPr>
        <w:t>. Prezydent Miasta Torunia może z ważnych powodów odwołać przetarg.</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w:t>
      </w:r>
      <w:r w:rsidR="00FC0553" w:rsidRPr="0007179A">
        <w:rPr>
          <w:rFonts w:ascii="Times New Roman" w:hAnsi="Times New Roman"/>
          <w:szCs w:val="24"/>
        </w:rPr>
        <w:t>1</w:t>
      </w:r>
      <w:r w:rsidRPr="0007179A">
        <w:rPr>
          <w:rFonts w:ascii="Times New Roman" w:hAnsi="Times New Roman"/>
          <w:szCs w:val="24"/>
        </w:rPr>
        <w:t xml:space="preserve">.1. Uczestnik przetargu może zaskarżyć czynności związane z przeprowadzeniem przetargu do Prezydenta Miasta Torunia. Skarga winna być wniesiona w terminie 7 dni od dnia ogłoszenia wyniku przetargu. </w:t>
      </w:r>
    </w:p>
    <w:p w:rsidR="005B639E" w:rsidRPr="0007179A" w:rsidRDefault="005B639E" w:rsidP="0007179A">
      <w:pPr>
        <w:pStyle w:val="Tekstpodstawowy"/>
        <w:tabs>
          <w:tab w:val="left" w:pos="855"/>
        </w:tabs>
        <w:jc w:val="both"/>
        <w:rPr>
          <w:rFonts w:ascii="Times New Roman" w:hAnsi="Times New Roman"/>
          <w:szCs w:val="24"/>
        </w:rPr>
      </w:pPr>
      <w:r w:rsidRPr="0007179A">
        <w:rPr>
          <w:rFonts w:ascii="Times New Roman" w:hAnsi="Times New Roman"/>
          <w:szCs w:val="24"/>
        </w:rPr>
        <w:tab/>
        <w:t>2. Prezydent Miasta Torunia rozpatrzy skargę w terminie 7 dni od dnia jej otrzymania.</w:t>
      </w:r>
    </w:p>
    <w:p w:rsidR="0097585F" w:rsidRDefault="005B639E" w:rsidP="001E0ACD">
      <w:pPr>
        <w:pStyle w:val="Tekstpodstawowy"/>
        <w:tabs>
          <w:tab w:val="left" w:pos="855"/>
        </w:tabs>
        <w:jc w:val="both"/>
        <w:rPr>
          <w:rFonts w:ascii="Times New Roman" w:hAnsi="Times New Roman"/>
          <w:szCs w:val="24"/>
        </w:rPr>
      </w:pPr>
      <w:r w:rsidRPr="0007179A">
        <w:rPr>
          <w:rFonts w:ascii="Times New Roman" w:hAnsi="Times New Roman"/>
          <w:szCs w:val="24"/>
        </w:rPr>
        <w:tab/>
        <w:t>3. Do czasu rozpatrzenia skargi wstrzymane zostają czynności związane ze zbyciem nieruchomości.</w:t>
      </w:r>
    </w:p>
    <w:p w:rsidR="00AF2A24" w:rsidRDefault="00AF2A24" w:rsidP="001E0ACD">
      <w:pPr>
        <w:pStyle w:val="Tekstpodstawowy"/>
        <w:tabs>
          <w:tab w:val="left" w:pos="855"/>
        </w:tabs>
        <w:jc w:val="both"/>
        <w:rPr>
          <w:rFonts w:ascii="Times New Roman" w:hAnsi="Times New Roman"/>
          <w:szCs w:val="24"/>
        </w:rPr>
      </w:pPr>
    </w:p>
    <w:p w:rsidR="00AF2A24" w:rsidRDefault="00AF2A24" w:rsidP="00AF2A24">
      <w:pPr>
        <w:spacing w:line="276" w:lineRule="auto"/>
        <w:ind w:firstLine="5529"/>
      </w:pPr>
      <w:r>
        <w:t>Prezydent Miasta Torunia</w:t>
      </w:r>
    </w:p>
    <w:p w:rsidR="00AF2A24" w:rsidRPr="00AF2A24" w:rsidRDefault="00AF2A24" w:rsidP="00AF2A24">
      <w:pPr>
        <w:spacing w:line="276" w:lineRule="auto"/>
        <w:ind w:firstLine="5529"/>
      </w:pPr>
      <w:r>
        <w:t xml:space="preserve">    (-) Paweł Gulewski</w:t>
      </w:r>
      <w:bookmarkStart w:id="0" w:name="_GoBack"/>
      <w:bookmarkEnd w:id="0"/>
    </w:p>
    <w:sectPr w:rsidR="00AF2A24" w:rsidRPr="00AF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773"/>
    <w:multiLevelType w:val="hybridMultilevel"/>
    <w:tmpl w:val="EB7A3144"/>
    <w:lvl w:ilvl="0" w:tplc="8B48E030">
      <w:start w:val="1"/>
      <w:numFmt w:val="decimal"/>
      <w:lvlText w:val="%1)"/>
      <w:lvlJc w:val="left"/>
      <w:pPr>
        <w:ind w:left="360" w:hanging="360"/>
      </w:pPr>
      <w:rPr>
        <w:vertAlign w:val="superscrip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19F7E0E"/>
    <w:multiLevelType w:val="hybridMultilevel"/>
    <w:tmpl w:val="5582F440"/>
    <w:lvl w:ilvl="0" w:tplc="B658D1F6">
      <w:start w:val="3"/>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5A15948"/>
    <w:multiLevelType w:val="hybridMultilevel"/>
    <w:tmpl w:val="72E64864"/>
    <w:lvl w:ilvl="0" w:tplc="3D9E483C">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ACC5150"/>
    <w:multiLevelType w:val="hybridMultilevel"/>
    <w:tmpl w:val="25DCD99C"/>
    <w:lvl w:ilvl="0" w:tplc="256E3C7E">
      <w:start w:val="3"/>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DBC03F3"/>
    <w:multiLevelType w:val="hybridMultilevel"/>
    <w:tmpl w:val="6066B93C"/>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15:restartNumberingAfterBreak="0">
    <w:nsid w:val="5B3E1367"/>
    <w:multiLevelType w:val="hybridMultilevel"/>
    <w:tmpl w:val="918C544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698857E8"/>
    <w:multiLevelType w:val="hybridMultilevel"/>
    <w:tmpl w:val="6C740F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6C90208D"/>
    <w:multiLevelType w:val="hybridMultilevel"/>
    <w:tmpl w:val="1568B962"/>
    <w:lvl w:ilvl="0" w:tplc="E90067A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 w15:restartNumberingAfterBreak="0">
    <w:nsid w:val="70CB6D56"/>
    <w:multiLevelType w:val="hybridMultilevel"/>
    <w:tmpl w:val="6CFC9F4E"/>
    <w:lvl w:ilvl="0" w:tplc="95A41866">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 w15:restartNumberingAfterBreak="0">
    <w:nsid w:val="74C90E32"/>
    <w:multiLevelType w:val="hybridMultilevel"/>
    <w:tmpl w:val="7298D280"/>
    <w:lvl w:ilvl="0" w:tplc="E90067A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01"/>
    <w:rsid w:val="0007179A"/>
    <w:rsid w:val="00127614"/>
    <w:rsid w:val="00156EFB"/>
    <w:rsid w:val="001A4C64"/>
    <w:rsid w:val="001A6EBB"/>
    <w:rsid w:val="001E0ACD"/>
    <w:rsid w:val="00202C22"/>
    <w:rsid w:val="00253E60"/>
    <w:rsid w:val="002B0D5D"/>
    <w:rsid w:val="002F139C"/>
    <w:rsid w:val="00322C0D"/>
    <w:rsid w:val="00386680"/>
    <w:rsid w:val="004B4F52"/>
    <w:rsid w:val="00501D40"/>
    <w:rsid w:val="00531E8A"/>
    <w:rsid w:val="00562F0B"/>
    <w:rsid w:val="005B639E"/>
    <w:rsid w:val="00613830"/>
    <w:rsid w:val="006E70F7"/>
    <w:rsid w:val="00715CE8"/>
    <w:rsid w:val="007937E3"/>
    <w:rsid w:val="00796901"/>
    <w:rsid w:val="008135A4"/>
    <w:rsid w:val="008D2981"/>
    <w:rsid w:val="0097585F"/>
    <w:rsid w:val="00993685"/>
    <w:rsid w:val="00A368D5"/>
    <w:rsid w:val="00AF2A24"/>
    <w:rsid w:val="00BC692C"/>
    <w:rsid w:val="00E43A87"/>
    <w:rsid w:val="00E47C94"/>
    <w:rsid w:val="00ED4C4D"/>
    <w:rsid w:val="00F56AD6"/>
    <w:rsid w:val="00F6208F"/>
    <w:rsid w:val="00F753EB"/>
    <w:rsid w:val="00FC0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DE5F"/>
  <w15:chartTrackingRefBased/>
  <w15:docId w15:val="{90E951B1-1848-46B8-8E16-BBC97A34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39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5B639E"/>
    <w:rPr>
      <w:rFonts w:ascii="Tahoma" w:hAnsi="Tahoma"/>
      <w:sz w:val="24"/>
    </w:rPr>
  </w:style>
  <w:style w:type="character" w:customStyle="1" w:styleId="TekstpodstawowyZnak">
    <w:name w:val="Tekst podstawowy Znak"/>
    <w:basedOn w:val="Domylnaczcionkaakapitu"/>
    <w:link w:val="Tekstpodstawowy"/>
    <w:rsid w:val="005B639E"/>
    <w:rPr>
      <w:rFonts w:ascii="Tahoma" w:eastAsia="Times New Roman" w:hAnsi="Tahoma" w:cs="Times New Roman"/>
      <w:sz w:val="24"/>
      <w:szCs w:val="20"/>
      <w:lang w:eastAsia="ar-SA"/>
    </w:rPr>
  </w:style>
  <w:style w:type="paragraph" w:styleId="Akapitzlist">
    <w:name w:val="List Paragraph"/>
    <w:basedOn w:val="Normalny"/>
    <w:uiPriority w:val="34"/>
    <w:qFormat/>
    <w:rsid w:val="005B639E"/>
    <w:pPr>
      <w:ind w:left="720"/>
      <w:contextualSpacing/>
    </w:pPr>
  </w:style>
  <w:style w:type="paragraph" w:customStyle="1" w:styleId="Tekstpodstawowy21">
    <w:name w:val="Tekst podstawowy 21"/>
    <w:basedOn w:val="Normalny"/>
    <w:uiPriority w:val="99"/>
    <w:rsid w:val="005B639E"/>
    <w:pPr>
      <w:spacing w:line="340" w:lineRule="atLeast"/>
      <w:jc w:val="center"/>
    </w:pPr>
    <w:rPr>
      <w:b/>
      <w:sz w:val="24"/>
    </w:rPr>
  </w:style>
  <w:style w:type="paragraph" w:customStyle="1" w:styleId="WW-Zawartotabeli111">
    <w:name w:val="WW-Zawarto?? tabeli111"/>
    <w:basedOn w:val="Tekstpodstawowy"/>
    <w:rsid w:val="005B639E"/>
    <w:pPr>
      <w:widowControl w:val="0"/>
      <w:suppressLineNumbers/>
      <w:overflowPunct w:val="0"/>
      <w:autoSpaceDE w:val="0"/>
      <w:autoSpaceDN w:val="0"/>
      <w:adjustRightInd w:val="0"/>
      <w:spacing w:after="120"/>
    </w:pPr>
    <w:rPr>
      <w:rFonts w:ascii="Times New Roman" w:hAnsi="Times New Roman"/>
      <w:lang w:eastAsia="pl-PL"/>
    </w:rPr>
  </w:style>
  <w:style w:type="paragraph" w:customStyle="1" w:styleId="Akapitzlist1">
    <w:name w:val="Akapit z listą1"/>
    <w:basedOn w:val="Normalny"/>
    <w:rsid w:val="005B639E"/>
    <w:pPr>
      <w:suppressAutoHyphens w:val="0"/>
      <w:ind w:left="720"/>
    </w:pPr>
    <w:rPr>
      <w:kern w:val="2"/>
      <w:lang w:eastAsia="pl-PL"/>
    </w:rPr>
  </w:style>
  <w:style w:type="character" w:customStyle="1" w:styleId="b">
    <w:name w:val="b"/>
    <w:basedOn w:val="Domylnaczcionkaakapitu"/>
    <w:rsid w:val="005B639E"/>
  </w:style>
  <w:style w:type="paragraph" w:customStyle="1" w:styleId="Textbody">
    <w:name w:val="Text body"/>
    <w:basedOn w:val="Normalny"/>
    <w:rsid w:val="008D2981"/>
    <w:pPr>
      <w:suppressAutoHyphens w:val="0"/>
      <w:autoSpaceDN w:val="0"/>
      <w:spacing w:after="140" w:line="288" w:lineRule="auto"/>
    </w:pPr>
    <w:rPr>
      <w:lang w:eastAsia="pl-PL"/>
    </w:rPr>
  </w:style>
  <w:style w:type="character" w:customStyle="1" w:styleId="alb">
    <w:name w:val="a_lb"/>
    <w:basedOn w:val="Domylnaczcionkaakapitu"/>
    <w:rsid w:val="008D2981"/>
  </w:style>
  <w:style w:type="paragraph" w:styleId="Tekstdymka">
    <w:name w:val="Balloon Text"/>
    <w:basedOn w:val="Normalny"/>
    <w:link w:val="TekstdymkaZnak"/>
    <w:uiPriority w:val="99"/>
    <w:semiHidden/>
    <w:unhideWhenUsed/>
    <w:rsid w:val="00BC69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92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1722</TotalTime>
  <Pages>1</Pages>
  <Words>2535</Words>
  <Characters>15214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i.wieckowska</dc:creator>
  <cp:keywords/>
  <dc:description/>
  <cp:lastModifiedBy>i.wieckowska</cp:lastModifiedBy>
  <cp:revision>19</cp:revision>
  <cp:lastPrinted>2024-08-06T13:26:00Z</cp:lastPrinted>
  <dcterms:created xsi:type="dcterms:W3CDTF">2024-06-17T11:32:00Z</dcterms:created>
  <dcterms:modified xsi:type="dcterms:W3CDTF">2024-08-08T08:26:00Z</dcterms:modified>
</cp:coreProperties>
</file>