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58" w:rsidRDefault="00E5304D" w:rsidP="00717A58">
      <w:pPr>
        <w:jc w:val="center"/>
      </w:pPr>
      <w:r>
        <w:rPr>
          <w:rFonts w:eastAsia="Times New Roman"/>
          <w:b/>
        </w:rPr>
        <w:t xml:space="preserve"> </w:t>
      </w:r>
      <w:r w:rsidR="00717A58">
        <w:rPr>
          <w:rFonts w:eastAsia="Times New Roman"/>
          <w:b/>
        </w:rPr>
        <w:t xml:space="preserve">ZARZĄDZENIE  </w:t>
      </w:r>
      <w:r w:rsidR="00717A58">
        <w:rPr>
          <w:rFonts w:eastAsia="Times New Roman"/>
          <w:b/>
          <w:bCs/>
        </w:rPr>
        <w:t xml:space="preserve">NR </w:t>
      </w:r>
      <w:r w:rsidR="00A05B79">
        <w:rPr>
          <w:rFonts w:eastAsia="Times New Roman"/>
          <w:b/>
          <w:bCs/>
        </w:rPr>
        <w:t>161</w:t>
      </w:r>
    </w:p>
    <w:p w:rsidR="00717A58" w:rsidRDefault="00717A58" w:rsidP="00717A58">
      <w:pPr>
        <w:jc w:val="center"/>
        <w:rPr>
          <w:rFonts w:eastAsia="Times New Roman"/>
          <w:b/>
        </w:rPr>
      </w:pPr>
      <w:r>
        <w:rPr>
          <w:rFonts w:eastAsia="Times New Roman"/>
          <w:b/>
        </w:rPr>
        <w:t>PREZYDENTA MIASTA TORUNIA</w:t>
      </w:r>
    </w:p>
    <w:p w:rsidR="00717A58" w:rsidRDefault="00717A58" w:rsidP="00717A58">
      <w:pPr>
        <w:pStyle w:val="Tekstpodstawowy"/>
        <w:spacing w:after="0"/>
        <w:jc w:val="center"/>
        <w:rPr>
          <w:rFonts w:eastAsia="Times New Roman"/>
          <w:b/>
        </w:rPr>
      </w:pPr>
      <w:r>
        <w:rPr>
          <w:rFonts w:eastAsia="Times New Roman"/>
        </w:rPr>
        <w:t xml:space="preserve">z dnia </w:t>
      </w:r>
      <w:r w:rsidR="00A05B79">
        <w:rPr>
          <w:rFonts w:eastAsia="Times New Roman"/>
        </w:rPr>
        <w:t>4 lipca 2024r.</w:t>
      </w:r>
    </w:p>
    <w:p w:rsidR="00717A58" w:rsidRDefault="00717A58" w:rsidP="00717A58">
      <w:pPr>
        <w:pStyle w:val="Tekstpodstawowy"/>
        <w:widowControl/>
        <w:spacing w:after="0"/>
        <w:jc w:val="both"/>
        <w:rPr>
          <w:rFonts w:eastAsia="Times New Roman"/>
          <w:b/>
        </w:rPr>
      </w:pPr>
    </w:p>
    <w:p w:rsidR="00717A58" w:rsidRDefault="00717A58" w:rsidP="00717A58">
      <w:pPr>
        <w:pStyle w:val="Tekstpodstawowy"/>
        <w:widowControl/>
        <w:spacing w:after="0"/>
        <w:jc w:val="both"/>
        <w:rPr>
          <w:rFonts w:eastAsia="Times New Roman"/>
          <w:b/>
        </w:rPr>
      </w:pPr>
      <w:r>
        <w:rPr>
          <w:rFonts w:eastAsia="Times New Roman"/>
          <w:b/>
        </w:rPr>
        <w:t xml:space="preserve">w sprawie ustalenia Regulaminu </w:t>
      </w:r>
      <w:r w:rsidR="00011F9E">
        <w:rPr>
          <w:rFonts w:eastAsia="Times New Roman"/>
          <w:b/>
        </w:rPr>
        <w:t>pierwszego</w:t>
      </w:r>
      <w:r>
        <w:rPr>
          <w:rFonts w:eastAsia="Times New Roman"/>
          <w:b/>
        </w:rPr>
        <w:t xml:space="preserve"> ustn</w:t>
      </w:r>
      <w:r w:rsidR="00E5304D">
        <w:rPr>
          <w:rFonts w:eastAsia="Times New Roman"/>
          <w:b/>
        </w:rPr>
        <w:t>ego</w:t>
      </w:r>
      <w:r>
        <w:rPr>
          <w:rFonts w:eastAsia="Times New Roman"/>
          <w:b/>
        </w:rPr>
        <w:t xml:space="preserve"> przetarg</w:t>
      </w:r>
      <w:r w:rsidR="00E5304D">
        <w:rPr>
          <w:rFonts w:eastAsia="Times New Roman"/>
          <w:b/>
        </w:rPr>
        <w:t>u</w:t>
      </w:r>
      <w:r>
        <w:rPr>
          <w:rFonts w:eastAsia="Times New Roman"/>
          <w:b/>
        </w:rPr>
        <w:t xml:space="preserve"> nieograniczon</w:t>
      </w:r>
      <w:r w:rsidR="00E5304D">
        <w:rPr>
          <w:rFonts w:eastAsia="Times New Roman"/>
          <w:b/>
        </w:rPr>
        <w:t>ego</w:t>
      </w:r>
      <w:r>
        <w:rPr>
          <w:rFonts w:eastAsia="Times New Roman"/>
          <w:b/>
        </w:rPr>
        <w:br/>
        <w:t>na sprzedaż nieruchomości gruntow</w:t>
      </w:r>
      <w:r w:rsidR="00585E92">
        <w:rPr>
          <w:rFonts w:eastAsia="Times New Roman"/>
          <w:b/>
        </w:rPr>
        <w:t>ej</w:t>
      </w:r>
      <w:r>
        <w:rPr>
          <w:rFonts w:eastAsia="Times New Roman"/>
          <w:b/>
        </w:rPr>
        <w:t>, niezabudowan</w:t>
      </w:r>
      <w:r w:rsidR="00585E92">
        <w:rPr>
          <w:rFonts w:eastAsia="Times New Roman"/>
          <w:b/>
        </w:rPr>
        <w:t>ej</w:t>
      </w:r>
      <w:r>
        <w:rPr>
          <w:rFonts w:eastAsia="Times New Roman"/>
          <w:b/>
        </w:rPr>
        <w:t xml:space="preserve"> położon</w:t>
      </w:r>
      <w:r w:rsidR="00585E92">
        <w:rPr>
          <w:rFonts w:eastAsia="Times New Roman"/>
          <w:b/>
        </w:rPr>
        <w:t>ej</w:t>
      </w:r>
      <w:r>
        <w:rPr>
          <w:rFonts w:eastAsia="Times New Roman"/>
          <w:b/>
        </w:rPr>
        <w:t xml:space="preserve"> w Toruniu</w:t>
      </w:r>
      <w:r w:rsidR="00585E92">
        <w:rPr>
          <w:rFonts w:eastAsia="Times New Roman"/>
          <w:b/>
        </w:rPr>
        <w:br/>
      </w:r>
      <w:r>
        <w:rPr>
          <w:rFonts w:eastAsia="Times New Roman"/>
          <w:b/>
        </w:rPr>
        <w:t xml:space="preserve">przy ul. </w:t>
      </w:r>
      <w:r w:rsidR="00282660">
        <w:rPr>
          <w:rFonts w:eastAsia="Times New Roman"/>
          <w:b/>
        </w:rPr>
        <w:t xml:space="preserve">Projektowanej CLXXXIX </w:t>
      </w:r>
      <w:r w:rsidR="00011F9E">
        <w:rPr>
          <w:rFonts w:eastAsia="Times New Roman"/>
          <w:b/>
        </w:rPr>
        <w:t>9-11</w:t>
      </w:r>
      <w:r>
        <w:rPr>
          <w:rFonts w:eastAsia="Times New Roman"/>
          <w:b/>
        </w:rPr>
        <w:t>, stanowiąc</w:t>
      </w:r>
      <w:r w:rsidR="00585E92">
        <w:rPr>
          <w:rFonts w:eastAsia="Times New Roman"/>
          <w:b/>
        </w:rPr>
        <w:t>ej</w:t>
      </w:r>
      <w:r>
        <w:rPr>
          <w:rFonts w:eastAsia="Times New Roman"/>
          <w:b/>
        </w:rPr>
        <w:t xml:space="preserve"> własność Gminy Miasta Toruń oraz powołania Komisji do przeprowadzenia przetarg</w:t>
      </w:r>
      <w:r w:rsidR="00E5304D">
        <w:rPr>
          <w:rFonts w:eastAsia="Times New Roman"/>
          <w:b/>
        </w:rPr>
        <w:t>u</w:t>
      </w:r>
      <w:r>
        <w:rPr>
          <w:rFonts w:eastAsia="Times New Roman"/>
          <w:b/>
        </w:rPr>
        <w:t>.</w:t>
      </w:r>
    </w:p>
    <w:p w:rsidR="00717A58" w:rsidRDefault="00717A58" w:rsidP="00717A58">
      <w:pPr>
        <w:spacing w:line="360" w:lineRule="auto"/>
        <w:jc w:val="both"/>
        <w:rPr>
          <w:rFonts w:eastAsia="Times New Roman"/>
        </w:rPr>
      </w:pPr>
    </w:p>
    <w:p w:rsidR="00717A58" w:rsidRPr="00585E92" w:rsidRDefault="00717A58" w:rsidP="00585E92">
      <w:pPr>
        <w:pStyle w:val="Tekstpodstawowy"/>
        <w:jc w:val="both"/>
      </w:pPr>
      <w:r>
        <w:rPr>
          <w:rFonts w:eastAsia="HG Mincho Light J"/>
          <w:color w:val="000000"/>
        </w:rPr>
        <w:tab/>
      </w:r>
      <w:r w:rsidRPr="00585E92">
        <w:t>Na podstawie art. 30 ust. 1 ustawy z dnia 8 marca 1990 r. o samorządzie gminnym  (Dz. U. z 202</w:t>
      </w:r>
      <w:r w:rsidR="00011F9E">
        <w:t>4</w:t>
      </w:r>
      <w:r w:rsidRPr="00585E92">
        <w:t xml:space="preserve"> r., poz. </w:t>
      </w:r>
      <w:r w:rsidR="00011F9E">
        <w:t>609</w:t>
      </w:r>
      <w:r w:rsidRPr="00585E92">
        <w:t xml:space="preserve"> z </w:t>
      </w:r>
      <w:proofErr w:type="spellStart"/>
      <w:r w:rsidRPr="00585E92">
        <w:t>późn</w:t>
      </w:r>
      <w:proofErr w:type="spellEnd"/>
      <w:r w:rsidRPr="00585E92">
        <w:t>. zm.</w:t>
      </w:r>
      <w:r w:rsidRPr="00585E92">
        <w:rPr>
          <w:vertAlign w:val="superscript"/>
        </w:rPr>
        <w:t>1)</w:t>
      </w:r>
      <w:r w:rsidRPr="00585E92">
        <w:t>)</w:t>
      </w:r>
      <w:r w:rsidR="00312DF9">
        <w:t xml:space="preserve"> oraz</w:t>
      </w:r>
      <w:r w:rsidRPr="00585E92">
        <w:rPr>
          <w:rFonts w:eastAsia="HG Mincho Light J"/>
          <w:color w:val="000000"/>
        </w:rPr>
        <w:t xml:space="preserve"> uchwały nr </w:t>
      </w:r>
      <w:r w:rsidR="00282660" w:rsidRPr="00585E92">
        <w:rPr>
          <w:rFonts w:eastAsia="HG Mincho Light J"/>
          <w:color w:val="000000"/>
        </w:rPr>
        <w:t>1110</w:t>
      </w:r>
      <w:r w:rsidRPr="00585E92">
        <w:rPr>
          <w:rFonts w:eastAsia="HG Mincho Light J"/>
          <w:color w:val="000000"/>
        </w:rPr>
        <w:t>/</w:t>
      </w:r>
      <w:r w:rsidR="00312DF9">
        <w:rPr>
          <w:rFonts w:eastAsia="HG Mincho Light J"/>
          <w:color w:val="000000"/>
        </w:rPr>
        <w:t>2023</w:t>
      </w:r>
      <w:r w:rsidRPr="00585E92">
        <w:rPr>
          <w:rFonts w:eastAsia="HG Mincho Light J"/>
          <w:color w:val="000000"/>
        </w:rPr>
        <w:t xml:space="preserve"> z </w:t>
      </w:r>
      <w:r w:rsidR="00282660" w:rsidRPr="00585E92">
        <w:rPr>
          <w:rFonts w:eastAsia="HG Mincho Light J"/>
          <w:color w:val="000000"/>
        </w:rPr>
        <w:t>6 lipca 2023r.</w:t>
      </w:r>
      <w:r w:rsidRPr="00585E92">
        <w:rPr>
          <w:rFonts w:eastAsia="HG Mincho Light J"/>
          <w:color w:val="000000"/>
        </w:rPr>
        <w:t xml:space="preserve"> </w:t>
      </w:r>
      <w:r w:rsidR="00585E92" w:rsidRPr="00585E92">
        <w:t>w sprawie sprzedaży nieruchomości gruntowej niezabudowanej stanowiącej własność Gminy Miasta Toruń położonej w Toruniu przy ul. Projektowanej CLXXXIX 1- 19</w:t>
      </w:r>
      <w:r w:rsidRPr="00585E92">
        <w:rPr>
          <w:rFonts w:eastAsia="HG Mincho Light J"/>
          <w:color w:val="000000"/>
        </w:rPr>
        <w:t>, zarządza się, co następuje:</w:t>
      </w:r>
    </w:p>
    <w:p w:rsidR="00717A58" w:rsidRDefault="00717A58" w:rsidP="00717A58">
      <w:pPr>
        <w:spacing w:line="360" w:lineRule="auto"/>
        <w:jc w:val="both"/>
        <w:rPr>
          <w:rFonts w:eastAsia="Times New Roman"/>
          <w:b/>
          <w:sz w:val="22"/>
          <w:szCs w:val="22"/>
        </w:rPr>
      </w:pPr>
    </w:p>
    <w:p w:rsidR="00717A58" w:rsidRPr="004F6E05" w:rsidRDefault="00717A58" w:rsidP="001A701C">
      <w:pPr>
        <w:pStyle w:val="Tekstpodstawowy"/>
        <w:autoSpaceDN/>
        <w:spacing w:after="0"/>
        <w:ind w:firstLine="708"/>
        <w:jc w:val="both"/>
        <w:rPr>
          <w:rFonts w:eastAsia="Times New Roman"/>
        </w:rPr>
      </w:pPr>
      <w:r w:rsidRPr="00585E92">
        <w:rPr>
          <w:rFonts w:eastAsia="Times New Roman"/>
          <w:b/>
        </w:rPr>
        <w:t>§1.</w:t>
      </w:r>
      <w:r w:rsidRPr="00585E92">
        <w:rPr>
          <w:rFonts w:eastAsia="Times New Roman"/>
        </w:rPr>
        <w:t xml:space="preserve"> Powołać Komisję do przeprowadzenia </w:t>
      </w:r>
      <w:r w:rsidR="00011F9E">
        <w:rPr>
          <w:rFonts w:eastAsia="Times New Roman"/>
        </w:rPr>
        <w:t>pierwszego</w:t>
      </w:r>
      <w:r w:rsidRPr="00585E92">
        <w:rPr>
          <w:rFonts w:eastAsia="Times New Roman"/>
        </w:rPr>
        <w:t xml:space="preserve"> ustn</w:t>
      </w:r>
      <w:r w:rsidR="00E5304D">
        <w:rPr>
          <w:rFonts w:eastAsia="Times New Roman"/>
        </w:rPr>
        <w:t>ego</w:t>
      </w:r>
      <w:r w:rsidRPr="00585E92">
        <w:rPr>
          <w:rFonts w:eastAsia="Times New Roman"/>
        </w:rPr>
        <w:t xml:space="preserve"> przetarg</w:t>
      </w:r>
      <w:r w:rsidR="00E5304D">
        <w:rPr>
          <w:rFonts w:eastAsia="Times New Roman"/>
        </w:rPr>
        <w:t>u</w:t>
      </w:r>
      <w:r w:rsidRPr="00585E92">
        <w:rPr>
          <w:rFonts w:eastAsia="Times New Roman"/>
        </w:rPr>
        <w:t xml:space="preserve"> nieograniczon</w:t>
      </w:r>
      <w:r w:rsidR="00E5304D">
        <w:rPr>
          <w:rFonts w:eastAsia="Times New Roman"/>
        </w:rPr>
        <w:t>ego</w:t>
      </w:r>
      <w:r w:rsidRPr="00585E92">
        <w:rPr>
          <w:rFonts w:eastAsia="Times New Roman"/>
        </w:rPr>
        <w:t xml:space="preserve"> na sprzedaż nieruchomości gruntow</w:t>
      </w:r>
      <w:r w:rsidR="000346CC">
        <w:rPr>
          <w:rFonts w:eastAsia="Times New Roman"/>
        </w:rPr>
        <w:t>ej</w:t>
      </w:r>
      <w:r w:rsidRPr="00585E92">
        <w:rPr>
          <w:rFonts w:eastAsia="Times New Roman"/>
        </w:rPr>
        <w:t>, niezabudowa</w:t>
      </w:r>
      <w:r w:rsidR="00585E92" w:rsidRPr="00585E92">
        <w:rPr>
          <w:rFonts w:eastAsia="Times New Roman"/>
        </w:rPr>
        <w:t>n</w:t>
      </w:r>
      <w:r w:rsidR="000346CC">
        <w:rPr>
          <w:rFonts w:eastAsia="Times New Roman"/>
        </w:rPr>
        <w:t>ej</w:t>
      </w:r>
      <w:r w:rsidR="00585E92" w:rsidRPr="00585E92">
        <w:rPr>
          <w:rFonts w:eastAsia="Times New Roman"/>
        </w:rPr>
        <w:t>, stanowiąc</w:t>
      </w:r>
      <w:r w:rsidR="000346CC">
        <w:rPr>
          <w:rFonts w:eastAsia="Times New Roman"/>
        </w:rPr>
        <w:t>ej</w:t>
      </w:r>
      <w:r w:rsidR="00585E92" w:rsidRPr="00585E92">
        <w:rPr>
          <w:rFonts w:eastAsia="Times New Roman"/>
        </w:rPr>
        <w:t xml:space="preserve"> własność </w:t>
      </w:r>
      <w:r w:rsidR="000346CC">
        <w:rPr>
          <w:rFonts w:eastAsia="Times New Roman"/>
        </w:rPr>
        <w:t>G</w:t>
      </w:r>
      <w:r w:rsidR="00585E92" w:rsidRPr="00585E92">
        <w:rPr>
          <w:rFonts w:eastAsia="Times New Roman"/>
        </w:rPr>
        <w:t>miny Miasta Toruń, położon</w:t>
      </w:r>
      <w:r w:rsidR="000346CC">
        <w:rPr>
          <w:rFonts w:eastAsia="Times New Roman"/>
        </w:rPr>
        <w:t>ej</w:t>
      </w:r>
      <w:r w:rsidR="00E5304D">
        <w:rPr>
          <w:rFonts w:eastAsia="Times New Roman"/>
        </w:rPr>
        <w:t xml:space="preserve"> w Toruniu przy </w:t>
      </w:r>
      <w:r w:rsidR="00011F9E">
        <w:rPr>
          <w:b/>
        </w:rPr>
        <w:t>ul. Projektowanej CLXXXIX 9</w:t>
      </w:r>
      <w:r w:rsidR="00585E92" w:rsidRPr="00585E92">
        <w:rPr>
          <w:b/>
        </w:rPr>
        <w:t>-11</w:t>
      </w:r>
      <w:r w:rsidR="00E5304D">
        <w:rPr>
          <w:b/>
        </w:rPr>
        <w:t xml:space="preserve">, </w:t>
      </w:r>
      <w:r w:rsidR="004F6E05" w:rsidRPr="004F6E05">
        <w:t>s</w:t>
      </w:r>
      <w:r w:rsidR="004F6E05">
        <w:t xml:space="preserve">tanowiącej działki geodezyjne </w:t>
      </w:r>
      <w:r w:rsidR="00585E92" w:rsidRPr="00585E92">
        <w:t>n</w:t>
      </w:r>
      <w:r w:rsidR="004F6E05">
        <w:t>ume</w:t>
      </w:r>
      <w:r w:rsidR="00585E92" w:rsidRPr="00585E92">
        <w:t>r  132/65</w:t>
      </w:r>
      <w:r w:rsidR="00011F9E">
        <w:t xml:space="preserve"> i</w:t>
      </w:r>
      <w:r w:rsidR="00585E92" w:rsidRPr="00585E92">
        <w:t xml:space="preserve"> 132/64</w:t>
      </w:r>
      <w:r w:rsidR="000E737F">
        <w:t xml:space="preserve"> </w:t>
      </w:r>
      <w:r w:rsidR="00585E92" w:rsidRPr="00585E92">
        <w:t xml:space="preserve">z obrębu nr 54 o łącznej powierzchni </w:t>
      </w:r>
      <w:r w:rsidR="0089046D">
        <w:t>1,0033 ha</w:t>
      </w:r>
      <w:r w:rsidR="00585E92" w:rsidRPr="00585E92">
        <w:t>, zapisan</w:t>
      </w:r>
      <w:r w:rsidR="004F6E05">
        <w:t>ej</w:t>
      </w:r>
      <w:r w:rsidR="00585E92" w:rsidRPr="00585E92">
        <w:t xml:space="preserve"> w księdze wieczystej</w:t>
      </w:r>
      <w:r w:rsidR="000E737F">
        <w:t xml:space="preserve"> </w:t>
      </w:r>
      <w:r w:rsidR="00585E92" w:rsidRPr="00585E92">
        <w:t>KW Nr TO1T/00046188/5</w:t>
      </w:r>
      <w:r w:rsidR="00AE0E71">
        <w:t xml:space="preserve"> </w:t>
      </w:r>
      <w:r w:rsidRPr="00585E92">
        <w:rPr>
          <w:rFonts w:eastAsia="Times New Roman"/>
        </w:rPr>
        <w:t>w następującym składzie:</w:t>
      </w:r>
    </w:p>
    <w:p w:rsidR="00717A58" w:rsidRPr="00585E92" w:rsidRDefault="00717A58" w:rsidP="00585E92">
      <w:pPr>
        <w:tabs>
          <w:tab w:val="left" w:pos="283"/>
        </w:tabs>
        <w:jc w:val="both"/>
        <w:rPr>
          <w:rFonts w:eastAsia="Times New Roman"/>
        </w:rPr>
      </w:pPr>
    </w:p>
    <w:p w:rsidR="00717A58" w:rsidRPr="00585E92" w:rsidRDefault="00717A58" w:rsidP="00585E92">
      <w:pPr>
        <w:pStyle w:val="Tekstpodstawowy21"/>
        <w:ind w:left="141"/>
        <w:rPr>
          <w:rFonts w:eastAsia="Times New Roman"/>
        </w:rPr>
      </w:pPr>
      <w:r w:rsidRPr="00585E92">
        <w:rPr>
          <w:rFonts w:eastAsia="Times New Roman"/>
        </w:rPr>
        <w:t xml:space="preserve">    1)   Przewodniczący Komisji  - Iwona Więckowska;</w:t>
      </w:r>
    </w:p>
    <w:p w:rsidR="00717A58" w:rsidRPr="00585E92" w:rsidRDefault="00717A58" w:rsidP="00585E92">
      <w:pPr>
        <w:pStyle w:val="Tekstpodstawowy21"/>
        <w:numPr>
          <w:ilvl w:val="0"/>
          <w:numId w:val="1"/>
        </w:numPr>
        <w:tabs>
          <w:tab w:val="left" w:pos="720"/>
        </w:tabs>
        <w:rPr>
          <w:rFonts w:eastAsia="Times New Roman"/>
        </w:rPr>
      </w:pPr>
      <w:r w:rsidRPr="00585E92">
        <w:rPr>
          <w:rFonts w:eastAsia="Times New Roman"/>
        </w:rPr>
        <w:t xml:space="preserve">Członek                              - Małgorzata Stępińska; </w:t>
      </w:r>
    </w:p>
    <w:p w:rsidR="00717A58" w:rsidRPr="00585E92" w:rsidRDefault="00717A58" w:rsidP="00585E92">
      <w:pPr>
        <w:pStyle w:val="Tekstpodstawowy21"/>
        <w:numPr>
          <w:ilvl w:val="0"/>
          <w:numId w:val="1"/>
        </w:numPr>
        <w:tabs>
          <w:tab w:val="left" w:pos="720"/>
        </w:tabs>
        <w:rPr>
          <w:rFonts w:eastAsia="Times New Roman"/>
        </w:rPr>
      </w:pPr>
      <w:r w:rsidRPr="00585E92">
        <w:rPr>
          <w:rFonts w:eastAsia="Times New Roman"/>
        </w:rPr>
        <w:t>Członek</w:t>
      </w:r>
      <w:r w:rsidRPr="00585E92">
        <w:rPr>
          <w:rFonts w:eastAsia="Times New Roman"/>
        </w:rPr>
        <w:tab/>
      </w:r>
      <w:r w:rsidRPr="00585E92">
        <w:rPr>
          <w:rFonts w:eastAsia="Times New Roman"/>
        </w:rPr>
        <w:tab/>
        <w:t xml:space="preserve">        - Robert Dąbrowski;</w:t>
      </w:r>
    </w:p>
    <w:p w:rsidR="00717A58" w:rsidRPr="00585E92" w:rsidRDefault="00717A58" w:rsidP="00585E92">
      <w:pPr>
        <w:pStyle w:val="Tekstpodstawowy21"/>
        <w:numPr>
          <w:ilvl w:val="0"/>
          <w:numId w:val="1"/>
        </w:numPr>
        <w:tabs>
          <w:tab w:val="left" w:pos="720"/>
        </w:tabs>
        <w:rPr>
          <w:rFonts w:eastAsia="Times New Roman"/>
        </w:rPr>
      </w:pPr>
      <w:r w:rsidRPr="00585E92">
        <w:rPr>
          <w:rFonts w:eastAsia="Times New Roman"/>
        </w:rPr>
        <w:t>Członek                              - Katarzyna Kierys.</w:t>
      </w:r>
    </w:p>
    <w:p w:rsidR="00717A58" w:rsidRPr="00585E92" w:rsidRDefault="00717A58" w:rsidP="00585E92">
      <w:pPr>
        <w:ind w:firstLine="340"/>
        <w:jc w:val="both"/>
        <w:rPr>
          <w:rFonts w:eastAsia="Times New Roman"/>
          <w:b/>
        </w:rPr>
      </w:pPr>
    </w:p>
    <w:p w:rsidR="00717A58" w:rsidRPr="00585E92" w:rsidRDefault="00717A58" w:rsidP="001A701C">
      <w:pPr>
        <w:ind w:firstLine="708"/>
        <w:jc w:val="both"/>
      </w:pPr>
      <w:r w:rsidRPr="00585E92">
        <w:rPr>
          <w:rFonts w:eastAsia="Times New Roman"/>
          <w:b/>
        </w:rPr>
        <w:t xml:space="preserve">§2. </w:t>
      </w:r>
      <w:r w:rsidRPr="00585E92">
        <w:rPr>
          <w:rFonts w:eastAsia="Times New Roman"/>
        </w:rPr>
        <w:t>Komisja przeprowadzi przetarg zgodnie z Regulaminem, stanowiącym załącznik do niniejszego Zarządzenia.</w:t>
      </w:r>
    </w:p>
    <w:p w:rsidR="00717A58" w:rsidRPr="00585E92" w:rsidRDefault="00717A58" w:rsidP="00585E92">
      <w:pPr>
        <w:jc w:val="both"/>
        <w:rPr>
          <w:rFonts w:eastAsia="Times New Roman"/>
        </w:rPr>
      </w:pPr>
    </w:p>
    <w:p w:rsidR="00717A58" w:rsidRPr="00585E92" w:rsidRDefault="00717A58" w:rsidP="001A701C">
      <w:pPr>
        <w:ind w:firstLine="708"/>
        <w:jc w:val="both"/>
      </w:pPr>
      <w:r w:rsidRPr="00585E92">
        <w:rPr>
          <w:rFonts w:eastAsia="Times New Roman"/>
          <w:b/>
          <w:bCs/>
        </w:rPr>
        <w:t>§3</w:t>
      </w:r>
      <w:r w:rsidRPr="00585E92">
        <w:rPr>
          <w:rFonts w:eastAsia="Times New Roman"/>
          <w:b/>
        </w:rPr>
        <w:t xml:space="preserve">. </w:t>
      </w:r>
      <w:r w:rsidRPr="00585E92">
        <w:rPr>
          <w:rFonts w:eastAsia="Times New Roman"/>
        </w:rPr>
        <w:t>Przetarg odbęd</w:t>
      </w:r>
      <w:r w:rsidR="004F6E05">
        <w:rPr>
          <w:rFonts w:eastAsia="Times New Roman"/>
        </w:rPr>
        <w:t>zie</w:t>
      </w:r>
      <w:r w:rsidRPr="00585E92">
        <w:rPr>
          <w:rFonts w:eastAsia="Times New Roman"/>
        </w:rPr>
        <w:t xml:space="preserve"> się w</w:t>
      </w:r>
      <w:r w:rsidRPr="00585E92">
        <w:rPr>
          <w:rFonts w:eastAsia="Times New Roman"/>
          <w:b/>
        </w:rPr>
        <w:t xml:space="preserve"> </w:t>
      </w:r>
      <w:r w:rsidRPr="00585E92">
        <w:rPr>
          <w:rFonts w:eastAsia="Times New Roman"/>
        </w:rPr>
        <w:t>Wydziale Gospodarki Nieruchomościami Urzędu Miasta Torunia, przy ul. Grudziądzkiej 126 b, w sali konferencyjnej na I</w:t>
      </w:r>
      <w:r w:rsidR="0089046D">
        <w:rPr>
          <w:rFonts w:eastAsia="Times New Roman"/>
        </w:rPr>
        <w:t>I</w:t>
      </w:r>
      <w:r w:rsidRPr="00585E92">
        <w:rPr>
          <w:rFonts w:eastAsia="Times New Roman"/>
        </w:rPr>
        <w:t xml:space="preserve"> piętrze (s. </w:t>
      </w:r>
      <w:r w:rsidR="0089046D">
        <w:rPr>
          <w:rFonts w:eastAsia="Times New Roman"/>
        </w:rPr>
        <w:t>213</w:t>
      </w:r>
      <w:r w:rsidRPr="00585E92">
        <w:rPr>
          <w:rFonts w:eastAsia="Times New Roman"/>
        </w:rPr>
        <w:t>).</w:t>
      </w:r>
    </w:p>
    <w:p w:rsidR="00717A58" w:rsidRPr="00585E92" w:rsidRDefault="00717A58" w:rsidP="00585E92">
      <w:pPr>
        <w:jc w:val="center"/>
        <w:rPr>
          <w:rFonts w:eastAsia="Times New Roman"/>
          <w:b/>
        </w:rPr>
      </w:pPr>
    </w:p>
    <w:p w:rsidR="00717A58" w:rsidRPr="00585E92" w:rsidRDefault="00717A58" w:rsidP="001A701C">
      <w:pPr>
        <w:ind w:firstLine="708"/>
        <w:jc w:val="both"/>
      </w:pPr>
      <w:r w:rsidRPr="00585E92">
        <w:rPr>
          <w:rFonts w:eastAsia="Times New Roman"/>
          <w:b/>
        </w:rPr>
        <w:t xml:space="preserve">§4. </w:t>
      </w:r>
      <w:r w:rsidRPr="00585E92">
        <w:rPr>
          <w:rFonts w:eastAsia="Times New Roman"/>
        </w:rPr>
        <w:t>Wykonanie Zarządzenia powierza się Dyrektorowi Wydziału Gospodarki Nieruchomościami.</w:t>
      </w:r>
    </w:p>
    <w:p w:rsidR="00717A58" w:rsidRPr="00585E92" w:rsidRDefault="00717A58" w:rsidP="00585E92">
      <w:pPr>
        <w:jc w:val="center"/>
        <w:rPr>
          <w:rFonts w:eastAsia="Times New Roman"/>
          <w:b/>
        </w:rPr>
      </w:pPr>
    </w:p>
    <w:p w:rsidR="00717A58" w:rsidRPr="00585E92" w:rsidRDefault="00717A58" w:rsidP="001A701C">
      <w:pPr>
        <w:ind w:firstLine="708"/>
        <w:jc w:val="both"/>
      </w:pPr>
      <w:r w:rsidRPr="00585E92">
        <w:rPr>
          <w:rFonts w:eastAsia="Times New Roman"/>
          <w:b/>
        </w:rPr>
        <w:t xml:space="preserve">§5. </w:t>
      </w:r>
      <w:r w:rsidRPr="00585E92">
        <w:rPr>
          <w:rFonts w:eastAsia="Times New Roman"/>
        </w:rPr>
        <w:t>Zarządzenie wchodzi w życie z dniem podjęcia.</w:t>
      </w:r>
    </w:p>
    <w:p w:rsidR="00717A58" w:rsidRPr="00585E92" w:rsidRDefault="00717A58" w:rsidP="00585E92">
      <w:pPr>
        <w:rPr>
          <w:rFonts w:eastAsia="Times New Roman"/>
        </w:rPr>
      </w:pPr>
    </w:p>
    <w:p w:rsidR="009C63DF" w:rsidRDefault="009C63DF" w:rsidP="00717A58">
      <w:pPr>
        <w:spacing w:line="276" w:lineRule="auto"/>
        <w:rPr>
          <w:rFonts w:eastAsia="Times New Roman"/>
          <w:sz w:val="20"/>
          <w:szCs w:val="20"/>
        </w:rPr>
      </w:pPr>
    </w:p>
    <w:p w:rsidR="004F6E05" w:rsidRDefault="004F6E05" w:rsidP="00717A58">
      <w:pPr>
        <w:spacing w:line="276" w:lineRule="auto"/>
        <w:rPr>
          <w:rFonts w:eastAsia="Times New Roman"/>
        </w:rPr>
      </w:pPr>
    </w:p>
    <w:p w:rsidR="004F6E05" w:rsidRPr="00A05B79" w:rsidRDefault="004F6E05" w:rsidP="00A05B79">
      <w:pPr>
        <w:spacing w:line="276" w:lineRule="auto"/>
        <w:ind w:firstLine="5529"/>
        <w:rPr>
          <w:rFonts w:eastAsia="Times New Roman"/>
          <w:i/>
          <w:sz w:val="22"/>
          <w:szCs w:val="22"/>
        </w:rPr>
      </w:pPr>
    </w:p>
    <w:p w:rsidR="004F6E05" w:rsidRPr="00A05B79" w:rsidRDefault="00A05B79" w:rsidP="00A05B79">
      <w:pPr>
        <w:spacing w:line="276" w:lineRule="auto"/>
        <w:ind w:firstLine="5529"/>
        <w:rPr>
          <w:rFonts w:eastAsia="Times New Roman"/>
          <w:sz w:val="22"/>
          <w:szCs w:val="22"/>
        </w:rPr>
      </w:pPr>
      <w:r w:rsidRPr="00A05B79">
        <w:rPr>
          <w:rFonts w:eastAsia="Times New Roman"/>
          <w:sz w:val="22"/>
          <w:szCs w:val="22"/>
        </w:rPr>
        <w:t>Prezydent Miasta Torunia</w:t>
      </w:r>
    </w:p>
    <w:p w:rsidR="00A05B79" w:rsidRPr="00A05B79" w:rsidRDefault="00A05B79" w:rsidP="00A05B79">
      <w:pPr>
        <w:spacing w:line="276" w:lineRule="auto"/>
        <w:ind w:firstLine="5529"/>
        <w:rPr>
          <w:rFonts w:eastAsia="Times New Roman"/>
          <w:sz w:val="22"/>
          <w:szCs w:val="22"/>
        </w:rPr>
      </w:pPr>
      <w:r w:rsidRPr="00A05B79">
        <w:rPr>
          <w:rFonts w:eastAsia="Times New Roman"/>
          <w:sz w:val="22"/>
          <w:szCs w:val="22"/>
        </w:rPr>
        <w:t xml:space="preserve">    (-) Paweł </w:t>
      </w:r>
      <w:proofErr w:type="spellStart"/>
      <w:r w:rsidRPr="00A05B79">
        <w:rPr>
          <w:rFonts w:eastAsia="Times New Roman"/>
          <w:sz w:val="22"/>
          <w:szCs w:val="22"/>
        </w:rPr>
        <w:t>Gulewski</w:t>
      </w:r>
      <w:proofErr w:type="spellEnd"/>
    </w:p>
    <w:p w:rsidR="001A701C" w:rsidRPr="00A05B79" w:rsidRDefault="001A701C" w:rsidP="00717A58">
      <w:pPr>
        <w:spacing w:line="276" w:lineRule="auto"/>
        <w:rPr>
          <w:rFonts w:eastAsia="Times New Roman"/>
        </w:rPr>
      </w:pPr>
    </w:p>
    <w:p w:rsidR="004F6E05" w:rsidRDefault="004F6E05" w:rsidP="00717A58">
      <w:pPr>
        <w:spacing w:line="276" w:lineRule="auto"/>
        <w:rPr>
          <w:rFonts w:eastAsia="Times New Roman"/>
        </w:rPr>
      </w:pPr>
    </w:p>
    <w:p w:rsidR="000E737F" w:rsidRDefault="000E737F" w:rsidP="00717A58">
      <w:pPr>
        <w:spacing w:line="276" w:lineRule="auto"/>
        <w:rPr>
          <w:rFonts w:eastAsia="Times New Roman"/>
        </w:rPr>
      </w:pPr>
    </w:p>
    <w:p w:rsidR="00717A58" w:rsidRDefault="00717A58" w:rsidP="00717A58">
      <w:pPr>
        <w:spacing w:line="276" w:lineRule="auto"/>
        <w:rPr>
          <w:rFonts w:eastAsia="Times New Roman"/>
        </w:rPr>
      </w:pPr>
      <w:r>
        <w:rPr>
          <w:rFonts w:eastAsia="Times New Roman"/>
        </w:rPr>
        <w:t xml:space="preserve">                          </w:t>
      </w:r>
      <w:r>
        <w:rPr>
          <w:rFonts w:eastAsia="Times New Roman"/>
        </w:rPr>
        <w:tab/>
      </w:r>
    </w:p>
    <w:p w:rsidR="00717A58" w:rsidRDefault="00717A58" w:rsidP="00717A58">
      <w:pPr>
        <w:pStyle w:val="Tekstpodstawowy"/>
      </w:pPr>
      <w:r>
        <w:rPr>
          <w:vertAlign w:val="superscript"/>
        </w:rPr>
        <w:t>-------------------------------------------------------------------------------------------------------------------------------------------------------------------------</w:t>
      </w:r>
    </w:p>
    <w:p w:rsidR="0089046D" w:rsidRDefault="00717A58" w:rsidP="00F40C09">
      <w:pPr>
        <w:pStyle w:val="Akapitzlist"/>
        <w:numPr>
          <w:ilvl w:val="0"/>
          <w:numId w:val="3"/>
        </w:numPr>
        <w:autoSpaceDN w:val="0"/>
        <w:jc w:val="both"/>
        <w:textAlignment w:val="top"/>
      </w:pPr>
      <w:r>
        <w:t xml:space="preserve">Zmiany tekstu jednolitego wymienionej ustawy zostały ogłoszone w </w:t>
      </w:r>
      <w:r>
        <w:rPr>
          <w:color w:val="000000"/>
        </w:rPr>
        <w:t xml:space="preserve">Dz. U. </w:t>
      </w:r>
      <w:r w:rsidR="00585E92">
        <w:t xml:space="preserve"> z  202</w:t>
      </w:r>
      <w:r w:rsidR="0089046D">
        <w:t>4</w:t>
      </w:r>
      <w:r w:rsidR="00585E92">
        <w:t xml:space="preserve"> r. poz. </w:t>
      </w:r>
      <w:r w:rsidR="0089046D">
        <w:t>721</w:t>
      </w:r>
    </w:p>
    <w:p w:rsidR="00717A58" w:rsidRDefault="00717A58" w:rsidP="0089046D">
      <w:pPr>
        <w:pStyle w:val="Akapitzlist"/>
        <w:autoSpaceDN w:val="0"/>
        <w:ind w:left="786"/>
        <w:jc w:val="both"/>
        <w:textAlignment w:val="top"/>
      </w:pPr>
      <w:r w:rsidRPr="00AF669E">
        <w:t xml:space="preserve">                                                </w:t>
      </w:r>
      <w:r>
        <w:t xml:space="preserve">                                                                                                                                                                     </w:t>
      </w:r>
    </w:p>
    <w:p w:rsidR="00717A58" w:rsidRPr="00F774DC" w:rsidRDefault="00717A58" w:rsidP="00717A58">
      <w:pPr>
        <w:pStyle w:val="Akapitzlist1"/>
        <w:ind w:left="5245"/>
        <w:jc w:val="both"/>
        <w:rPr>
          <w:sz w:val="24"/>
          <w:szCs w:val="24"/>
        </w:rPr>
      </w:pPr>
      <w:r w:rsidRPr="00F774DC">
        <w:rPr>
          <w:sz w:val="24"/>
          <w:szCs w:val="24"/>
        </w:rPr>
        <w:lastRenderedPageBreak/>
        <w:t xml:space="preserve">Załącznik do Zarządzenia Nr  </w:t>
      </w:r>
      <w:r w:rsidR="00A05B79">
        <w:rPr>
          <w:sz w:val="24"/>
          <w:szCs w:val="24"/>
        </w:rPr>
        <w:t>161</w:t>
      </w:r>
    </w:p>
    <w:p w:rsidR="00717A58" w:rsidRDefault="00717A58" w:rsidP="00717A58">
      <w:pPr>
        <w:pStyle w:val="Nagwek11"/>
        <w:tabs>
          <w:tab w:val="left" w:pos="0"/>
        </w:tabs>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Prezydenta Miasta Torunia</w:t>
      </w:r>
    </w:p>
    <w:p w:rsidR="00717A58" w:rsidRDefault="00717A58" w:rsidP="00717A58">
      <w:pPr>
        <w:pStyle w:val="Tekstpodstawowy2"/>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z dnia </w:t>
      </w:r>
      <w:r w:rsidR="00A05B79">
        <w:rPr>
          <w:rFonts w:eastAsia="Times New Roman"/>
        </w:rPr>
        <w:t>4 lipca 2024r.</w:t>
      </w:r>
      <w:bookmarkStart w:id="0" w:name="_GoBack"/>
      <w:bookmarkEnd w:id="0"/>
    </w:p>
    <w:p w:rsidR="00717A58" w:rsidRDefault="00717A58" w:rsidP="00717A58">
      <w:pPr>
        <w:pStyle w:val="Tekstpodstawowy2"/>
        <w:spacing w:line="360" w:lineRule="auto"/>
        <w:jc w:val="center"/>
        <w:rPr>
          <w:rFonts w:eastAsia="Times New Roman"/>
          <w:b/>
        </w:rPr>
      </w:pPr>
      <w:r>
        <w:rPr>
          <w:rFonts w:eastAsia="Times New Roman"/>
          <w:b/>
        </w:rPr>
        <w:t>REGULAMIN  I  PRZETARG</w:t>
      </w:r>
      <w:r w:rsidR="005F75E6">
        <w:rPr>
          <w:rFonts w:eastAsia="Times New Roman"/>
          <w:b/>
        </w:rPr>
        <w:t>U</w:t>
      </w:r>
    </w:p>
    <w:p w:rsidR="00717A58" w:rsidRDefault="00717A58" w:rsidP="00717A58">
      <w:pPr>
        <w:ind w:firstLine="567"/>
        <w:jc w:val="both"/>
      </w:pPr>
      <w:r>
        <w:rPr>
          <w:rFonts w:eastAsia="Times New Roman"/>
        </w:rPr>
        <w:t>§1.1. Przetarg organizuje i przeprowadza Prezydent Miasta Torunia na zasadach ogólnych określonych w ustawie z dnia 21 sierpnia 1997 r. o gospodarce nieruchomościami</w:t>
      </w:r>
      <w:r>
        <w:rPr>
          <w:rFonts w:eastAsia="Times New Roman"/>
        </w:rPr>
        <w:br/>
        <w:t xml:space="preserve">oraz w rozporządzeniu Rady Ministrów z dnia 14 września 2004 r. w sprawie sposobu i trybu przeprowadzania przetargów oraz rokowań na zbycie nieruchomości oraz na podstawie </w:t>
      </w:r>
      <w:r w:rsidR="00F40C09" w:rsidRPr="00585E92">
        <w:rPr>
          <w:rFonts w:eastAsia="HG Mincho Light J"/>
          <w:color w:val="000000"/>
        </w:rPr>
        <w:t xml:space="preserve">uchwały nr 1110/1238 z 6 lipca 2023r. </w:t>
      </w:r>
      <w:r w:rsidR="00F40C09" w:rsidRPr="00585E92">
        <w:t>w sprawie sprzedaży nieruchomości gruntowej niezabudowanej stanowiącej własność Gminy Miasta Toruń położonej w Toruniu przy</w:t>
      </w:r>
      <w:r w:rsidR="00F40C09">
        <w:br/>
      </w:r>
      <w:r w:rsidR="00F40C09" w:rsidRPr="00585E92">
        <w:t>ul. Projektowanej CLXXXIX 1- 19</w:t>
      </w:r>
      <w:r>
        <w:rPr>
          <w:rFonts w:eastAsia="HG Mincho Light J"/>
          <w:color w:val="000000"/>
        </w:rPr>
        <w:t xml:space="preserve">, </w:t>
      </w:r>
      <w:r>
        <w:rPr>
          <w:rFonts w:eastAsia="Times New Roman"/>
        </w:rPr>
        <w:t>oraz niniejszego regulaminu.</w:t>
      </w:r>
    </w:p>
    <w:p w:rsidR="00717A58" w:rsidRDefault="00717A58" w:rsidP="00717A58">
      <w:pPr>
        <w:pStyle w:val="Tekstpodstawowy"/>
        <w:tabs>
          <w:tab w:val="left" w:pos="554"/>
        </w:tabs>
        <w:spacing w:after="0"/>
        <w:ind w:firstLine="567"/>
        <w:jc w:val="both"/>
        <w:rPr>
          <w:rFonts w:eastAsia="Times New Roman"/>
        </w:rPr>
      </w:pPr>
      <w:r>
        <w:rPr>
          <w:rFonts w:eastAsia="Times New Roman"/>
        </w:rPr>
        <w:t>2. Czynności związane z przeprowadzeniem przetargu wykonuje Komisja Przetargowa, która podejmuje rozstrzygnięcia większością głosów, w drodze głosowania, w obecności, co najmniej połowy ustalonego składu. W przypadku równej liczby głosów decyduje głos przewodniczącego komisji.</w:t>
      </w:r>
    </w:p>
    <w:p w:rsidR="00717A58" w:rsidRDefault="008832B6" w:rsidP="008832B6">
      <w:pPr>
        <w:pStyle w:val="Tekstpodstawowy"/>
        <w:tabs>
          <w:tab w:val="left" w:pos="424"/>
        </w:tabs>
        <w:spacing w:after="0"/>
        <w:jc w:val="both"/>
      </w:pPr>
      <w:r>
        <w:rPr>
          <w:rFonts w:eastAsia="Times New Roman"/>
        </w:rPr>
        <w:tab/>
        <w:t xml:space="preserve">  </w:t>
      </w:r>
      <w:r w:rsidR="00717A58">
        <w:rPr>
          <w:rFonts w:eastAsia="Times New Roman"/>
        </w:rPr>
        <w:t>§2.1. Komisja przeprowadzi przetarg w dniu</w:t>
      </w:r>
      <w:r w:rsidR="00717A58">
        <w:rPr>
          <w:rFonts w:eastAsia="Times New Roman"/>
          <w:b/>
          <w:bCs/>
        </w:rPr>
        <w:t xml:space="preserve"> </w:t>
      </w:r>
      <w:r w:rsidR="006F3654">
        <w:rPr>
          <w:rFonts w:eastAsia="Times New Roman"/>
          <w:b/>
          <w:bCs/>
        </w:rPr>
        <w:t>2</w:t>
      </w:r>
      <w:r w:rsidR="00082DFE">
        <w:rPr>
          <w:rFonts w:eastAsia="Times New Roman"/>
          <w:b/>
          <w:bCs/>
        </w:rPr>
        <w:t>9</w:t>
      </w:r>
      <w:r w:rsidR="006F3654">
        <w:rPr>
          <w:rFonts w:eastAsia="Times New Roman"/>
          <w:b/>
          <w:bCs/>
        </w:rPr>
        <w:t xml:space="preserve"> </w:t>
      </w:r>
      <w:r w:rsidR="00082DFE">
        <w:rPr>
          <w:rFonts w:eastAsia="Times New Roman"/>
          <w:b/>
          <w:bCs/>
        </w:rPr>
        <w:t xml:space="preserve">października </w:t>
      </w:r>
      <w:r w:rsidR="00717A58">
        <w:rPr>
          <w:rFonts w:eastAsia="Times New Roman"/>
          <w:b/>
          <w:bCs/>
        </w:rPr>
        <w:t>202</w:t>
      </w:r>
      <w:r>
        <w:rPr>
          <w:rFonts w:eastAsia="Times New Roman"/>
          <w:b/>
          <w:bCs/>
        </w:rPr>
        <w:t>4</w:t>
      </w:r>
      <w:r w:rsidR="00717A58">
        <w:rPr>
          <w:rFonts w:eastAsia="Times New Roman"/>
          <w:b/>
          <w:bCs/>
        </w:rPr>
        <w:t>r.,</w:t>
      </w:r>
      <w:r w:rsidR="00717A58">
        <w:rPr>
          <w:rFonts w:eastAsia="Times New Roman"/>
        </w:rPr>
        <w:t xml:space="preserve">  </w:t>
      </w:r>
      <w:r>
        <w:rPr>
          <w:rFonts w:eastAsia="Times New Roman"/>
        </w:rPr>
        <w:t>o</w:t>
      </w:r>
      <w:r w:rsidR="00717A58">
        <w:rPr>
          <w:rFonts w:eastAsia="Times New Roman"/>
        </w:rPr>
        <w:t xml:space="preserve"> godz</w:t>
      </w:r>
      <w:r w:rsidR="00C87CE1">
        <w:rPr>
          <w:rFonts w:eastAsia="Times New Roman"/>
        </w:rPr>
        <w:t>in</w:t>
      </w:r>
      <w:r>
        <w:rPr>
          <w:rFonts w:eastAsia="Times New Roman"/>
        </w:rPr>
        <w:t>ie</w:t>
      </w:r>
      <w:r w:rsidR="00717A58">
        <w:rPr>
          <w:rFonts w:eastAsia="Times New Roman"/>
          <w:b/>
        </w:rPr>
        <w:t xml:space="preserve"> 1</w:t>
      </w:r>
      <w:r w:rsidR="006F3654">
        <w:rPr>
          <w:rFonts w:eastAsia="Times New Roman"/>
          <w:b/>
        </w:rPr>
        <w:t>1</w:t>
      </w:r>
      <w:r w:rsidR="00717A58">
        <w:rPr>
          <w:rFonts w:eastAsia="Times New Roman"/>
          <w:b/>
          <w:bCs/>
          <w:vertAlign w:val="superscript"/>
        </w:rPr>
        <w:t>00</w:t>
      </w:r>
      <w:r w:rsidR="00717A58">
        <w:rPr>
          <w:rFonts w:eastAsia="Times New Roman"/>
        </w:rPr>
        <w:t>.</w:t>
      </w:r>
    </w:p>
    <w:p w:rsidR="00717A58" w:rsidRDefault="008832B6" w:rsidP="00717A58">
      <w:pPr>
        <w:pStyle w:val="Tekstpodstawowy"/>
        <w:tabs>
          <w:tab w:val="left" w:pos="424"/>
        </w:tabs>
        <w:spacing w:after="0"/>
        <w:ind w:firstLine="567"/>
        <w:jc w:val="both"/>
        <w:rPr>
          <w:rFonts w:eastAsia="Times New Roman"/>
        </w:rPr>
      </w:pPr>
      <w:r>
        <w:rPr>
          <w:rFonts w:eastAsia="Times New Roman"/>
        </w:rPr>
        <w:t xml:space="preserve">    </w:t>
      </w:r>
      <w:r w:rsidR="00717A58">
        <w:rPr>
          <w:rFonts w:eastAsia="Times New Roman"/>
        </w:rPr>
        <w:t>2. Przedmiotem przetarg</w:t>
      </w:r>
      <w:r>
        <w:rPr>
          <w:rFonts w:eastAsia="Times New Roman"/>
        </w:rPr>
        <w:t>u</w:t>
      </w:r>
      <w:r w:rsidR="00717A58">
        <w:rPr>
          <w:rFonts w:eastAsia="Times New Roman"/>
        </w:rPr>
        <w:t xml:space="preserve"> </w:t>
      </w:r>
      <w:r>
        <w:rPr>
          <w:rFonts w:eastAsia="Times New Roman"/>
        </w:rPr>
        <w:t>jest</w:t>
      </w:r>
      <w:r w:rsidR="00717A58">
        <w:rPr>
          <w:rFonts w:eastAsia="Times New Roman"/>
        </w:rPr>
        <w:t xml:space="preserve"> </w:t>
      </w:r>
      <w:r w:rsidR="0087762C">
        <w:rPr>
          <w:rFonts w:eastAsia="Times New Roman"/>
        </w:rPr>
        <w:t>nieruchomoś</w:t>
      </w:r>
      <w:r>
        <w:rPr>
          <w:rFonts w:eastAsia="Times New Roman"/>
        </w:rPr>
        <w:t>ć niezabudowana</w:t>
      </w:r>
      <w:r w:rsidR="0087762C">
        <w:rPr>
          <w:rFonts w:eastAsia="Times New Roman"/>
        </w:rPr>
        <w:t xml:space="preserve"> położon</w:t>
      </w:r>
      <w:r>
        <w:rPr>
          <w:rFonts w:eastAsia="Times New Roman"/>
        </w:rPr>
        <w:t>a</w:t>
      </w:r>
      <w:r w:rsidR="0087762C">
        <w:rPr>
          <w:rFonts w:eastAsia="Times New Roman"/>
        </w:rPr>
        <w:t xml:space="preserve"> </w:t>
      </w:r>
      <w:r>
        <w:rPr>
          <w:rFonts w:eastAsia="Times New Roman"/>
        </w:rPr>
        <w:t>w Toruniu:</w:t>
      </w:r>
    </w:p>
    <w:p w:rsidR="0087762C" w:rsidRDefault="0087762C" w:rsidP="00717A58">
      <w:pPr>
        <w:pStyle w:val="Tekstpodstawowy"/>
        <w:tabs>
          <w:tab w:val="left" w:pos="424"/>
        </w:tabs>
        <w:spacing w:after="0"/>
        <w:ind w:firstLine="567"/>
        <w:jc w:val="both"/>
        <w:rPr>
          <w:rFonts w:eastAsia="Times New Roman"/>
        </w:rPr>
      </w:pPr>
    </w:p>
    <w:tbl>
      <w:tblPr>
        <w:tblpPr w:leftFromText="141" w:rightFromText="141" w:vertAnchor="text" w:horzAnchor="margin" w:tblpXSpec="center" w:tblpY="74"/>
        <w:tblW w:w="10773" w:type="dxa"/>
        <w:tblLayout w:type="fixed"/>
        <w:tblCellMar>
          <w:left w:w="70" w:type="dxa"/>
          <w:right w:w="70" w:type="dxa"/>
        </w:tblCellMar>
        <w:tblLook w:val="04A0" w:firstRow="1" w:lastRow="0" w:firstColumn="1" w:lastColumn="0" w:noHBand="0" w:noVBand="1"/>
      </w:tblPr>
      <w:tblGrid>
        <w:gridCol w:w="562"/>
        <w:gridCol w:w="1706"/>
        <w:gridCol w:w="1418"/>
        <w:gridCol w:w="1205"/>
        <w:gridCol w:w="1236"/>
        <w:gridCol w:w="1174"/>
        <w:gridCol w:w="1559"/>
        <w:gridCol w:w="1913"/>
      </w:tblGrid>
      <w:tr w:rsidR="0087762C" w:rsidTr="00307AB0">
        <w:trPr>
          <w:trHeight w:val="327"/>
        </w:trPr>
        <w:tc>
          <w:tcPr>
            <w:tcW w:w="562" w:type="dxa"/>
            <w:vMerge w:val="restart"/>
            <w:tcBorders>
              <w:top w:val="single" w:sz="4" w:space="0" w:color="000000"/>
              <w:left w:val="single" w:sz="4" w:space="0" w:color="000000"/>
              <w:right w:val="nil"/>
            </w:tcBorders>
          </w:tcPr>
          <w:p w:rsidR="0087762C" w:rsidRPr="007A774C" w:rsidRDefault="0087762C" w:rsidP="00255C36">
            <w:pPr>
              <w:pStyle w:val="WW-Zawartotabeli11"/>
              <w:snapToGrid w:val="0"/>
              <w:spacing w:before="120" w:line="200" w:lineRule="atLeast"/>
              <w:rPr>
                <w:sz w:val="22"/>
                <w:szCs w:val="22"/>
                <w:lang w:eastAsia="en-US"/>
              </w:rPr>
            </w:pPr>
            <w:r w:rsidRPr="007A774C">
              <w:rPr>
                <w:sz w:val="22"/>
                <w:szCs w:val="22"/>
                <w:lang w:eastAsia="en-US"/>
              </w:rPr>
              <w:t>Lp.</w:t>
            </w:r>
          </w:p>
          <w:p w:rsidR="0087762C" w:rsidRPr="007A774C" w:rsidRDefault="0087762C" w:rsidP="00255C36">
            <w:pPr>
              <w:pStyle w:val="WW-Zawartotabeli11"/>
              <w:spacing w:before="120" w:line="200" w:lineRule="atLeast"/>
              <w:jc w:val="right"/>
              <w:rPr>
                <w:sz w:val="22"/>
                <w:szCs w:val="22"/>
                <w:lang w:eastAsia="en-US"/>
              </w:rPr>
            </w:pPr>
          </w:p>
        </w:tc>
        <w:tc>
          <w:tcPr>
            <w:tcW w:w="1706" w:type="dxa"/>
            <w:vMerge w:val="restart"/>
            <w:tcBorders>
              <w:top w:val="single" w:sz="4" w:space="0" w:color="000000"/>
              <w:left w:val="single" w:sz="4" w:space="0" w:color="000000"/>
              <w:right w:val="nil"/>
            </w:tcBorders>
          </w:tcPr>
          <w:p w:rsidR="0087762C" w:rsidRPr="007A774C" w:rsidRDefault="0087762C" w:rsidP="00255C36">
            <w:pPr>
              <w:pStyle w:val="WW-Zawartotabeli11"/>
              <w:snapToGrid w:val="0"/>
              <w:spacing w:before="120" w:line="200" w:lineRule="atLeast"/>
              <w:rPr>
                <w:sz w:val="22"/>
                <w:szCs w:val="22"/>
                <w:lang w:eastAsia="en-US"/>
              </w:rPr>
            </w:pPr>
            <w:r w:rsidRPr="007A774C">
              <w:rPr>
                <w:sz w:val="22"/>
                <w:szCs w:val="22"/>
                <w:lang w:eastAsia="en-US"/>
              </w:rPr>
              <w:t>Położenie</w:t>
            </w:r>
          </w:p>
          <w:p w:rsidR="0087762C" w:rsidRPr="007A774C" w:rsidRDefault="0087762C" w:rsidP="00255C36">
            <w:pPr>
              <w:pStyle w:val="WW-Zawartotabeli11"/>
              <w:spacing w:before="120" w:line="200" w:lineRule="atLeast"/>
              <w:rPr>
                <w:sz w:val="22"/>
                <w:szCs w:val="22"/>
                <w:lang w:eastAsia="en-US"/>
              </w:rPr>
            </w:pPr>
          </w:p>
        </w:tc>
        <w:tc>
          <w:tcPr>
            <w:tcW w:w="1418" w:type="dxa"/>
            <w:vMerge w:val="restart"/>
            <w:tcBorders>
              <w:top w:val="single" w:sz="4" w:space="0" w:color="000000"/>
              <w:left w:val="single" w:sz="4" w:space="0" w:color="000000"/>
              <w:right w:val="nil"/>
            </w:tcBorders>
            <w:hideMark/>
          </w:tcPr>
          <w:p w:rsidR="0087762C" w:rsidRDefault="0087762C" w:rsidP="00255C36">
            <w:pPr>
              <w:pStyle w:val="WW-Zawartotabeli11"/>
              <w:snapToGrid w:val="0"/>
              <w:spacing w:before="120" w:line="200" w:lineRule="atLeast"/>
              <w:rPr>
                <w:sz w:val="22"/>
                <w:szCs w:val="22"/>
                <w:lang w:eastAsia="en-US"/>
              </w:rPr>
            </w:pPr>
            <w:r w:rsidRPr="007A774C">
              <w:rPr>
                <w:sz w:val="22"/>
                <w:szCs w:val="22"/>
                <w:lang w:eastAsia="en-US"/>
              </w:rPr>
              <w:t>Nr działki</w:t>
            </w:r>
          </w:p>
          <w:p w:rsidR="0087762C" w:rsidRPr="007A774C" w:rsidRDefault="0087762C" w:rsidP="00255C36">
            <w:pPr>
              <w:pStyle w:val="WW-Zawartotabeli11"/>
              <w:snapToGrid w:val="0"/>
              <w:spacing w:before="120" w:line="200" w:lineRule="atLeast"/>
              <w:rPr>
                <w:sz w:val="22"/>
                <w:szCs w:val="22"/>
                <w:lang w:eastAsia="en-US"/>
              </w:rPr>
            </w:pPr>
            <w:r>
              <w:rPr>
                <w:sz w:val="22"/>
                <w:szCs w:val="22"/>
              </w:rPr>
              <w:t>Obręb nr 54</w:t>
            </w:r>
          </w:p>
        </w:tc>
        <w:tc>
          <w:tcPr>
            <w:tcW w:w="1205" w:type="dxa"/>
            <w:vMerge w:val="restart"/>
            <w:tcBorders>
              <w:top w:val="single" w:sz="4" w:space="0" w:color="000000"/>
              <w:left w:val="single" w:sz="4" w:space="0" w:color="000000"/>
              <w:right w:val="single" w:sz="4" w:space="0" w:color="auto"/>
            </w:tcBorders>
            <w:hideMark/>
          </w:tcPr>
          <w:p w:rsidR="0087762C" w:rsidRPr="007A774C" w:rsidRDefault="0087762C" w:rsidP="00255C36">
            <w:pPr>
              <w:pStyle w:val="WW-Zawartotabeli11"/>
              <w:snapToGrid w:val="0"/>
              <w:spacing w:before="120" w:line="200" w:lineRule="atLeast"/>
              <w:rPr>
                <w:sz w:val="22"/>
                <w:szCs w:val="22"/>
                <w:lang w:eastAsia="en-US"/>
              </w:rPr>
            </w:pPr>
            <w:r w:rsidRPr="007A774C">
              <w:rPr>
                <w:sz w:val="22"/>
                <w:szCs w:val="22"/>
                <w:lang w:eastAsia="en-US"/>
              </w:rPr>
              <w:t xml:space="preserve">Pow. </w:t>
            </w:r>
            <w:r>
              <w:rPr>
                <w:sz w:val="22"/>
                <w:szCs w:val="22"/>
                <w:lang w:eastAsia="en-US"/>
              </w:rPr>
              <w:t>[</w:t>
            </w:r>
            <w:r w:rsidRPr="007A774C">
              <w:rPr>
                <w:sz w:val="22"/>
                <w:szCs w:val="22"/>
                <w:lang w:eastAsia="en-US"/>
              </w:rPr>
              <w:t>ha</w:t>
            </w:r>
            <w:r>
              <w:rPr>
                <w:sz w:val="22"/>
                <w:szCs w:val="22"/>
                <w:lang w:eastAsia="en-US"/>
              </w:rPr>
              <w:t>]</w:t>
            </w:r>
          </w:p>
        </w:tc>
        <w:tc>
          <w:tcPr>
            <w:tcW w:w="2410" w:type="dxa"/>
            <w:gridSpan w:val="2"/>
            <w:tcBorders>
              <w:top w:val="single" w:sz="4" w:space="0" w:color="000000"/>
              <w:left w:val="single" w:sz="4" w:space="0" w:color="auto"/>
              <w:bottom w:val="single" w:sz="4" w:space="0" w:color="auto"/>
              <w:right w:val="single" w:sz="4" w:space="0" w:color="000000"/>
            </w:tcBorders>
            <w:hideMark/>
          </w:tcPr>
          <w:p w:rsidR="0087762C" w:rsidRPr="007A774C" w:rsidRDefault="0087762C" w:rsidP="00255C36">
            <w:pPr>
              <w:pStyle w:val="WW-Zawartotabeli11"/>
              <w:snapToGrid w:val="0"/>
              <w:spacing w:before="120" w:line="200" w:lineRule="atLeast"/>
              <w:rPr>
                <w:sz w:val="22"/>
                <w:szCs w:val="22"/>
                <w:lang w:eastAsia="en-US"/>
              </w:rPr>
            </w:pPr>
            <w:r>
              <w:rPr>
                <w:sz w:val="22"/>
                <w:szCs w:val="22"/>
                <w:lang w:eastAsia="en-US"/>
              </w:rPr>
              <w:t>Użytek i klasa bonitacyjna</w:t>
            </w:r>
          </w:p>
        </w:tc>
        <w:tc>
          <w:tcPr>
            <w:tcW w:w="1559" w:type="dxa"/>
            <w:vMerge w:val="restart"/>
            <w:tcBorders>
              <w:top w:val="single" w:sz="4" w:space="0" w:color="000000"/>
              <w:left w:val="single" w:sz="4" w:space="0" w:color="000000"/>
              <w:right w:val="single" w:sz="4" w:space="0" w:color="auto"/>
            </w:tcBorders>
            <w:hideMark/>
          </w:tcPr>
          <w:p w:rsidR="0087762C" w:rsidRDefault="0087762C" w:rsidP="00255C36">
            <w:pPr>
              <w:pStyle w:val="Tekstpodstawowy31"/>
              <w:snapToGrid w:val="0"/>
              <w:spacing w:before="120"/>
              <w:rPr>
                <w:rFonts w:eastAsia="Times New Roman"/>
                <w:sz w:val="22"/>
                <w:szCs w:val="22"/>
                <w:lang w:eastAsia="en-US"/>
              </w:rPr>
            </w:pPr>
            <w:r>
              <w:rPr>
                <w:rFonts w:eastAsia="Times New Roman"/>
                <w:sz w:val="22"/>
                <w:szCs w:val="22"/>
                <w:lang w:eastAsia="en-US"/>
              </w:rPr>
              <w:t>Przeznaczenie</w:t>
            </w:r>
          </w:p>
        </w:tc>
        <w:tc>
          <w:tcPr>
            <w:tcW w:w="1913" w:type="dxa"/>
            <w:vMerge w:val="restart"/>
            <w:tcBorders>
              <w:top w:val="single" w:sz="4" w:space="0" w:color="000000"/>
              <w:left w:val="single" w:sz="4" w:space="0" w:color="000000"/>
              <w:right w:val="single" w:sz="4" w:space="0" w:color="auto"/>
            </w:tcBorders>
          </w:tcPr>
          <w:p w:rsidR="0087762C" w:rsidRDefault="0087762C" w:rsidP="00255C36">
            <w:pPr>
              <w:pStyle w:val="Tekstpodstawowy31"/>
              <w:snapToGrid w:val="0"/>
              <w:spacing w:before="120"/>
              <w:rPr>
                <w:rFonts w:eastAsia="Times New Roman"/>
                <w:sz w:val="22"/>
                <w:szCs w:val="22"/>
                <w:lang w:eastAsia="en-US"/>
              </w:rPr>
            </w:pPr>
            <w:r>
              <w:rPr>
                <w:rFonts w:eastAsia="Times New Roman"/>
                <w:sz w:val="22"/>
                <w:szCs w:val="22"/>
                <w:lang w:eastAsia="en-US"/>
              </w:rPr>
              <w:t xml:space="preserve">Księga </w:t>
            </w:r>
          </w:p>
          <w:p w:rsidR="0087762C" w:rsidRDefault="0087762C" w:rsidP="00255C36">
            <w:pPr>
              <w:pStyle w:val="Tekstpodstawowy31"/>
              <w:snapToGrid w:val="0"/>
              <w:spacing w:before="120"/>
              <w:rPr>
                <w:rFonts w:eastAsia="Times New Roman"/>
                <w:sz w:val="22"/>
                <w:szCs w:val="22"/>
                <w:lang w:eastAsia="en-US"/>
              </w:rPr>
            </w:pPr>
            <w:r>
              <w:rPr>
                <w:rFonts w:eastAsia="Times New Roman"/>
                <w:sz w:val="22"/>
                <w:szCs w:val="22"/>
                <w:lang w:eastAsia="en-US"/>
              </w:rPr>
              <w:t>wieczysta</w:t>
            </w:r>
          </w:p>
        </w:tc>
      </w:tr>
      <w:tr w:rsidR="0087762C" w:rsidTr="00307AB0">
        <w:trPr>
          <w:trHeight w:val="408"/>
        </w:trPr>
        <w:tc>
          <w:tcPr>
            <w:tcW w:w="562" w:type="dxa"/>
            <w:vMerge/>
            <w:tcBorders>
              <w:left w:val="single" w:sz="4" w:space="0" w:color="000000"/>
              <w:bottom w:val="single" w:sz="4" w:space="0" w:color="000000"/>
              <w:right w:val="nil"/>
            </w:tcBorders>
          </w:tcPr>
          <w:p w:rsidR="0087762C" w:rsidRPr="007A774C" w:rsidRDefault="0087762C" w:rsidP="00255C36">
            <w:pPr>
              <w:pStyle w:val="WW-Zawartotabeli11"/>
              <w:snapToGrid w:val="0"/>
              <w:spacing w:before="120" w:line="200" w:lineRule="atLeast"/>
              <w:rPr>
                <w:sz w:val="22"/>
                <w:szCs w:val="22"/>
                <w:lang w:eastAsia="en-US"/>
              </w:rPr>
            </w:pPr>
          </w:p>
        </w:tc>
        <w:tc>
          <w:tcPr>
            <w:tcW w:w="1706" w:type="dxa"/>
            <w:vMerge/>
            <w:tcBorders>
              <w:left w:val="single" w:sz="4" w:space="0" w:color="000000"/>
              <w:bottom w:val="single" w:sz="4" w:space="0" w:color="000000"/>
              <w:right w:val="nil"/>
            </w:tcBorders>
          </w:tcPr>
          <w:p w:rsidR="0087762C" w:rsidRPr="007A774C" w:rsidRDefault="0087762C" w:rsidP="00255C36">
            <w:pPr>
              <w:pStyle w:val="WW-Zawartotabeli11"/>
              <w:snapToGrid w:val="0"/>
              <w:spacing w:before="120" w:line="200" w:lineRule="atLeast"/>
              <w:rPr>
                <w:sz w:val="22"/>
                <w:szCs w:val="22"/>
                <w:lang w:eastAsia="en-US"/>
              </w:rPr>
            </w:pPr>
          </w:p>
        </w:tc>
        <w:tc>
          <w:tcPr>
            <w:tcW w:w="1418" w:type="dxa"/>
            <w:vMerge/>
            <w:tcBorders>
              <w:left w:val="single" w:sz="4" w:space="0" w:color="000000"/>
              <w:bottom w:val="single" w:sz="4" w:space="0" w:color="000000"/>
              <w:right w:val="nil"/>
            </w:tcBorders>
          </w:tcPr>
          <w:p w:rsidR="0087762C" w:rsidRPr="007A774C" w:rsidRDefault="0087762C" w:rsidP="00255C36">
            <w:pPr>
              <w:pStyle w:val="WW-Zawartotabeli11"/>
              <w:snapToGrid w:val="0"/>
              <w:spacing w:before="120" w:line="200" w:lineRule="atLeast"/>
              <w:rPr>
                <w:sz w:val="22"/>
                <w:szCs w:val="22"/>
                <w:lang w:eastAsia="en-US"/>
              </w:rPr>
            </w:pPr>
          </w:p>
        </w:tc>
        <w:tc>
          <w:tcPr>
            <w:tcW w:w="1205" w:type="dxa"/>
            <w:vMerge/>
            <w:tcBorders>
              <w:left w:val="single" w:sz="4" w:space="0" w:color="000000"/>
              <w:bottom w:val="single" w:sz="4" w:space="0" w:color="000000"/>
              <w:right w:val="single" w:sz="4" w:space="0" w:color="auto"/>
            </w:tcBorders>
          </w:tcPr>
          <w:p w:rsidR="0087762C" w:rsidRPr="007A774C" w:rsidRDefault="0087762C" w:rsidP="00255C36">
            <w:pPr>
              <w:pStyle w:val="WW-Zawartotabeli11"/>
              <w:snapToGrid w:val="0"/>
              <w:spacing w:before="120" w:line="200" w:lineRule="atLeast"/>
              <w:rPr>
                <w:sz w:val="22"/>
                <w:szCs w:val="22"/>
                <w:lang w:eastAsia="en-US"/>
              </w:rPr>
            </w:pPr>
          </w:p>
        </w:tc>
        <w:tc>
          <w:tcPr>
            <w:tcW w:w="1236" w:type="dxa"/>
            <w:tcBorders>
              <w:top w:val="single" w:sz="4" w:space="0" w:color="auto"/>
              <w:left w:val="single" w:sz="4" w:space="0" w:color="auto"/>
              <w:bottom w:val="single" w:sz="4" w:space="0" w:color="000000"/>
              <w:right w:val="single" w:sz="4" w:space="0" w:color="auto"/>
            </w:tcBorders>
          </w:tcPr>
          <w:p w:rsidR="0087762C" w:rsidRPr="007A774C" w:rsidRDefault="0087762C" w:rsidP="00255C36">
            <w:pPr>
              <w:pStyle w:val="WW-Zawartotabeli11"/>
              <w:snapToGrid w:val="0"/>
              <w:spacing w:before="120" w:line="200" w:lineRule="atLeast"/>
              <w:rPr>
                <w:sz w:val="22"/>
                <w:szCs w:val="22"/>
                <w:lang w:eastAsia="en-US"/>
              </w:rPr>
            </w:pPr>
            <w:r>
              <w:rPr>
                <w:sz w:val="22"/>
                <w:szCs w:val="22"/>
                <w:lang w:eastAsia="en-US"/>
              </w:rPr>
              <w:t>Oznaczenie</w:t>
            </w:r>
          </w:p>
        </w:tc>
        <w:tc>
          <w:tcPr>
            <w:tcW w:w="1174" w:type="dxa"/>
            <w:tcBorders>
              <w:top w:val="single" w:sz="4" w:space="0" w:color="auto"/>
              <w:left w:val="single" w:sz="4" w:space="0" w:color="auto"/>
              <w:bottom w:val="single" w:sz="4" w:space="0" w:color="000000"/>
              <w:right w:val="single" w:sz="4" w:space="0" w:color="000000"/>
            </w:tcBorders>
          </w:tcPr>
          <w:p w:rsidR="0087762C" w:rsidRPr="007A774C" w:rsidRDefault="0087762C" w:rsidP="00255C36">
            <w:pPr>
              <w:pStyle w:val="WW-Zawartotabeli11"/>
              <w:snapToGrid w:val="0"/>
              <w:spacing w:before="120" w:line="200" w:lineRule="atLeast"/>
              <w:rPr>
                <w:sz w:val="22"/>
                <w:szCs w:val="22"/>
                <w:lang w:eastAsia="en-US"/>
              </w:rPr>
            </w:pPr>
            <w:r>
              <w:rPr>
                <w:sz w:val="22"/>
                <w:szCs w:val="22"/>
                <w:lang w:eastAsia="en-US"/>
              </w:rPr>
              <w:t>Pow.[ha]</w:t>
            </w:r>
          </w:p>
        </w:tc>
        <w:tc>
          <w:tcPr>
            <w:tcW w:w="1559" w:type="dxa"/>
            <w:vMerge/>
            <w:tcBorders>
              <w:left w:val="single" w:sz="4" w:space="0" w:color="000000"/>
              <w:bottom w:val="single" w:sz="4" w:space="0" w:color="000000"/>
              <w:right w:val="single" w:sz="4" w:space="0" w:color="auto"/>
            </w:tcBorders>
          </w:tcPr>
          <w:p w:rsidR="0087762C" w:rsidRDefault="0087762C" w:rsidP="00255C36">
            <w:pPr>
              <w:pStyle w:val="Tekstpodstawowy31"/>
              <w:snapToGrid w:val="0"/>
              <w:spacing w:before="120"/>
              <w:jc w:val="center"/>
              <w:rPr>
                <w:rFonts w:eastAsia="Times New Roman"/>
                <w:sz w:val="22"/>
                <w:szCs w:val="22"/>
                <w:lang w:eastAsia="en-US"/>
              </w:rPr>
            </w:pPr>
          </w:p>
        </w:tc>
        <w:tc>
          <w:tcPr>
            <w:tcW w:w="1913" w:type="dxa"/>
            <w:vMerge/>
            <w:tcBorders>
              <w:left w:val="single" w:sz="4" w:space="0" w:color="000000"/>
              <w:bottom w:val="single" w:sz="4" w:space="0" w:color="000000"/>
              <w:right w:val="single" w:sz="4" w:space="0" w:color="auto"/>
            </w:tcBorders>
          </w:tcPr>
          <w:p w:rsidR="0087762C" w:rsidRDefault="0087762C" w:rsidP="00255C36">
            <w:pPr>
              <w:pStyle w:val="Tekstpodstawowy31"/>
              <w:snapToGrid w:val="0"/>
              <w:spacing w:before="120"/>
              <w:jc w:val="center"/>
              <w:rPr>
                <w:rFonts w:eastAsia="Times New Roman"/>
                <w:sz w:val="22"/>
                <w:szCs w:val="22"/>
                <w:lang w:eastAsia="en-US"/>
              </w:rPr>
            </w:pPr>
          </w:p>
        </w:tc>
      </w:tr>
      <w:tr w:rsidR="0087762C" w:rsidTr="00307AB0">
        <w:trPr>
          <w:trHeight w:val="325"/>
        </w:trPr>
        <w:tc>
          <w:tcPr>
            <w:tcW w:w="562" w:type="dxa"/>
            <w:vMerge w:val="restart"/>
            <w:tcBorders>
              <w:top w:val="single" w:sz="4" w:space="0" w:color="auto"/>
              <w:left w:val="single" w:sz="4" w:space="0" w:color="auto"/>
              <w:right w:val="single" w:sz="4" w:space="0" w:color="auto"/>
            </w:tcBorders>
          </w:tcPr>
          <w:p w:rsidR="0087762C" w:rsidRPr="007A774C" w:rsidRDefault="008832B6" w:rsidP="008832B6">
            <w:pPr>
              <w:pStyle w:val="Zawartotabeli"/>
              <w:spacing w:before="120"/>
              <w:rPr>
                <w:sz w:val="22"/>
                <w:szCs w:val="22"/>
                <w:lang w:eastAsia="en-US"/>
              </w:rPr>
            </w:pPr>
            <w:r>
              <w:rPr>
                <w:sz w:val="22"/>
                <w:szCs w:val="22"/>
                <w:lang w:eastAsia="en-US"/>
              </w:rPr>
              <w:t>1</w:t>
            </w:r>
            <w:r w:rsidR="0087762C">
              <w:rPr>
                <w:sz w:val="22"/>
                <w:szCs w:val="22"/>
                <w:lang w:eastAsia="en-US"/>
              </w:rPr>
              <w:t>.</w:t>
            </w:r>
          </w:p>
        </w:tc>
        <w:tc>
          <w:tcPr>
            <w:tcW w:w="1706" w:type="dxa"/>
            <w:vMerge w:val="restart"/>
            <w:tcBorders>
              <w:top w:val="single" w:sz="4" w:space="0" w:color="auto"/>
              <w:left w:val="single" w:sz="4" w:space="0" w:color="auto"/>
              <w:right w:val="single" w:sz="4" w:space="0" w:color="auto"/>
            </w:tcBorders>
          </w:tcPr>
          <w:p w:rsidR="0087762C" w:rsidRPr="007A774C" w:rsidRDefault="0087762C" w:rsidP="00255C36">
            <w:pPr>
              <w:rPr>
                <w:sz w:val="22"/>
                <w:szCs w:val="22"/>
              </w:rPr>
            </w:pPr>
            <w:r w:rsidRPr="007A774C">
              <w:rPr>
                <w:rFonts w:eastAsiaTheme="minorHAnsi"/>
                <w:sz w:val="22"/>
                <w:szCs w:val="22"/>
                <w:lang w:eastAsia="en-US"/>
              </w:rPr>
              <w:t>Projektowana CLXXXIX 11</w:t>
            </w:r>
          </w:p>
          <w:p w:rsidR="0087762C" w:rsidRPr="007A774C" w:rsidRDefault="0087762C" w:rsidP="00255C36">
            <w:pPr>
              <w:rPr>
                <w:sz w:val="22"/>
                <w:szCs w:val="22"/>
              </w:rPr>
            </w:pPr>
            <w:r w:rsidRPr="007A774C">
              <w:rPr>
                <w:rFonts w:eastAsiaTheme="minorHAnsi"/>
                <w:sz w:val="22"/>
                <w:szCs w:val="22"/>
                <w:lang w:eastAsia="en-US"/>
              </w:rPr>
              <w:t>Projektowana CLXXXIX 9</w:t>
            </w:r>
          </w:p>
          <w:p w:rsidR="0087762C" w:rsidRPr="007A774C" w:rsidRDefault="0087762C" w:rsidP="00255C36">
            <w:pPr>
              <w:rPr>
                <w:sz w:val="22"/>
                <w:szCs w:val="22"/>
              </w:rPr>
            </w:pPr>
          </w:p>
        </w:tc>
        <w:tc>
          <w:tcPr>
            <w:tcW w:w="1418" w:type="dxa"/>
            <w:vMerge w:val="restart"/>
            <w:tcBorders>
              <w:top w:val="single" w:sz="4" w:space="0" w:color="auto"/>
              <w:left w:val="single" w:sz="4" w:space="0" w:color="auto"/>
              <w:right w:val="single" w:sz="4" w:space="0" w:color="auto"/>
            </w:tcBorders>
          </w:tcPr>
          <w:p w:rsidR="0087762C" w:rsidRDefault="0087762C" w:rsidP="00255C36">
            <w:pPr>
              <w:rPr>
                <w:sz w:val="22"/>
                <w:szCs w:val="22"/>
              </w:rPr>
            </w:pPr>
            <w:r>
              <w:rPr>
                <w:sz w:val="22"/>
                <w:szCs w:val="22"/>
              </w:rPr>
              <w:t>132/64</w:t>
            </w:r>
          </w:p>
          <w:p w:rsidR="0087762C" w:rsidRDefault="0087762C" w:rsidP="00255C36">
            <w:pPr>
              <w:rPr>
                <w:sz w:val="22"/>
                <w:szCs w:val="22"/>
              </w:rPr>
            </w:pPr>
          </w:p>
          <w:p w:rsidR="0087762C" w:rsidRDefault="0087762C" w:rsidP="00255C36">
            <w:pPr>
              <w:rPr>
                <w:sz w:val="22"/>
                <w:szCs w:val="22"/>
              </w:rPr>
            </w:pPr>
            <w:r>
              <w:rPr>
                <w:sz w:val="22"/>
                <w:szCs w:val="22"/>
              </w:rPr>
              <w:t>132/65</w:t>
            </w:r>
          </w:p>
          <w:p w:rsidR="0087762C" w:rsidRDefault="0087762C" w:rsidP="00255C36">
            <w:pPr>
              <w:rPr>
                <w:sz w:val="22"/>
                <w:szCs w:val="22"/>
              </w:rPr>
            </w:pPr>
          </w:p>
          <w:p w:rsidR="0087762C" w:rsidRDefault="0087762C" w:rsidP="00255C36">
            <w:pPr>
              <w:rPr>
                <w:sz w:val="22"/>
                <w:szCs w:val="22"/>
              </w:rPr>
            </w:pPr>
          </w:p>
          <w:p w:rsidR="0087762C" w:rsidRDefault="0087762C" w:rsidP="00255C36">
            <w:pPr>
              <w:rPr>
                <w:sz w:val="22"/>
                <w:szCs w:val="22"/>
              </w:rPr>
            </w:pPr>
          </w:p>
          <w:p w:rsidR="0087762C" w:rsidRPr="007A774C" w:rsidRDefault="0087762C" w:rsidP="00255C36">
            <w:pPr>
              <w:rPr>
                <w:sz w:val="22"/>
                <w:szCs w:val="22"/>
              </w:rPr>
            </w:pPr>
          </w:p>
        </w:tc>
        <w:tc>
          <w:tcPr>
            <w:tcW w:w="1205" w:type="dxa"/>
            <w:vMerge w:val="restart"/>
            <w:tcBorders>
              <w:top w:val="single" w:sz="4" w:space="0" w:color="auto"/>
              <w:left w:val="single" w:sz="4" w:space="0" w:color="auto"/>
              <w:right w:val="single" w:sz="4" w:space="0" w:color="auto"/>
            </w:tcBorders>
          </w:tcPr>
          <w:p w:rsidR="0087762C" w:rsidRDefault="0087762C" w:rsidP="00255C36">
            <w:pPr>
              <w:autoSpaceDE w:val="0"/>
              <w:adjustRightInd w:val="0"/>
              <w:jc w:val="both"/>
              <w:rPr>
                <w:rFonts w:eastAsiaTheme="minorHAnsi"/>
                <w:sz w:val="22"/>
                <w:szCs w:val="22"/>
                <w:lang w:eastAsia="en-US"/>
              </w:rPr>
            </w:pPr>
            <w:r>
              <w:rPr>
                <w:rFonts w:eastAsiaTheme="minorHAnsi"/>
                <w:sz w:val="22"/>
                <w:szCs w:val="22"/>
                <w:lang w:eastAsia="en-US"/>
              </w:rPr>
              <w:t>0,5001</w:t>
            </w:r>
          </w:p>
          <w:p w:rsidR="0087762C" w:rsidRDefault="0087762C" w:rsidP="00255C36">
            <w:pPr>
              <w:autoSpaceDE w:val="0"/>
              <w:adjustRightInd w:val="0"/>
              <w:jc w:val="both"/>
              <w:rPr>
                <w:rFonts w:eastAsiaTheme="minorHAnsi"/>
                <w:sz w:val="22"/>
                <w:szCs w:val="22"/>
                <w:lang w:eastAsia="en-US"/>
              </w:rPr>
            </w:pPr>
          </w:p>
          <w:p w:rsidR="0087762C" w:rsidRDefault="0087762C" w:rsidP="00255C36">
            <w:pPr>
              <w:autoSpaceDE w:val="0"/>
              <w:adjustRightInd w:val="0"/>
              <w:jc w:val="both"/>
              <w:rPr>
                <w:rFonts w:eastAsiaTheme="minorHAnsi"/>
                <w:sz w:val="22"/>
                <w:szCs w:val="22"/>
                <w:lang w:eastAsia="en-US"/>
              </w:rPr>
            </w:pPr>
            <w:r>
              <w:rPr>
                <w:rFonts w:eastAsiaTheme="minorHAnsi"/>
                <w:sz w:val="22"/>
                <w:szCs w:val="22"/>
                <w:lang w:eastAsia="en-US"/>
              </w:rPr>
              <w:t>0,5032</w:t>
            </w:r>
          </w:p>
          <w:p w:rsidR="0087762C" w:rsidRDefault="0087762C" w:rsidP="00255C36">
            <w:pPr>
              <w:autoSpaceDE w:val="0"/>
              <w:adjustRightInd w:val="0"/>
              <w:jc w:val="both"/>
              <w:rPr>
                <w:rFonts w:eastAsiaTheme="minorHAnsi"/>
                <w:sz w:val="22"/>
                <w:szCs w:val="22"/>
                <w:lang w:eastAsia="en-US"/>
              </w:rPr>
            </w:pPr>
          </w:p>
          <w:p w:rsidR="0087762C" w:rsidRPr="007A774C" w:rsidRDefault="0087762C" w:rsidP="0009480B">
            <w:pPr>
              <w:autoSpaceDE w:val="0"/>
              <w:adjustRightInd w:val="0"/>
              <w:jc w:val="both"/>
              <w:rPr>
                <w:rFonts w:eastAsiaTheme="minorHAnsi"/>
                <w:sz w:val="22"/>
                <w:szCs w:val="22"/>
                <w:lang w:eastAsia="en-US"/>
              </w:rPr>
            </w:pPr>
            <w:r>
              <w:rPr>
                <w:rFonts w:eastAsiaTheme="minorHAnsi"/>
                <w:sz w:val="22"/>
                <w:szCs w:val="22"/>
                <w:lang w:eastAsia="en-US"/>
              </w:rPr>
              <w:t xml:space="preserve">Razem </w:t>
            </w:r>
            <w:r w:rsidR="0009480B">
              <w:rPr>
                <w:rFonts w:eastAsiaTheme="minorHAnsi"/>
                <w:sz w:val="22"/>
                <w:szCs w:val="22"/>
                <w:lang w:eastAsia="en-US"/>
              </w:rPr>
              <w:t>1</w:t>
            </w:r>
            <w:r>
              <w:rPr>
                <w:rFonts w:eastAsiaTheme="minorHAnsi"/>
                <w:sz w:val="22"/>
                <w:szCs w:val="22"/>
                <w:lang w:eastAsia="en-US"/>
              </w:rPr>
              <w:t>,00</w:t>
            </w:r>
            <w:r w:rsidR="0009480B">
              <w:rPr>
                <w:rFonts w:eastAsiaTheme="minorHAnsi"/>
                <w:sz w:val="22"/>
                <w:szCs w:val="22"/>
                <w:lang w:eastAsia="en-US"/>
              </w:rPr>
              <w:t>33</w:t>
            </w:r>
          </w:p>
        </w:tc>
        <w:tc>
          <w:tcPr>
            <w:tcW w:w="1236" w:type="dxa"/>
            <w:tcBorders>
              <w:top w:val="single" w:sz="4" w:space="0" w:color="auto"/>
              <w:left w:val="single" w:sz="4" w:space="0" w:color="auto"/>
              <w:bottom w:val="single" w:sz="4" w:space="0" w:color="auto"/>
              <w:right w:val="single" w:sz="4" w:space="0" w:color="auto"/>
            </w:tcBorders>
          </w:tcPr>
          <w:p w:rsidR="0087762C" w:rsidRDefault="0087762C" w:rsidP="00255C36">
            <w:pPr>
              <w:jc w:val="center"/>
              <w:rPr>
                <w:sz w:val="22"/>
                <w:szCs w:val="22"/>
                <w:lang w:eastAsia="en-US"/>
              </w:rPr>
            </w:pPr>
            <w:r>
              <w:rPr>
                <w:sz w:val="22"/>
                <w:szCs w:val="22"/>
                <w:lang w:eastAsia="en-US"/>
              </w:rPr>
              <w:t>RV</w:t>
            </w:r>
          </w:p>
          <w:p w:rsidR="0087762C" w:rsidRPr="007A774C" w:rsidRDefault="0087762C" w:rsidP="00255C36">
            <w:pPr>
              <w:jc w:val="center"/>
              <w:rPr>
                <w:sz w:val="22"/>
                <w:szCs w:val="22"/>
                <w:lang w:eastAsia="en-US"/>
              </w:rPr>
            </w:pPr>
            <w:r>
              <w:rPr>
                <w:sz w:val="22"/>
                <w:szCs w:val="22"/>
                <w:lang w:eastAsia="en-US"/>
              </w:rPr>
              <w:t>RVI</w:t>
            </w:r>
          </w:p>
        </w:tc>
        <w:tc>
          <w:tcPr>
            <w:tcW w:w="1174" w:type="dxa"/>
            <w:tcBorders>
              <w:top w:val="single" w:sz="4" w:space="0" w:color="auto"/>
              <w:left w:val="single" w:sz="4" w:space="0" w:color="auto"/>
              <w:bottom w:val="single" w:sz="4" w:space="0" w:color="auto"/>
              <w:right w:val="single" w:sz="4" w:space="0" w:color="auto"/>
            </w:tcBorders>
          </w:tcPr>
          <w:p w:rsidR="0087762C" w:rsidRDefault="0087762C" w:rsidP="00255C36">
            <w:pPr>
              <w:jc w:val="center"/>
              <w:rPr>
                <w:sz w:val="22"/>
                <w:szCs w:val="22"/>
                <w:lang w:eastAsia="en-US"/>
              </w:rPr>
            </w:pPr>
            <w:r>
              <w:rPr>
                <w:sz w:val="22"/>
                <w:szCs w:val="22"/>
                <w:lang w:eastAsia="en-US"/>
              </w:rPr>
              <w:t>0,0462</w:t>
            </w:r>
          </w:p>
          <w:p w:rsidR="0087762C" w:rsidRPr="007A774C" w:rsidRDefault="0087762C" w:rsidP="00255C36">
            <w:pPr>
              <w:jc w:val="center"/>
              <w:rPr>
                <w:sz w:val="22"/>
                <w:szCs w:val="22"/>
                <w:lang w:eastAsia="en-US"/>
              </w:rPr>
            </w:pPr>
            <w:r>
              <w:rPr>
                <w:sz w:val="22"/>
                <w:szCs w:val="22"/>
                <w:lang w:eastAsia="en-US"/>
              </w:rPr>
              <w:t>0,4539</w:t>
            </w:r>
          </w:p>
        </w:tc>
        <w:tc>
          <w:tcPr>
            <w:tcW w:w="1559" w:type="dxa"/>
            <w:vMerge w:val="restart"/>
            <w:tcBorders>
              <w:top w:val="single" w:sz="4" w:space="0" w:color="auto"/>
              <w:left w:val="single" w:sz="4" w:space="0" w:color="auto"/>
              <w:right w:val="single" w:sz="4" w:space="0" w:color="auto"/>
            </w:tcBorders>
          </w:tcPr>
          <w:p w:rsidR="0087762C" w:rsidRDefault="0087762C" w:rsidP="000346CC">
            <w:pPr>
              <w:pStyle w:val="NormalnyWeb"/>
              <w:spacing w:before="0" w:beforeAutospacing="0" w:after="0" w:line="240" w:lineRule="auto"/>
              <w:jc w:val="center"/>
              <w:rPr>
                <w:sz w:val="22"/>
                <w:szCs w:val="22"/>
                <w:lang w:eastAsia="en-US"/>
              </w:rPr>
            </w:pPr>
            <w:r>
              <w:rPr>
                <w:sz w:val="22"/>
                <w:szCs w:val="22"/>
                <w:lang w:eastAsia="en-US"/>
              </w:rPr>
              <w:t>157.14-U3</w:t>
            </w:r>
          </w:p>
        </w:tc>
        <w:tc>
          <w:tcPr>
            <w:tcW w:w="1913" w:type="dxa"/>
            <w:vMerge w:val="restart"/>
            <w:tcBorders>
              <w:top w:val="single" w:sz="4" w:space="0" w:color="auto"/>
              <w:left w:val="single" w:sz="4" w:space="0" w:color="auto"/>
              <w:right w:val="single" w:sz="4" w:space="0" w:color="auto"/>
            </w:tcBorders>
          </w:tcPr>
          <w:p w:rsidR="0087762C" w:rsidRDefault="0087762C" w:rsidP="000346CC">
            <w:pPr>
              <w:pStyle w:val="Tekstpodstawowy"/>
              <w:tabs>
                <w:tab w:val="left" w:pos="424"/>
              </w:tabs>
              <w:spacing w:after="0"/>
              <w:jc w:val="both"/>
            </w:pPr>
            <w:r w:rsidRPr="000346CC">
              <w:rPr>
                <w:rFonts w:eastAsia="Times New Roman"/>
                <w:sz w:val="22"/>
                <w:szCs w:val="22"/>
              </w:rPr>
              <w:t>TO1T</w:t>
            </w:r>
            <w:r w:rsidRPr="000346CC">
              <w:rPr>
                <w:sz w:val="22"/>
                <w:szCs w:val="22"/>
                <w:lang w:eastAsia="en-US"/>
              </w:rPr>
              <w:t>/00046188</w:t>
            </w:r>
            <w:r w:rsidRPr="006F06DE">
              <w:rPr>
                <w:sz w:val="22"/>
                <w:szCs w:val="22"/>
                <w:lang w:eastAsia="en-US"/>
              </w:rPr>
              <w:t>/5</w:t>
            </w:r>
          </w:p>
        </w:tc>
      </w:tr>
      <w:tr w:rsidR="0087762C" w:rsidTr="0009480B">
        <w:trPr>
          <w:trHeight w:val="325"/>
        </w:trPr>
        <w:tc>
          <w:tcPr>
            <w:tcW w:w="562" w:type="dxa"/>
            <w:vMerge/>
            <w:tcBorders>
              <w:left w:val="single" w:sz="4" w:space="0" w:color="auto"/>
              <w:bottom w:val="single" w:sz="4" w:space="0" w:color="auto"/>
              <w:right w:val="single" w:sz="4" w:space="0" w:color="auto"/>
            </w:tcBorders>
          </w:tcPr>
          <w:p w:rsidR="0087762C" w:rsidRPr="007A774C" w:rsidRDefault="0087762C" w:rsidP="00255C36">
            <w:pPr>
              <w:pStyle w:val="Zawartotabeli"/>
              <w:spacing w:before="120"/>
              <w:rPr>
                <w:sz w:val="22"/>
                <w:szCs w:val="22"/>
                <w:lang w:eastAsia="en-US"/>
              </w:rPr>
            </w:pPr>
          </w:p>
        </w:tc>
        <w:tc>
          <w:tcPr>
            <w:tcW w:w="1706" w:type="dxa"/>
            <w:vMerge/>
            <w:tcBorders>
              <w:left w:val="single" w:sz="4" w:space="0" w:color="auto"/>
              <w:bottom w:val="single" w:sz="4" w:space="0" w:color="auto"/>
              <w:right w:val="single" w:sz="4" w:space="0" w:color="auto"/>
            </w:tcBorders>
          </w:tcPr>
          <w:p w:rsidR="0087762C" w:rsidRPr="007A774C" w:rsidRDefault="0087762C" w:rsidP="00255C36">
            <w:pPr>
              <w:rPr>
                <w:sz w:val="22"/>
                <w:szCs w:val="22"/>
              </w:rPr>
            </w:pPr>
          </w:p>
        </w:tc>
        <w:tc>
          <w:tcPr>
            <w:tcW w:w="1418" w:type="dxa"/>
            <w:vMerge/>
            <w:tcBorders>
              <w:left w:val="single" w:sz="4" w:space="0" w:color="auto"/>
              <w:bottom w:val="single" w:sz="4" w:space="0" w:color="auto"/>
              <w:right w:val="single" w:sz="4" w:space="0" w:color="auto"/>
            </w:tcBorders>
          </w:tcPr>
          <w:p w:rsidR="0087762C" w:rsidRPr="007A774C" w:rsidRDefault="0087762C" w:rsidP="00255C36">
            <w:pPr>
              <w:rPr>
                <w:sz w:val="22"/>
                <w:szCs w:val="22"/>
              </w:rPr>
            </w:pPr>
          </w:p>
        </w:tc>
        <w:tc>
          <w:tcPr>
            <w:tcW w:w="1205" w:type="dxa"/>
            <w:vMerge/>
            <w:tcBorders>
              <w:left w:val="single" w:sz="4" w:space="0" w:color="auto"/>
              <w:bottom w:val="single" w:sz="4" w:space="0" w:color="auto"/>
              <w:right w:val="single" w:sz="4" w:space="0" w:color="auto"/>
            </w:tcBorders>
          </w:tcPr>
          <w:p w:rsidR="0087762C" w:rsidRPr="007A774C" w:rsidRDefault="0087762C" w:rsidP="00255C36">
            <w:pPr>
              <w:autoSpaceDE w:val="0"/>
              <w:adjustRightInd w:val="0"/>
              <w:jc w:val="both"/>
              <w:rPr>
                <w:rFonts w:eastAsiaTheme="minorHAnsi"/>
                <w:sz w:val="22"/>
                <w:szCs w:val="22"/>
                <w:lang w:eastAsia="en-US"/>
              </w:rPr>
            </w:pPr>
          </w:p>
        </w:tc>
        <w:tc>
          <w:tcPr>
            <w:tcW w:w="1236" w:type="dxa"/>
            <w:tcBorders>
              <w:top w:val="single" w:sz="4" w:space="0" w:color="auto"/>
              <w:left w:val="single" w:sz="4" w:space="0" w:color="auto"/>
              <w:bottom w:val="single" w:sz="4" w:space="0" w:color="auto"/>
              <w:right w:val="single" w:sz="4" w:space="0" w:color="auto"/>
            </w:tcBorders>
          </w:tcPr>
          <w:p w:rsidR="0087762C" w:rsidRDefault="0087762C" w:rsidP="00255C36">
            <w:pPr>
              <w:jc w:val="center"/>
              <w:rPr>
                <w:sz w:val="22"/>
                <w:szCs w:val="22"/>
                <w:lang w:eastAsia="en-US"/>
              </w:rPr>
            </w:pPr>
            <w:r>
              <w:rPr>
                <w:sz w:val="22"/>
                <w:szCs w:val="22"/>
                <w:lang w:eastAsia="en-US"/>
              </w:rPr>
              <w:t>RV</w:t>
            </w:r>
          </w:p>
          <w:p w:rsidR="0087762C" w:rsidRPr="007A774C" w:rsidRDefault="0087762C" w:rsidP="00255C36">
            <w:pPr>
              <w:jc w:val="center"/>
              <w:rPr>
                <w:sz w:val="22"/>
                <w:szCs w:val="22"/>
                <w:lang w:eastAsia="en-US"/>
              </w:rPr>
            </w:pPr>
            <w:r>
              <w:rPr>
                <w:sz w:val="22"/>
                <w:szCs w:val="22"/>
                <w:lang w:eastAsia="en-US"/>
              </w:rPr>
              <w:t>RVI</w:t>
            </w:r>
          </w:p>
        </w:tc>
        <w:tc>
          <w:tcPr>
            <w:tcW w:w="1174" w:type="dxa"/>
            <w:tcBorders>
              <w:top w:val="single" w:sz="4" w:space="0" w:color="auto"/>
              <w:left w:val="single" w:sz="4" w:space="0" w:color="auto"/>
              <w:bottom w:val="single" w:sz="4" w:space="0" w:color="auto"/>
              <w:right w:val="single" w:sz="4" w:space="0" w:color="auto"/>
            </w:tcBorders>
          </w:tcPr>
          <w:p w:rsidR="0087762C" w:rsidRDefault="0087762C" w:rsidP="00255C36">
            <w:pPr>
              <w:jc w:val="center"/>
              <w:rPr>
                <w:sz w:val="22"/>
                <w:szCs w:val="22"/>
                <w:lang w:eastAsia="en-US"/>
              </w:rPr>
            </w:pPr>
            <w:r>
              <w:rPr>
                <w:sz w:val="22"/>
                <w:szCs w:val="22"/>
                <w:lang w:eastAsia="en-US"/>
              </w:rPr>
              <w:t>0,1074</w:t>
            </w:r>
          </w:p>
          <w:p w:rsidR="0087762C" w:rsidRPr="007A774C" w:rsidRDefault="0087762C" w:rsidP="00255C36">
            <w:pPr>
              <w:jc w:val="center"/>
              <w:rPr>
                <w:sz w:val="22"/>
                <w:szCs w:val="22"/>
                <w:lang w:eastAsia="en-US"/>
              </w:rPr>
            </w:pPr>
            <w:r>
              <w:rPr>
                <w:sz w:val="22"/>
                <w:szCs w:val="22"/>
                <w:lang w:eastAsia="en-US"/>
              </w:rPr>
              <w:t>0,3958</w:t>
            </w:r>
          </w:p>
        </w:tc>
        <w:tc>
          <w:tcPr>
            <w:tcW w:w="1559" w:type="dxa"/>
            <w:vMerge/>
            <w:tcBorders>
              <w:left w:val="single" w:sz="4" w:space="0" w:color="auto"/>
              <w:bottom w:val="single" w:sz="4" w:space="0" w:color="auto"/>
              <w:right w:val="single" w:sz="4" w:space="0" w:color="auto"/>
            </w:tcBorders>
          </w:tcPr>
          <w:p w:rsidR="0087762C" w:rsidRDefault="0087762C" w:rsidP="00255C36">
            <w:pPr>
              <w:pStyle w:val="NormalnyWeb"/>
              <w:spacing w:before="120" w:beforeAutospacing="0" w:after="0" w:line="240" w:lineRule="auto"/>
              <w:rPr>
                <w:sz w:val="22"/>
                <w:szCs w:val="22"/>
                <w:lang w:eastAsia="en-US"/>
              </w:rPr>
            </w:pPr>
          </w:p>
        </w:tc>
        <w:tc>
          <w:tcPr>
            <w:tcW w:w="1913" w:type="dxa"/>
            <w:vMerge/>
            <w:tcBorders>
              <w:left w:val="single" w:sz="4" w:space="0" w:color="auto"/>
              <w:bottom w:val="single" w:sz="4" w:space="0" w:color="auto"/>
              <w:right w:val="single" w:sz="4" w:space="0" w:color="auto"/>
            </w:tcBorders>
          </w:tcPr>
          <w:p w:rsidR="0087762C" w:rsidRDefault="0087762C" w:rsidP="00255C36">
            <w:pPr>
              <w:pStyle w:val="NormalnyWeb"/>
              <w:spacing w:before="120" w:beforeAutospacing="0" w:after="0" w:line="240" w:lineRule="auto"/>
              <w:rPr>
                <w:sz w:val="22"/>
                <w:szCs w:val="22"/>
                <w:lang w:eastAsia="en-US"/>
              </w:rPr>
            </w:pPr>
          </w:p>
        </w:tc>
      </w:tr>
    </w:tbl>
    <w:p w:rsidR="0087762C" w:rsidRDefault="0087762C" w:rsidP="00717A58">
      <w:pPr>
        <w:pStyle w:val="Tekstpodstawowy"/>
        <w:tabs>
          <w:tab w:val="left" w:pos="424"/>
        </w:tabs>
        <w:spacing w:after="0"/>
        <w:ind w:firstLine="567"/>
        <w:jc w:val="both"/>
        <w:rPr>
          <w:rFonts w:eastAsia="Times New Roman"/>
        </w:rPr>
      </w:pPr>
    </w:p>
    <w:p w:rsidR="00F67D22" w:rsidRDefault="00717A58" w:rsidP="008832B6">
      <w:pPr>
        <w:pStyle w:val="Tekstpodstawowy"/>
        <w:widowControl/>
        <w:tabs>
          <w:tab w:val="left" w:pos="435"/>
        </w:tabs>
        <w:spacing w:after="0"/>
        <w:ind w:left="11"/>
        <w:jc w:val="both"/>
        <w:rPr>
          <w:rFonts w:eastAsia="Times New Roman"/>
        </w:rPr>
      </w:pPr>
      <w:r>
        <w:rPr>
          <w:rFonts w:eastAsia="Times New Roman"/>
        </w:rPr>
        <w:tab/>
      </w:r>
      <w:r w:rsidR="008832B6">
        <w:rPr>
          <w:rFonts w:eastAsia="Times New Roman"/>
        </w:rPr>
        <w:t xml:space="preserve">    </w:t>
      </w:r>
      <w:r>
        <w:rPr>
          <w:rFonts w:eastAsia="Times New Roman"/>
        </w:rPr>
        <w:t>3. W księdze wieczystej KW Nr TO1T/</w:t>
      </w:r>
      <w:r w:rsidR="00BC480A">
        <w:rPr>
          <w:rFonts w:eastAsia="Times New Roman"/>
        </w:rPr>
        <w:t>00046188/5</w:t>
      </w:r>
      <w:r>
        <w:rPr>
          <w:rFonts w:eastAsia="Times New Roman"/>
        </w:rPr>
        <w:t xml:space="preserve"> w </w:t>
      </w:r>
      <w:r w:rsidR="00BC480A">
        <w:rPr>
          <w:rFonts w:eastAsia="Times New Roman"/>
        </w:rPr>
        <w:t>„Dziale I-SP – Spis praw związanych z własnością” znajduje się wpis dot. ograniczonego prawa rzeczowego: „każdemu właścicielowi nieruchomości oznaczonej numerami działki 77 przysługuje służebność gruntowa przejścia i przejazdu przez nieruchomość oznaczon</w:t>
      </w:r>
      <w:r w:rsidR="000346CC">
        <w:rPr>
          <w:rFonts w:eastAsia="Times New Roman"/>
        </w:rPr>
        <w:t>ą</w:t>
      </w:r>
      <w:r w:rsidR="00BC480A">
        <w:rPr>
          <w:rFonts w:eastAsia="Times New Roman"/>
        </w:rPr>
        <w:t xml:space="preserve"> numerem działki 82 wchodzącą w skład nieruchomości zapisanej  w KW NR 31549. Służebność wykonywana będzie po pasie terenu obejmującym istniejącą drogę oraz części działki 82 si</w:t>
      </w:r>
      <w:r w:rsidR="00E00266">
        <w:rPr>
          <w:rFonts w:eastAsia="Times New Roman"/>
        </w:rPr>
        <w:t>ę</w:t>
      </w:r>
      <w:r w:rsidR="00BC480A">
        <w:rPr>
          <w:rFonts w:eastAsia="Times New Roman"/>
        </w:rPr>
        <w:t>gając</w:t>
      </w:r>
      <w:r w:rsidR="00E00266">
        <w:rPr>
          <w:rFonts w:eastAsia="Times New Roman"/>
        </w:rPr>
        <w:t>ą</w:t>
      </w:r>
      <w:r w:rsidR="00BC480A">
        <w:rPr>
          <w:rFonts w:eastAsia="Times New Roman"/>
        </w:rPr>
        <w:t xml:space="preserve"> od krawędzi drogi do jej granicy z działkami 80-79, zgodnie z treścią i na podstawie paragrafu 5 aktu notarialnego z dnia 12 grudnia 2003r. Rep. A Nr 8801/2003” oraz w </w:t>
      </w:r>
      <w:r>
        <w:rPr>
          <w:rFonts w:eastAsia="Times New Roman"/>
        </w:rPr>
        <w:t>„Dziale III - Prawa, roszczenia</w:t>
      </w:r>
      <w:r>
        <w:rPr>
          <w:rFonts w:eastAsia="Times New Roman"/>
        </w:rPr>
        <w:br/>
        <w:t>i ograniczenia” znajdują się wpisy dot. ograniczonego prawa rzeczowego</w:t>
      </w:r>
      <w:r w:rsidR="00E00266">
        <w:rPr>
          <w:rFonts w:eastAsia="Times New Roman"/>
        </w:rPr>
        <w:t>:</w:t>
      </w:r>
    </w:p>
    <w:p w:rsidR="0006032E" w:rsidRDefault="0006032E" w:rsidP="00F67D22">
      <w:pPr>
        <w:pStyle w:val="Tekstpodstawowy"/>
        <w:widowControl/>
        <w:tabs>
          <w:tab w:val="left" w:pos="435"/>
        </w:tabs>
        <w:spacing w:after="0"/>
        <w:ind w:left="11"/>
        <w:jc w:val="both"/>
        <w:rPr>
          <w:rFonts w:eastAsia="Times New Roman"/>
        </w:rPr>
      </w:pPr>
    </w:p>
    <w:p w:rsidR="00F67D22" w:rsidRDefault="00717A58" w:rsidP="00F67D22">
      <w:pPr>
        <w:pStyle w:val="Tekstpodstawowy"/>
        <w:widowControl/>
        <w:numPr>
          <w:ilvl w:val="1"/>
          <w:numId w:val="6"/>
        </w:numPr>
        <w:tabs>
          <w:tab w:val="left" w:pos="435"/>
        </w:tabs>
        <w:spacing w:after="0"/>
        <w:jc w:val="both"/>
        <w:rPr>
          <w:rFonts w:eastAsia="Times New Roman"/>
        </w:rPr>
      </w:pPr>
      <w:r>
        <w:rPr>
          <w:rFonts w:eastAsia="Times New Roman"/>
        </w:rPr>
        <w:t>„</w:t>
      </w:r>
      <w:r w:rsidR="00343267">
        <w:rPr>
          <w:rFonts w:eastAsia="Times New Roman"/>
        </w:rPr>
        <w:t xml:space="preserve">nieograniczona w czasie służebność </w:t>
      </w:r>
      <w:proofErr w:type="spellStart"/>
      <w:r w:rsidR="00343267">
        <w:rPr>
          <w:rFonts w:eastAsia="Times New Roman"/>
        </w:rPr>
        <w:t>przesyłu</w:t>
      </w:r>
      <w:proofErr w:type="spellEnd"/>
      <w:r w:rsidR="00343267">
        <w:rPr>
          <w:rFonts w:eastAsia="Times New Roman"/>
        </w:rPr>
        <w:t xml:space="preserve">  polecająca na: 1) znoszeniu istnienia posadowionych na działce nr 10/3 urządzeń elektroenergetycznych; 2) prawie do korzystania z nieruchomości obciążonej w zakresie niezbędnym do dokonywania konserwacji, remontów, modernizacji, usuwania awarii oraz przebudowy urządzeń  i instalacji elektroenergetycznych (jak również </w:t>
      </w:r>
      <w:r w:rsidR="00F67D22">
        <w:rPr>
          <w:rFonts w:eastAsia="Times New Roman"/>
        </w:rPr>
        <w:t xml:space="preserve">usytuowania w przyszłości kolejnych wyprowadzeń linii, w obszarze nieruchomości zajętym dotychczas przez urządzenia </w:t>
      </w:r>
      <w:r w:rsidR="00307AB0">
        <w:rPr>
          <w:rFonts w:eastAsia="Times New Roman"/>
        </w:rPr>
        <w:t>elektroenergetyczne</w:t>
      </w:r>
      <w:r w:rsidR="00F67D22">
        <w:rPr>
          <w:rFonts w:eastAsia="Times New Roman"/>
        </w:rPr>
        <w:t xml:space="preserve">) wraz  z prawem wejścia i wjazdu na teren odpowiednim sprzętem przez pracowników przedsiębiorstwa oraz przez wszystkie podmioty i osoby, którymi przedsiębiorstwo to posługuje się w związku z prowadzoną działalnością; - </w:t>
      </w:r>
      <w:r w:rsidR="00F67D22">
        <w:rPr>
          <w:rFonts w:eastAsia="Times New Roman"/>
        </w:rPr>
        <w:lastRenderedPageBreak/>
        <w:t>zgodnie z załącznikiem nr 1, załącznikiem nr 2 oraz załącznikiem nr 3 do umowy”,</w:t>
      </w:r>
    </w:p>
    <w:p w:rsidR="00054A77" w:rsidRDefault="00F67D22" w:rsidP="00054A77">
      <w:pPr>
        <w:pStyle w:val="Tekstpodstawowy"/>
        <w:widowControl/>
        <w:numPr>
          <w:ilvl w:val="1"/>
          <w:numId w:val="6"/>
        </w:numPr>
        <w:tabs>
          <w:tab w:val="left" w:pos="435"/>
        </w:tabs>
        <w:spacing w:after="0"/>
        <w:jc w:val="both"/>
        <w:rPr>
          <w:rFonts w:eastAsia="Times New Roman"/>
        </w:rPr>
      </w:pPr>
      <w:r>
        <w:rPr>
          <w:rFonts w:eastAsia="Times New Roman"/>
        </w:rPr>
        <w:t xml:space="preserve">„nieograniczona w czasie służebność </w:t>
      </w:r>
      <w:proofErr w:type="spellStart"/>
      <w:r>
        <w:rPr>
          <w:rFonts w:eastAsia="Times New Roman"/>
        </w:rPr>
        <w:t>przesyłu</w:t>
      </w:r>
      <w:proofErr w:type="spellEnd"/>
      <w:r>
        <w:rPr>
          <w:rFonts w:eastAsia="Times New Roman"/>
        </w:rPr>
        <w:t>, która wykonywania będzie pasem gruntu o łącznej powierzchni 34 m</w:t>
      </w:r>
      <w:r w:rsidRPr="00F67D22">
        <w:rPr>
          <w:rFonts w:eastAsia="Times New Roman"/>
          <w:vertAlign w:val="superscript"/>
        </w:rPr>
        <w:t>2</w:t>
      </w:r>
      <w:r>
        <w:rPr>
          <w:rFonts w:eastAsia="Times New Roman"/>
        </w:rPr>
        <w:t>- 0,5 m</w:t>
      </w:r>
      <w:r w:rsidRPr="00F67D22">
        <w:rPr>
          <w:rFonts w:eastAsia="Times New Roman"/>
          <w:vertAlign w:val="superscript"/>
        </w:rPr>
        <w:t>2</w:t>
      </w:r>
      <w:r>
        <w:rPr>
          <w:rFonts w:eastAsia="Times New Roman"/>
        </w:rPr>
        <w:t xml:space="preserve"> na działce 132/43 i 33,5 m</w:t>
      </w:r>
      <w:r w:rsidRPr="00F67D22">
        <w:rPr>
          <w:rFonts w:eastAsia="Times New Roman"/>
          <w:vertAlign w:val="superscript"/>
        </w:rPr>
        <w:t>2</w:t>
      </w:r>
      <w:r>
        <w:rPr>
          <w:rFonts w:eastAsia="Times New Roman"/>
        </w:rPr>
        <w:t xml:space="preserve"> na działce 132/46 – zgodnie z załącznikami mapowym</w:t>
      </w:r>
      <w:r w:rsidR="000346CC">
        <w:rPr>
          <w:rFonts w:eastAsia="Times New Roman"/>
        </w:rPr>
        <w:t>i</w:t>
      </w:r>
      <w:r>
        <w:rPr>
          <w:rFonts w:eastAsia="Times New Roman"/>
        </w:rPr>
        <w:t>, polegająca na prawie</w:t>
      </w:r>
      <w:r w:rsidR="00054A77">
        <w:rPr>
          <w:rFonts w:eastAsia="Times New Roman"/>
        </w:rPr>
        <w:br/>
      </w:r>
      <w:r>
        <w:rPr>
          <w:rFonts w:eastAsia="Times New Roman"/>
        </w:rPr>
        <w:t xml:space="preserve">do: 1) wybudowania i trwałego utrzymywania: ½ rozdzielni kablowej na </w:t>
      </w:r>
      <w:r w:rsidR="00054A77">
        <w:rPr>
          <w:rFonts w:eastAsia="Times New Roman"/>
        </w:rPr>
        <w:t>działce</w:t>
      </w:r>
      <w:r>
        <w:rPr>
          <w:rFonts w:eastAsia="Times New Roman"/>
        </w:rPr>
        <w:t xml:space="preserve"> nr 132/43 (z</w:t>
      </w:r>
      <w:r w:rsidR="00054A77">
        <w:rPr>
          <w:rFonts w:eastAsia="Times New Roman"/>
        </w:rPr>
        <w:t>a</w:t>
      </w:r>
      <w:r>
        <w:rPr>
          <w:rFonts w:eastAsia="Times New Roman"/>
        </w:rPr>
        <w:t>łącznik nr 1)</w:t>
      </w:r>
      <w:r w:rsidR="00054A77">
        <w:rPr>
          <w:rFonts w:eastAsia="Times New Roman"/>
        </w:rPr>
        <w:t xml:space="preserve"> oraz ½ rozdzielni kablowej (załącznik nr 3) linii NN i SN służących do </w:t>
      </w:r>
      <w:proofErr w:type="spellStart"/>
      <w:r w:rsidR="00054A77">
        <w:rPr>
          <w:rFonts w:eastAsia="Times New Roman"/>
        </w:rPr>
        <w:t>przesyłu</w:t>
      </w:r>
      <w:proofErr w:type="spellEnd"/>
      <w:r w:rsidR="00054A77">
        <w:rPr>
          <w:rFonts w:eastAsia="Times New Roman"/>
        </w:rPr>
        <w:t xml:space="preserve"> energii elektrycznej  oraz małogabarytowej stacji transformatorowej na działce 132/46 (załącznik nr 2), 2) korzystania z nieruchomości obciążonej w zakresie niezbędnym do dokonywania konserwacji, remontów, modernizacji, usuwania awarii oraz przebudowy urządzeń  i instalacji elektroenergetycznych (jak również usytuowania w przyszłości kolejnych wyprowadzeń linii, w obszarze nieruchomości zajętym dotychczas przez urządzenia </w:t>
      </w:r>
      <w:r w:rsidR="00307AB0">
        <w:rPr>
          <w:rFonts w:eastAsia="Times New Roman"/>
        </w:rPr>
        <w:t>elektroenergetyczne</w:t>
      </w:r>
      <w:r w:rsidR="00054A77">
        <w:rPr>
          <w:rFonts w:eastAsia="Times New Roman"/>
        </w:rPr>
        <w:t>) wraz  z prawem wejścia</w:t>
      </w:r>
      <w:r w:rsidR="00054A77">
        <w:rPr>
          <w:rFonts w:eastAsia="Times New Roman"/>
        </w:rPr>
        <w:br/>
        <w:t>i wjazdu na teren odpowiednim sprzętem przez pracowników przedsiębiorcy oraz przez wszystkie podmioty i osoby, którymi przedsiębiorca posługuje się w związku z prowadzoną działalnością.</w:t>
      </w:r>
    </w:p>
    <w:p w:rsidR="00717A58" w:rsidRDefault="00717A58" w:rsidP="00717A58">
      <w:pPr>
        <w:pStyle w:val="Tekstpodstawowy"/>
        <w:widowControl/>
        <w:tabs>
          <w:tab w:val="left" w:pos="435"/>
        </w:tabs>
        <w:spacing w:after="0"/>
        <w:ind w:left="11"/>
        <w:jc w:val="both"/>
        <w:rPr>
          <w:rFonts w:eastAsia="Times New Roman"/>
        </w:rPr>
      </w:pPr>
      <w:r>
        <w:rPr>
          <w:rFonts w:eastAsia="Times New Roman"/>
        </w:rPr>
        <w:t xml:space="preserve">       </w:t>
      </w:r>
      <w:r w:rsidR="00054A77">
        <w:rPr>
          <w:rFonts w:eastAsia="Times New Roman"/>
        </w:rPr>
        <w:t>4</w:t>
      </w:r>
      <w:r>
        <w:rPr>
          <w:rFonts w:eastAsia="Times New Roman"/>
        </w:rPr>
        <w:t>. Opisane powyżej służebności nie są wykonywane na zbywanych nieruchomościach.</w:t>
      </w:r>
    </w:p>
    <w:p w:rsidR="00717A58" w:rsidRDefault="00717A58" w:rsidP="00717A58">
      <w:pPr>
        <w:pStyle w:val="Tekstpodstawowy"/>
        <w:widowControl/>
        <w:tabs>
          <w:tab w:val="left" w:pos="435"/>
        </w:tabs>
        <w:spacing w:after="0"/>
        <w:ind w:left="11"/>
        <w:jc w:val="both"/>
        <w:rPr>
          <w:rFonts w:eastAsia="Times New Roman"/>
        </w:rPr>
      </w:pPr>
      <w:r>
        <w:rPr>
          <w:rFonts w:eastAsia="Times New Roman"/>
        </w:rPr>
        <w:tab/>
      </w:r>
    </w:p>
    <w:p w:rsidR="00C6413A" w:rsidRPr="001D6BAF" w:rsidRDefault="00717A58" w:rsidP="00C6413A">
      <w:pPr>
        <w:jc w:val="both"/>
      </w:pPr>
      <w:r>
        <w:rPr>
          <w:rFonts w:eastAsia="Times New Roman"/>
        </w:rPr>
        <w:tab/>
        <w:t xml:space="preserve">§3.1 </w:t>
      </w:r>
      <w:r w:rsidR="00C6413A" w:rsidRPr="001D6BAF">
        <w:t xml:space="preserve">Zgodnie z obowiązującym miejscowym planem zagospodarowania przestrzennego dla terenów położonych w rejonie ulic: Ciekawej i Gminnej  w Toruniu zatwierdzonym Uchwałą Nr 897/22 Rady Miasta Torunia  z dnia </w:t>
      </w:r>
      <w:r w:rsidR="00C6413A">
        <w:t>21</w:t>
      </w:r>
      <w:r w:rsidR="00C6413A" w:rsidRPr="001D6BAF">
        <w:t xml:space="preserve"> lipca 2022r., działki położone są</w:t>
      </w:r>
      <w:r w:rsidR="0027301E">
        <w:br/>
      </w:r>
      <w:r w:rsidR="00C6413A" w:rsidRPr="001D6BAF">
        <w:t>w granicach jednostki przestrzennej oznaczonej symbol</w:t>
      </w:r>
      <w:r w:rsidR="008832B6">
        <w:t>em</w:t>
      </w:r>
      <w:r w:rsidR="00C6413A" w:rsidRPr="001D6BAF">
        <w:t>:</w:t>
      </w:r>
      <w:r w:rsidR="008832B6">
        <w:t xml:space="preserve"> </w:t>
      </w:r>
      <w:r w:rsidR="00C6413A" w:rsidRPr="008832B6">
        <w:rPr>
          <w:b/>
        </w:rPr>
        <w:t>157.14–U3</w:t>
      </w:r>
      <w:r w:rsidR="008832B6">
        <w:rPr>
          <w:b/>
        </w:rPr>
        <w:t xml:space="preserve">, </w:t>
      </w:r>
      <w:r w:rsidR="008832B6" w:rsidRPr="008832B6">
        <w:t>dla której</w:t>
      </w:r>
      <w:r w:rsidR="008832B6">
        <w:rPr>
          <w:b/>
        </w:rPr>
        <w:t xml:space="preserve"> </w:t>
      </w:r>
      <w:r w:rsidR="00C6413A" w:rsidRPr="001D6BAF">
        <w:t>plan ustala:</w:t>
      </w:r>
    </w:p>
    <w:p w:rsidR="00C6413A" w:rsidRPr="001D6BAF" w:rsidRDefault="00C6413A" w:rsidP="00E935DC">
      <w:pPr>
        <w:jc w:val="both"/>
      </w:pPr>
      <w:r w:rsidRPr="001D6BAF">
        <w:t xml:space="preserve"> - </w:t>
      </w:r>
      <w:r w:rsidRPr="008832B6">
        <w:rPr>
          <w:u w:val="single"/>
        </w:rPr>
        <w:t>przeznaczenie podstawowe</w:t>
      </w:r>
      <w:r w:rsidRPr="001D6BAF">
        <w:t xml:space="preserve">: </w:t>
      </w:r>
      <w:r w:rsidRPr="008832B6">
        <w:rPr>
          <w:i/>
        </w:rPr>
        <w:t>teren</w:t>
      </w:r>
      <w:r w:rsidRPr="001D6BAF">
        <w:rPr>
          <w:i/>
        </w:rPr>
        <w:t xml:space="preserve"> zabudowy usługowej </w:t>
      </w:r>
      <w:r w:rsidRPr="001D6BAF">
        <w:t xml:space="preserve">oraz </w:t>
      </w:r>
      <w:r w:rsidRPr="008832B6">
        <w:rPr>
          <w:u w:val="single"/>
        </w:rPr>
        <w:t>przeznaczenie dopuszczalne</w:t>
      </w:r>
      <w:r w:rsidRPr="001D6BAF">
        <w:t xml:space="preserve">: </w:t>
      </w:r>
      <w:r w:rsidRPr="001D6BAF">
        <w:rPr>
          <w:i/>
        </w:rPr>
        <w:t xml:space="preserve">obiekty produkcyjne, składy i magazyny, infrastruktura techniczna, drogi wewnętrzne.  </w:t>
      </w:r>
      <w:r w:rsidRPr="001D6BAF">
        <w:t>Przedmiotowy teren jest wyłączony z możliwości zagospodarowania pod funkcje mieszkaniowe integralnie związane z prowadzoną działalnością gospodarczą z zakresu przeznaczenia podstawowego,</w:t>
      </w:r>
    </w:p>
    <w:p w:rsidR="00C6413A" w:rsidRPr="001D6BAF" w:rsidRDefault="00C6413A" w:rsidP="00E935DC">
      <w:pPr>
        <w:jc w:val="both"/>
      </w:pPr>
      <w:r w:rsidRPr="001D6BAF">
        <w:t>- maksymalna wysokość zabudowy – 15,5 m,</w:t>
      </w:r>
    </w:p>
    <w:p w:rsidR="00C6413A" w:rsidRPr="001D6BAF" w:rsidRDefault="00C6413A" w:rsidP="00E935DC">
      <w:pPr>
        <w:jc w:val="both"/>
      </w:pPr>
      <w:r w:rsidRPr="001D6BAF">
        <w:t>- geometria dachów – dachy płaskie lub spadowe o nachyleniu połaci do 30</w:t>
      </w:r>
      <w:r w:rsidRPr="001D6BAF">
        <w:rPr>
          <w:vertAlign w:val="superscript"/>
        </w:rPr>
        <w:t>o</w:t>
      </w:r>
      <w:r w:rsidRPr="001D6BAF">
        <w:t xml:space="preserve"> ,</w:t>
      </w:r>
    </w:p>
    <w:p w:rsidR="00C6413A" w:rsidRPr="001D6BAF" w:rsidRDefault="00C6413A" w:rsidP="00E935DC">
      <w:pPr>
        <w:jc w:val="both"/>
      </w:pPr>
      <w:r w:rsidRPr="001D6BAF">
        <w:t>- zakaz składowania materiałów sypkich i lotnych na otwartym terenie</w:t>
      </w:r>
      <w:r w:rsidR="008832B6">
        <w:t>.</w:t>
      </w:r>
    </w:p>
    <w:p w:rsidR="00D42FE4" w:rsidRDefault="00DA4753" w:rsidP="00E935DC">
      <w:pPr>
        <w:ind w:right="-1" w:firstLine="708"/>
        <w:jc w:val="both"/>
      </w:pPr>
      <w:r>
        <w:t>2</w:t>
      </w:r>
      <w:r w:rsidR="00D6414D" w:rsidRPr="00DA4753">
        <w:t xml:space="preserve">. Zgodnie z zapisami planu miejscowego obsługa komunikacyjna działek winna odbywać się z dróg publicznych – zgodnie z odrębnymi przepisami.  Na obecnym etapie </w:t>
      </w:r>
      <w:r>
        <w:t xml:space="preserve">droga </w:t>
      </w:r>
      <w:r w:rsidR="00307AB0">
        <w:t>dojazdowa</w:t>
      </w:r>
      <w:r>
        <w:t xml:space="preserve"> jest urządzon</w:t>
      </w:r>
      <w:r w:rsidR="00307AB0">
        <w:t>a</w:t>
      </w:r>
      <w:r>
        <w:t xml:space="preserve"> </w:t>
      </w:r>
      <w:r w:rsidR="00D6414D" w:rsidRPr="00DA4753">
        <w:t xml:space="preserve">w jednostce przestrzennej  157.14-KD(D)15 oraz w </w:t>
      </w:r>
      <w:r>
        <w:t xml:space="preserve">części jednostki 157.14-KD(L)14 </w:t>
      </w:r>
      <w:r w:rsidR="00D6414D" w:rsidRPr="00DA4753">
        <w:t>- ul. Świdnicka</w:t>
      </w:r>
      <w:r w:rsidR="00E75123">
        <w:t xml:space="preserve">. Działki geod. nr </w:t>
      </w:r>
      <w:r w:rsidR="00D6414D" w:rsidRPr="00DA4753">
        <w:t xml:space="preserve"> 132/64, 132/65, </w:t>
      </w:r>
      <w:r w:rsidR="00E75123">
        <w:t>położone są przy ul. Projektowanej CLXXXIX, nie posiadającej nawierzchni utwardzonej. Nie posiada ona statusu drogi publicznej, jednak zgodnie z postanowienia miejscowego planu zagospodarowania przestrzennego</w:t>
      </w:r>
      <w:r w:rsidR="00D6414D" w:rsidRPr="00DA4753">
        <w:t xml:space="preserve"> </w:t>
      </w:r>
      <w:r w:rsidR="00E75123">
        <w:t xml:space="preserve"> obowiązującego</w:t>
      </w:r>
      <w:r w:rsidR="000F18C6">
        <w:t xml:space="preserve"> na opisanym obszarze  znajduje się w jednostce planistycznej </w:t>
      </w:r>
      <w:r w:rsidR="00E513BB">
        <w:t>157.14-KD(L)14</w:t>
      </w:r>
      <w:r w:rsidR="006172C2">
        <w:t>, oznaczonej jako teren komunikacji – droga publiczna – ulica lokalna. Z tego względu w przypadku podjęcia przez nabywcę działań inwestycyjnych na nabytej nieruchomości, Gmina Miasta Toruń, wyrazi zgodę na korzystanie z nieruchomości stanowiącej pas drogowy ul. Projektowanej CLXXXIX (</w:t>
      </w:r>
      <w:r w:rsidR="001E44F2">
        <w:t>działka nr 132/63) celem wykonania prac budowalnych polegających na utwardzeniu terenu i wykonania dojazdu do nabytej nieruchomości oraz przeprowadzenia działań niezbędnych do realizacji dojazdu</w:t>
      </w:r>
      <w:r w:rsidR="00D42FE4">
        <w:t>. Prace te zostaną przeprowadzone na koszt i staraniem nabywcy nieruchomości.</w:t>
      </w:r>
    </w:p>
    <w:p w:rsidR="00DA4753" w:rsidRDefault="00D42FE4" w:rsidP="00D42FE4">
      <w:pPr>
        <w:ind w:right="-1"/>
        <w:jc w:val="both"/>
      </w:pPr>
      <w:r>
        <w:t xml:space="preserve">Ponadto w przypadku urządzenia zjazdu do nieruchomości jej nabywca przed jego realizacją powinien uzyskać zgodę Gminy Miasta Toruń na lokalizację zjazdu poprzedzoną pozytywną opinią Miejskiego Zarządu Dróg w Toruniu. </w:t>
      </w:r>
    </w:p>
    <w:p w:rsidR="00756B8B" w:rsidRPr="00756B8B" w:rsidRDefault="00756B8B" w:rsidP="00E935DC">
      <w:pPr>
        <w:ind w:right="-1" w:firstLine="708"/>
        <w:jc w:val="both"/>
      </w:pPr>
      <w:r>
        <w:t xml:space="preserve">3. </w:t>
      </w:r>
      <w:r w:rsidR="005D774D" w:rsidRPr="00756B8B">
        <w:t xml:space="preserve">Nieruchomości </w:t>
      </w:r>
      <w:r w:rsidR="002D6E23" w:rsidRPr="00756B8B">
        <w:t xml:space="preserve">będące przedmiotem sprzedaży </w:t>
      </w:r>
      <w:r w:rsidR="005D774D" w:rsidRPr="00756B8B">
        <w:t>znajdują się w zasięgu sieci infrastruktury technicznej</w:t>
      </w:r>
      <w:r w:rsidRPr="00756B8B">
        <w:t xml:space="preserve">: wodociągowej, kanalizacyjnej, energii elektrycznej i gazowej </w:t>
      </w:r>
      <w:r w:rsidR="005D774D" w:rsidRPr="00756B8B">
        <w:t xml:space="preserve"> </w:t>
      </w:r>
      <w:r w:rsidR="005D774D" w:rsidRPr="00756B8B">
        <w:lastRenderedPageBreak/>
        <w:t>zlokalizowanej w przyległy</w:t>
      </w:r>
      <w:r w:rsidRPr="00756B8B">
        <w:t>m</w:t>
      </w:r>
      <w:r w:rsidR="005D774D" w:rsidRPr="00756B8B">
        <w:t xml:space="preserve"> pas</w:t>
      </w:r>
      <w:r w:rsidRPr="00756B8B">
        <w:t>ie</w:t>
      </w:r>
      <w:r w:rsidR="005D774D" w:rsidRPr="00756B8B">
        <w:t xml:space="preserve"> drogowy</w:t>
      </w:r>
      <w:r w:rsidRPr="00756B8B">
        <w:t>m</w:t>
      </w:r>
      <w:r w:rsidR="002D6E23" w:rsidRPr="00756B8B">
        <w:t xml:space="preserve"> – ul. Świdnickiej</w:t>
      </w:r>
      <w:r w:rsidRPr="00756B8B">
        <w:t>.</w:t>
      </w:r>
    </w:p>
    <w:p w:rsidR="00BD3AC8" w:rsidRPr="00756B8B" w:rsidRDefault="00BD3AC8" w:rsidP="00E935DC">
      <w:pPr>
        <w:ind w:firstLine="708"/>
        <w:jc w:val="both"/>
      </w:pPr>
    </w:p>
    <w:p w:rsidR="00E935DC" w:rsidRDefault="00717A58" w:rsidP="00717A58">
      <w:pPr>
        <w:pStyle w:val="Tekstpodstawowy"/>
        <w:spacing w:after="0"/>
        <w:ind w:firstLine="708"/>
        <w:jc w:val="both"/>
        <w:rPr>
          <w:rFonts w:eastAsia="Times New Roman"/>
        </w:rPr>
      </w:pPr>
      <w:r>
        <w:rPr>
          <w:rFonts w:eastAsia="Times New Roman"/>
        </w:rPr>
        <w:t xml:space="preserve">§4.1. </w:t>
      </w:r>
      <w:r>
        <w:rPr>
          <w:rFonts w:eastAsia="Times New Roman"/>
          <w:lang w:bidi="pl-PL"/>
        </w:rPr>
        <w:t>Zbywan</w:t>
      </w:r>
      <w:r w:rsidR="005C716E">
        <w:rPr>
          <w:rFonts w:eastAsia="Times New Roman"/>
          <w:lang w:bidi="pl-PL"/>
        </w:rPr>
        <w:t>e</w:t>
      </w:r>
      <w:r>
        <w:rPr>
          <w:rFonts w:eastAsia="Times New Roman"/>
          <w:lang w:bidi="pl-PL"/>
        </w:rPr>
        <w:t xml:space="preserve"> grunt</w:t>
      </w:r>
      <w:r w:rsidR="005C716E">
        <w:rPr>
          <w:rFonts w:eastAsia="Times New Roman"/>
          <w:lang w:bidi="pl-PL"/>
        </w:rPr>
        <w:t>y są</w:t>
      </w:r>
      <w:r>
        <w:rPr>
          <w:rFonts w:eastAsia="Times New Roman"/>
        </w:rPr>
        <w:t xml:space="preserve"> niezabudowan</w:t>
      </w:r>
      <w:r w:rsidR="005C716E">
        <w:rPr>
          <w:rFonts w:eastAsia="Times New Roman"/>
        </w:rPr>
        <w:t>e</w:t>
      </w:r>
      <w:r>
        <w:rPr>
          <w:rFonts w:eastAsia="Times New Roman"/>
        </w:rPr>
        <w:t>, niezagospodarowan</w:t>
      </w:r>
      <w:r w:rsidR="005C716E">
        <w:rPr>
          <w:rFonts w:eastAsia="Times New Roman"/>
        </w:rPr>
        <w:t>e</w:t>
      </w:r>
      <w:r>
        <w:rPr>
          <w:rFonts w:eastAsia="Times New Roman"/>
        </w:rPr>
        <w:t>, porośnięt</w:t>
      </w:r>
      <w:r w:rsidR="005C716E">
        <w:rPr>
          <w:rFonts w:eastAsia="Times New Roman"/>
        </w:rPr>
        <w:t>e</w:t>
      </w:r>
      <w:r>
        <w:rPr>
          <w:rFonts w:eastAsia="Times New Roman"/>
        </w:rPr>
        <w:t xml:space="preserve"> </w:t>
      </w:r>
      <w:r w:rsidR="00830046">
        <w:rPr>
          <w:rFonts w:eastAsia="Times New Roman"/>
        </w:rPr>
        <w:t>pojedynczymi drzewami i krzewami (samosiejki)</w:t>
      </w:r>
      <w:r w:rsidR="00E935DC">
        <w:rPr>
          <w:rFonts w:eastAsia="Times New Roman"/>
        </w:rPr>
        <w:t xml:space="preserve"> </w:t>
      </w:r>
      <w:r w:rsidR="00830046">
        <w:rPr>
          <w:rFonts w:eastAsia="Times New Roman"/>
        </w:rPr>
        <w:t>położon</w:t>
      </w:r>
      <w:r w:rsidR="005C716E">
        <w:rPr>
          <w:rFonts w:eastAsia="Times New Roman"/>
        </w:rPr>
        <w:t>e</w:t>
      </w:r>
      <w:r w:rsidR="00830046">
        <w:rPr>
          <w:rFonts w:eastAsia="Times New Roman"/>
        </w:rPr>
        <w:t xml:space="preserve"> powyżej poziomu sąsiednich nieruchomości m.in. od strony ul. Świdnickiej / Przel</w:t>
      </w:r>
      <w:r w:rsidR="00E935DC">
        <w:rPr>
          <w:rFonts w:eastAsia="Times New Roman"/>
        </w:rPr>
        <w:t>o</w:t>
      </w:r>
      <w:r w:rsidR="00830046">
        <w:rPr>
          <w:rFonts w:eastAsia="Times New Roman"/>
        </w:rPr>
        <w:t>t</w:t>
      </w:r>
      <w:r w:rsidR="00E935DC">
        <w:rPr>
          <w:rFonts w:eastAsia="Times New Roman"/>
        </w:rPr>
        <w:t>. W sąsiedztwie znajdują się działki niezabudowane (przeznaczone w planie miejscowym pod usługi / działalność gospodarczą), siedziby firm, magazyny (istniejące i w trakcie budowy) nieco dalej przy ul. Przelot zabudowa mieszkalna jednorodzinna. W odległości ok. 800 m (w rejonie ul. Przelot / Odległej) duże obiekty magazynowe – centra dystrybucji. Przystanki komunikacji samochodowej przy</w:t>
      </w:r>
      <w:r w:rsidR="000346CC">
        <w:rPr>
          <w:rFonts w:eastAsia="Times New Roman"/>
        </w:rPr>
        <w:br/>
      </w:r>
      <w:r w:rsidR="00E935DC">
        <w:rPr>
          <w:rFonts w:eastAsia="Times New Roman"/>
        </w:rPr>
        <w:t xml:space="preserve">ul. Przelot, w dalszej odległości rozwinięta baza handlowo-usługowa. </w:t>
      </w:r>
      <w:r w:rsidR="005A3D29">
        <w:rPr>
          <w:rFonts w:eastAsia="Times New Roman"/>
        </w:rPr>
        <w:t>W</w:t>
      </w:r>
      <w:r w:rsidR="00E935DC">
        <w:rPr>
          <w:rFonts w:eastAsia="Times New Roman"/>
        </w:rPr>
        <w:t>zdłuż południowej granicy działki</w:t>
      </w:r>
      <w:r w:rsidR="005A3D29">
        <w:rPr>
          <w:rFonts w:eastAsia="Times New Roman"/>
        </w:rPr>
        <w:t xml:space="preserve"> nr 13</w:t>
      </w:r>
      <w:r w:rsidR="00117153">
        <w:rPr>
          <w:rFonts w:eastAsia="Times New Roman"/>
        </w:rPr>
        <w:t>2/64 i przyległej do niej sąsiedniej działki nr 132/47 mocno ”ścięto” skarpę</w:t>
      </w:r>
      <w:r w:rsidR="007B5101">
        <w:rPr>
          <w:rFonts w:eastAsia="Times New Roman"/>
        </w:rPr>
        <w:t xml:space="preserve"> </w:t>
      </w:r>
      <w:r w:rsidR="00117153">
        <w:rPr>
          <w:rFonts w:eastAsia="Times New Roman"/>
        </w:rPr>
        <w:t>i wybrano ziemię.</w:t>
      </w:r>
    </w:p>
    <w:p w:rsidR="005C716E" w:rsidRPr="005C716E" w:rsidRDefault="005C716E" w:rsidP="009C6557">
      <w:pPr>
        <w:pStyle w:val="Tekstpodstawowy"/>
        <w:numPr>
          <w:ilvl w:val="0"/>
          <w:numId w:val="10"/>
        </w:numPr>
        <w:tabs>
          <w:tab w:val="left" w:pos="1134"/>
        </w:tabs>
        <w:spacing w:after="0"/>
        <w:ind w:left="0" w:firstLine="710"/>
        <w:jc w:val="both"/>
        <w:rPr>
          <w:rFonts w:eastAsia="Times New Roman"/>
        </w:rPr>
      </w:pPr>
      <w:r>
        <w:t>Działki będące przedmiotem sprzedaży położone są w widłach Strugi Toruńskiej</w:t>
      </w:r>
      <w:r>
        <w:br/>
        <w:t>i Strugi Lubickiej. Jest to teren wododziałowy pomiędzy zlewniami tych rzek.</w:t>
      </w:r>
      <w:r>
        <w:br/>
        <w:t>Od północy tereny inwestycyjne ograniczone są doliną Strugi Toruńskiej prawego dopływu Wisły, natomiast na południe od terenów inwestycyjnych – w rejonie ulicy Przesmyk przepływa Strugą Lubicką prawy dopływ Drwęcy.</w:t>
      </w:r>
      <w:r w:rsidR="009C6557">
        <w:t xml:space="preserve"> Z uwagi na zróżnicowaną budowę geologiczną</w:t>
      </w:r>
      <w:r w:rsidR="009C6557">
        <w:br/>
        <w:t>i warunki wodne, na etapie projektowania konkretnej zabudowy oraz infrastruktury technicznej zaleca się wykonanie szczegółowych badań geologiczno-inżynierskich w celu dokładniejszego rozpoznania geotechnicznych warunków posadowienia poszczególnych obiektów budowlanych, w tym przede wszystkim w nawiązaniu do ich wymagań konstrukcyjnych.</w:t>
      </w:r>
    </w:p>
    <w:p w:rsidR="00717A58" w:rsidRDefault="005C716E" w:rsidP="005A3D29">
      <w:pPr>
        <w:pStyle w:val="Tekstpodstawowy"/>
        <w:spacing w:after="0"/>
        <w:ind w:firstLine="708"/>
        <w:jc w:val="both"/>
      </w:pPr>
      <w:r>
        <w:rPr>
          <w:color w:val="000000"/>
        </w:rPr>
        <w:t>3</w:t>
      </w:r>
      <w:r w:rsidR="00717A58">
        <w:rPr>
          <w:color w:val="000000"/>
        </w:rPr>
        <w:t>.</w:t>
      </w:r>
      <w:r w:rsidR="00717A58">
        <w:t xml:space="preserve"> Przed przystąpieniem do przetargu jego uczestnik winien we własnym zakresie ustalić możliwość realizacji na nieruchomości planowanego przedsięwzięcia oraz jego zgodność</w:t>
      </w:r>
      <w:r w:rsidR="00717A58">
        <w:br/>
        <w:t>z przepisami odrębnymi.</w:t>
      </w:r>
    </w:p>
    <w:p w:rsidR="00717A58" w:rsidRDefault="00717A58" w:rsidP="00717A58">
      <w:pPr>
        <w:pStyle w:val="Tekstpodstawowy"/>
        <w:widowControl/>
        <w:tabs>
          <w:tab w:val="left" w:pos="435"/>
        </w:tabs>
        <w:spacing w:after="0" w:line="276" w:lineRule="auto"/>
        <w:ind w:left="11" w:firstLine="567"/>
        <w:jc w:val="both"/>
      </w:pPr>
    </w:p>
    <w:p w:rsidR="009C6557" w:rsidRDefault="00717A58" w:rsidP="00D42FE4">
      <w:pPr>
        <w:pStyle w:val="Tekstpodstawowy"/>
        <w:tabs>
          <w:tab w:val="left" w:pos="424"/>
        </w:tabs>
        <w:spacing w:after="0" w:line="360" w:lineRule="auto"/>
        <w:ind w:firstLine="567"/>
        <w:rPr>
          <w:rFonts w:eastAsia="Times New Roman"/>
        </w:rPr>
      </w:pPr>
      <w:r>
        <w:rPr>
          <w:rFonts w:eastAsia="Times New Roman"/>
        </w:rPr>
        <w:t xml:space="preserve">§5.1.Ustala się następujące warunki </w:t>
      </w:r>
      <w:r w:rsidR="009C6557">
        <w:rPr>
          <w:rFonts w:eastAsia="Times New Roman"/>
        </w:rPr>
        <w:t xml:space="preserve">i kolejność </w:t>
      </w:r>
      <w:r>
        <w:rPr>
          <w:rFonts w:eastAsia="Times New Roman"/>
        </w:rPr>
        <w:t>przetarg</w:t>
      </w:r>
      <w:r w:rsidR="009C6557">
        <w:rPr>
          <w:rFonts w:eastAsia="Times New Roman"/>
        </w:rPr>
        <w:t>ów</w:t>
      </w:r>
      <w:r>
        <w:rPr>
          <w:rFonts w:eastAsia="Times New Roman"/>
        </w:rPr>
        <w:t>:</w:t>
      </w:r>
    </w:p>
    <w:tbl>
      <w:tblPr>
        <w:tblpPr w:leftFromText="141" w:rightFromText="141" w:vertAnchor="text" w:horzAnchor="margin" w:tblpXSpec="center" w:tblpY="74"/>
        <w:tblW w:w="9165" w:type="dxa"/>
        <w:tblLayout w:type="fixed"/>
        <w:tblCellMar>
          <w:left w:w="70" w:type="dxa"/>
          <w:right w:w="70" w:type="dxa"/>
        </w:tblCellMar>
        <w:tblLook w:val="04A0" w:firstRow="1" w:lastRow="0" w:firstColumn="1" w:lastColumn="0" w:noHBand="0" w:noVBand="1"/>
      </w:tblPr>
      <w:tblGrid>
        <w:gridCol w:w="659"/>
        <w:gridCol w:w="2656"/>
        <w:gridCol w:w="1328"/>
        <w:gridCol w:w="1327"/>
        <w:gridCol w:w="1731"/>
        <w:gridCol w:w="1464"/>
      </w:tblGrid>
      <w:tr w:rsidR="009C6557" w:rsidRPr="00D42FE4" w:rsidTr="00387F8C">
        <w:trPr>
          <w:trHeight w:val="373"/>
        </w:trPr>
        <w:tc>
          <w:tcPr>
            <w:tcW w:w="659" w:type="dxa"/>
            <w:vMerge w:val="restart"/>
            <w:tcBorders>
              <w:top w:val="single" w:sz="4" w:space="0" w:color="000000"/>
              <w:left w:val="single" w:sz="4" w:space="0" w:color="000000"/>
              <w:right w:val="nil"/>
            </w:tcBorders>
          </w:tcPr>
          <w:p w:rsidR="009C6557" w:rsidRPr="0033335F" w:rsidRDefault="009C6557" w:rsidP="00D42FE4">
            <w:pPr>
              <w:pStyle w:val="WW-Zawartotabeli11"/>
              <w:snapToGrid w:val="0"/>
              <w:spacing w:before="120" w:line="240" w:lineRule="auto"/>
              <w:rPr>
                <w:sz w:val="22"/>
                <w:szCs w:val="22"/>
                <w:lang w:eastAsia="en-US"/>
              </w:rPr>
            </w:pPr>
            <w:r w:rsidRPr="0033335F">
              <w:rPr>
                <w:sz w:val="22"/>
                <w:szCs w:val="22"/>
                <w:lang w:eastAsia="en-US"/>
              </w:rPr>
              <w:t>Lp.</w:t>
            </w:r>
          </w:p>
          <w:p w:rsidR="009C6557" w:rsidRPr="0033335F" w:rsidRDefault="009C6557" w:rsidP="00D42FE4">
            <w:pPr>
              <w:pStyle w:val="WW-Zawartotabeli11"/>
              <w:spacing w:before="120" w:line="240" w:lineRule="auto"/>
              <w:jc w:val="right"/>
              <w:rPr>
                <w:sz w:val="22"/>
                <w:szCs w:val="22"/>
                <w:lang w:eastAsia="en-US"/>
              </w:rPr>
            </w:pPr>
          </w:p>
        </w:tc>
        <w:tc>
          <w:tcPr>
            <w:tcW w:w="2656" w:type="dxa"/>
            <w:vMerge w:val="restart"/>
            <w:tcBorders>
              <w:top w:val="single" w:sz="4" w:space="0" w:color="000000"/>
              <w:left w:val="single" w:sz="4" w:space="0" w:color="000000"/>
              <w:right w:val="nil"/>
            </w:tcBorders>
          </w:tcPr>
          <w:p w:rsidR="009C6557" w:rsidRPr="0033335F" w:rsidRDefault="009C6557" w:rsidP="00D42FE4">
            <w:pPr>
              <w:pStyle w:val="WW-Zawartotabeli11"/>
              <w:snapToGrid w:val="0"/>
              <w:spacing w:before="120" w:line="240" w:lineRule="auto"/>
              <w:rPr>
                <w:sz w:val="22"/>
                <w:szCs w:val="22"/>
                <w:lang w:eastAsia="en-US"/>
              </w:rPr>
            </w:pPr>
            <w:r w:rsidRPr="0033335F">
              <w:rPr>
                <w:sz w:val="22"/>
                <w:szCs w:val="22"/>
                <w:lang w:eastAsia="en-US"/>
              </w:rPr>
              <w:t>Położenie</w:t>
            </w:r>
          </w:p>
          <w:p w:rsidR="009C6557" w:rsidRPr="0033335F" w:rsidRDefault="009C6557" w:rsidP="00D42FE4">
            <w:pPr>
              <w:pStyle w:val="WW-Zawartotabeli11"/>
              <w:spacing w:before="120" w:line="240" w:lineRule="auto"/>
              <w:rPr>
                <w:sz w:val="22"/>
                <w:szCs w:val="22"/>
                <w:lang w:eastAsia="en-US"/>
              </w:rPr>
            </w:pPr>
          </w:p>
        </w:tc>
        <w:tc>
          <w:tcPr>
            <w:tcW w:w="1328" w:type="dxa"/>
            <w:vMerge w:val="restart"/>
            <w:tcBorders>
              <w:top w:val="single" w:sz="4" w:space="0" w:color="000000"/>
              <w:left w:val="single" w:sz="4" w:space="0" w:color="000000"/>
              <w:right w:val="nil"/>
            </w:tcBorders>
            <w:hideMark/>
          </w:tcPr>
          <w:p w:rsidR="009C6557" w:rsidRPr="0033335F" w:rsidRDefault="009C6557" w:rsidP="00D42FE4">
            <w:pPr>
              <w:pStyle w:val="WW-Zawartotabeli11"/>
              <w:snapToGrid w:val="0"/>
              <w:spacing w:before="120" w:line="240" w:lineRule="auto"/>
              <w:rPr>
                <w:sz w:val="22"/>
                <w:szCs w:val="22"/>
                <w:lang w:eastAsia="en-US"/>
              </w:rPr>
            </w:pPr>
            <w:r w:rsidRPr="0033335F">
              <w:rPr>
                <w:sz w:val="22"/>
                <w:szCs w:val="22"/>
                <w:lang w:eastAsia="en-US"/>
              </w:rPr>
              <w:t>Nr działki</w:t>
            </w:r>
          </w:p>
          <w:p w:rsidR="009C6557" w:rsidRPr="0033335F" w:rsidRDefault="009C6557" w:rsidP="00D42FE4">
            <w:pPr>
              <w:pStyle w:val="WW-Zawartotabeli11"/>
              <w:snapToGrid w:val="0"/>
              <w:spacing w:before="120" w:line="240" w:lineRule="auto"/>
              <w:rPr>
                <w:sz w:val="22"/>
                <w:szCs w:val="22"/>
                <w:lang w:eastAsia="en-US"/>
              </w:rPr>
            </w:pPr>
            <w:r w:rsidRPr="0033335F">
              <w:rPr>
                <w:sz w:val="22"/>
                <w:szCs w:val="22"/>
              </w:rPr>
              <w:t>Obręb nr 54</w:t>
            </w:r>
          </w:p>
        </w:tc>
        <w:tc>
          <w:tcPr>
            <w:tcW w:w="1327" w:type="dxa"/>
            <w:vMerge w:val="restart"/>
            <w:tcBorders>
              <w:top w:val="single" w:sz="4" w:space="0" w:color="000000"/>
              <w:left w:val="single" w:sz="4" w:space="0" w:color="000000"/>
              <w:right w:val="single" w:sz="4" w:space="0" w:color="auto"/>
            </w:tcBorders>
            <w:hideMark/>
          </w:tcPr>
          <w:p w:rsidR="009C6557" w:rsidRPr="0033335F" w:rsidRDefault="009C6557" w:rsidP="00D42FE4">
            <w:pPr>
              <w:pStyle w:val="WW-Zawartotabeli11"/>
              <w:snapToGrid w:val="0"/>
              <w:spacing w:before="120" w:line="240" w:lineRule="auto"/>
              <w:rPr>
                <w:sz w:val="22"/>
                <w:szCs w:val="22"/>
                <w:lang w:eastAsia="en-US"/>
              </w:rPr>
            </w:pPr>
            <w:r w:rsidRPr="0033335F">
              <w:rPr>
                <w:sz w:val="22"/>
                <w:szCs w:val="22"/>
                <w:lang w:eastAsia="en-US"/>
              </w:rPr>
              <w:t>Pow. [ha]</w:t>
            </w:r>
          </w:p>
        </w:tc>
        <w:tc>
          <w:tcPr>
            <w:tcW w:w="1731" w:type="dxa"/>
            <w:vMerge w:val="restart"/>
            <w:tcBorders>
              <w:top w:val="single" w:sz="4" w:space="0" w:color="000000"/>
              <w:left w:val="single" w:sz="4" w:space="0" w:color="000000"/>
              <w:right w:val="single" w:sz="4" w:space="0" w:color="auto"/>
            </w:tcBorders>
            <w:hideMark/>
          </w:tcPr>
          <w:p w:rsidR="009C6557" w:rsidRPr="0033335F" w:rsidRDefault="009C6557" w:rsidP="00D42FE4">
            <w:pPr>
              <w:pStyle w:val="Tekstpodstawowy31"/>
              <w:snapToGrid w:val="0"/>
              <w:spacing w:before="120"/>
              <w:rPr>
                <w:rFonts w:eastAsia="Times New Roman"/>
                <w:sz w:val="22"/>
                <w:szCs w:val="22"/>
                <w:lang w:eastAsia="en-US"/>
              </w:rPr>
            </w:pPr>
            <w:r w:rsidRPr="0033335F">
              <w:rPr>
                <w:sz w:val="22"/>
                <w:szCs w:val="22"/>
                <w:lang w:eastAsia="en-US"/>
              </w:rPr>
              <w:t>Cena wywoławcza z VAT [zł]</w:t>
            </w:r>
          </w:p>
        </w:tc>
        <w:tc>
          <w:tcPr>
            <w:tcW w:w="1464" w:type="dxa"/>
            <w:vMerge w:val="restart"/>
            <w:tcBorders>
              <w:top w:val="single" w:sz="4" w:space="0" w:color="000000"/>
              <w:left w:val="single" w:sz="4" w:space="0" w:color="000000"/>
              <w:right w:val="single" w:sz="4" w:space="0" w:color="auto"/>
            </w:tcBorders>
          </w:tcPr>
          <w:p w:rsidR="009C6557" w:rsidRPr="0033335F" w:rsidRDefault="009C6557" w:rsidP="00D42FE4">
            <w:pPr>
              <w:pStyle w:val="Tekstpodstawowy31"/>
              <w:snapToGrid w:val="0"/>
              <w:spacing w:before="120"/>
              <w:rPr>
                <w:rFonts w:eastAsia="Times New Roman"/>
                <w:sz w:val="22"/>
                <w:szCs w:val="22"/>
                <w:lang w:eastAsia="en-US"/>
              </w:rPr>
            </w:pPr>
            <w:r w:rsidRPr="0033335F">
              <w:rPr>
                <w:rFonts w:eastAsia="Times New Roman"/>
                <w:sz w:val="22"/>
                <w:szCs w:val="22"/>
                <w:lang w:eastAsia="en-US"/>
              </w:rPr>
              <w:t>Wadium</w:t>
            </w:r>
            <w:r w:rsidR="0006032E" w:rsidRPr="0033335F">
              <w:rPr>
                <w:rFonts w:eastAsia="Times New Roman"/>
                <w:sz w:val="22"/>
                <w:szCs w:val="22"/>
                <w:lang w:eastAsia="en-US"/>
              </w:rPr>
              <w:t xml:space="preserve"> [zł]</w:t>
            </w:r>
          </w:p>
        </w:tc>
      </w:tr>
      <w:tr w:rsidR="009C6557" w:rsidRPr="00D42FE4" w:rsidTr="00387F8C">
        <w:trPr>
          <w:trHeight w:val="373"/>
        </w:trPr>
        <w:tc>
          <w:tcPr>
            <w:tcW w:w="659" w:type="dxa"/>
            <w:vMerge/>
            <w:tcBorders>
              <w:left w:val="single" w:sz="4" w:space="0" w:color="000000"/>
              <w:bottom w:val="single" w:sz="4" w:space="0" w:color="000000"/>
              <w:right w:val="nil"/>
            </w:tcBorders>
          </w:tcPr>
          <w:p w:rsidR="009C6557" w:rsidRPr="0033335F" w:rsidRDefault="009C6557" w:rsidP="00D42FE4">
            <w:pPr>
              <w:pStyle w:val="WW-Zawartotabeli11"/>
              <w:snapToGrid w:val="0"/>
              <w:spacing w:before="120" w:line="240" w:lineRule="auto"/>
              <w:rPr>
                <w:sz w:val="22"/>
                <w:szCs w:val="22"/>
                <w:lang w:eastAsia="en-US"/>
              </w:rPr>
            </w:pPr>
          </w:p>
        </w:tc>
        <w:tc>
          <w:tcPr>
            <w:tcW w:w="2656" w:type="dxa"/>
            <w:vMerge/>
            <w:tcBorders>
              <w:left w:val="single" w:sz="4" w:space="0" w:color="000000"/>
              <w:bottom w:val="single" w:sz="4" w:space="0" w:color="000000"/>
              <w:right w:val="nil"/>
            </w:tcBorders>
          </w:tcPr>
          <w:p w:rsidR="009C6557" w:rsidRPr="0033335F" w:rsidRDefault="009C6557" w:rsidP="00D42FE4">
            <w:pPr>
              <w:pStyle w:val="WW-Zawartotabeli11"/>
              <w:snapToGrid w:val="0"/>
              <w:spacing w:before="120" w:line="240" w:lineRule="auto"/>
              <w:rPr>
                <w:sz w:val="22"/>
                <w:szCs w:val="22"/>
                <w:lang w:eastAsia="en-US"/>
              </w:rPr>
            </w:pPr>
          </w:p>
        </w:tc>
        <w:tc>
          <w:tcPr>
            <w:tcW w:w="1328" w:type="dxa"/>
            <w:vMerge/>
            <w:tcBorders>
              <w:left w:val="single" w:sz="4" w:space="0" w:color="000000"/>
              <w:bottom w:val="single" w:sz="4" w:space="0" w:color="000000"/>
              <w:right w:val="nil"/>
            </w:tcBorders>
          </w:tcPr>
          <w:p w:rsidR="009C6557" w:rsidRPr="0033335F" w:rsidRDefault="009C6557" w:rsidP="00D42FE4">
            <w:pPr>
              <w:pStyle w:val="WW-Zawartotabeli11"/>
              <w:snapToGrid w:val="0"/>
              <w:spacing w:before="120" w:line="240" w:lineRule="auto"/>
              <w:rPr>
                <w:sz w:val="22"/>
                <w:szCs w:val="22"/>
                <w:lang w:eastAsia="en-US"/>
              </w:rPr>
            </w:pPr>
          </w:p>
        </w:tc>
        <w:tc>
          <w:tcPr>
            <w:tcW w:w="1327" w:type="dxa"/>
            <w:vMerge/>
            <w:tcBorders>
              <w:left w:val="single" w:sz="4" w:space="0" w:color="000000"/>
              <w:bottom w:val="single" w:sz="4" w:space="0" w:color="000000"/>
              <w:right w:val="single" w:sz="4" w:space="0" w:color="auto"/>
            </w:tcBorders>
          </w:tcPr>
          <w:p w:rsidR="009C6557" w:rsidRPr="0033335F" w:rsidRDefault="009C6557" w:rsidP="00D42FE4">
            <w:pPr>
              <w:pStyle w:val="WW-Zawartotabeli11"/>
              <w:snapToGrid w:val="0"/>
              <w:spacing w:before="120" w:line="240" w:lineRule="auto"/>
              <w:rPr>
                <w:sz w:val="22"/>
                <w:szCs w:val="22"/>
                <w:lang w:eastAsia="en-US"/>
              </w:rPr>
            </w:pPr>
          </w:p>
        </w:tc>
        <w:tc>
          <w:tcPr>
            <w:tcW w:w="1731" w:type="dxa"/>
            <w:vMerge/>
            <w:tcBorders>
              <w:left w:val="single" w:sz="4" w:space="0" w:color="000000"/>
              <w:bottom w:val="single" w:sz="4" w:space="0" w:color="000000"/>
              <w:right w:val="single" w:sz="4" w:space="0" w:color="auto"/>
            </w:tcBorders>
          </w:tcPr>
          <w:p w:rsidR="009C6557" w:rsidRPr="0033335F" w:rsidRDefault="009C6557" w:rsidP="00D42FE4">
            <w:pPr>
              <w:pStyle w:val="Tekstpodstawowy31"/>
              <w:snapToGrid w:val="0"/>
              <w:spacing w:before="120"/>
              <w:jc w:val="center"/>
              <w:rPr>
                <w:rFonts w:eastAsia="Times New Roman"/>
                <w:sz w:val="22"/>
                <w:szCs w:val="22"/>
                <w:lang w:eastAsia="en-US"/>
              </w:rPr>
            </w:pPr>
          </w:p>
        </w:tc>
        <w:tc>
          <w:tcPr>
            <w:tcW w:w="1464" w:type="dxa"/>
            <w:vMerge/>
            <w:tcBorders>
              <w:left w:val="single" w:sz="4" w:space="0" w:color="000000"/>
              <w:bottom w:val="single" w:sz="4" w:space="0" w:color="000000"/>
              <w:right w:val="single" w:sz="4" w:space="0" w:color="auto"/>
            </w:tcBorders>
          </w:tcPr>
          <w:p w:rsidR="009C6557" w:rsidRPr="0033335F" w:rsidRDefault="009C6557" w:rsidP="00D42FE4">
            <w:pPr>
              <w:pStyle w:val="Tekstpodstawowy31"/>
              <w:snapToGrid w:val="0"/>
              <w:spacing w:before="120"/>
              <w:jc w:val="center"/>
              <w:rPr>
                <w:rFonts w:eastAsia="Times New Roman"/>
                <w:sz w:val="22"/>
                <w:szCs w:val="22"/>
                <w:lang w:eastAsia="en-US"/>
              </w:rPr>
            </w:pPr>
          </w:p>
        </w:tc>
      </w:tr>
      <w:tr w:rsidR="009C6557" w:rsidRPr="00D42FE4" w:rsidTr="00387F8C">
        <w:trPr>
          <w:trHeight w:val="253"/>
        </w:trPr>
        <w:tc>
          <w:tcPr>
            <w:tcW w:w="659" w:type="dxa"/>
            <w:vMerge w:val="restart"/>
            <w:tcBorders>
              <w:top w:val="single" w:sz="4" w:space="0" w:color="auto"/>
              <w:left w:val="single" w:sz="4" w:space="0" w:color="auto"/>
              <w:right w:val="single" w:sz="4" w:space="0" w:color="auto"/>
            </w:tcBorders>
          </w:tcPr>
          <w:p w:rsidR="009C6557" w:rsidRPr="0033335F" w:rsidRDefault="00D42FE4" w:rsidP="00D42FE4">
            <w:pPr>
              <w:pStyle w:val="Zawartotabeli"/>
              <w:spacing w:before="120"/>
              <w:rPr>
                <w:sz w:val="22"/>
                <w:szCs w:val="22"/>
                <w:lang w:eastAsia="en-US"/>
              </w:rPr>
            </w:pPr>
            <w:r w:rsidRPr="0033335F">
              <w:rPr>
                <w:sz w:val="22"/>
                <w:szCs w:val="22"/>
                <w:lang w:eastAsia="en-US"/>
              </w:rPr>
              <w:t>1</w:t>
            </w:r>
            <w:r w:rsidR="009C6557" w:rsidRPr="0033335F">
              <w:rPr>
                <w:sz w:val="22"/>
                <w:szCs w:val="22"/>
                <w:lang w:eastAsia="en-US"/>
              </w:rPr>
              <w:t>.</w:t>
            </w:r>
          </w:p>
        </w:tc>
        <w:tc>
          <w:tcPr>
            <w:tcW w:w="2656" w:type="dxa"/>
            <w:vMerge w:val="restart"/>
            <w:tcBorders>
              <w:top w:val="single" w:sz="4" w:space="0" w:color="auto"/>
              <w:left w:val="single" w:sz="4" w:space="0" w:color="auto"/>
              <w:right w:val="single" w:sz="4" w:space="0" w:color="auto"/>
            </w:tcBorders>
          </w:tcPr>
          <w:p w:rsidR="009C6557" w:rsidRPr="0033335F" w:rsidRDefault="009C6557" w:rsidP="00D42FE4">
            <w:pPr>
              <w:rPr>
                <w:sz w:val="22"/>
                <w:szCs w:val="22"/>
              </w:rPr>
            </w:pPr>
            <w:r w:rsidRPr="0033335F">
              <w:rPr>
                <w:rFonts w:eastAsiaTheme="minorHAnsi"/>
                <w:sz w:val="22"/>
                <w:szCs w:val="22"/>
                <w:lang w:eastAsia="en-US"/>
              </w:rPr>
              <w:t>Projektowana CLXXXIX 11</w:t>
            </w:r>
          </w:p>
          <w:p w:rsidR="009C6557" w:rsidRPr="0033335F" w:rsidRDefault="009C6557" w:rsidP="00D42FE4">
            <w:pPr>
              <w:rPr>
                <w:sz w:val="22"/>
                <w:szCs w:val="22"/>
              </w:rPr>
            </w:pPr>
            <w:r w:rsidRPr="0033335F">
              <w:rPr>
                <w:rFonts w:eastAsiaTheme="minorHAnsi"/>
                <w:sz w:val="22"/>
                <w:szCs w:val="22"/>
                <w:lang w:eastAsia="en-US"/>
              </w:rPr>
              <w:t>Projektowana CLXXXIX 9</w:t>
            </w:r>
          </w:p>
        </w:tc>
        <w:tc>
          <w:tcPr>
            <w:tcW w:w="1328" w:type="dxa"/>
            <w:vMerge w:val="restart"/>
            <w:tcBorders>
              <w:top w:val="single" w:sz="4" w:space="0" w:color="auto"/>
              <w:left w:val="single" w:sz="4" w:space="0" w:color="auto"/>
              <w:right w:val="single" w:sz="4" w:space="0" w:color="auto"/>
            </w:tcBorders>
          </w:tcPr>
          <w:p w:rsidR="009C6557" w:rsidRPr="0033335F" w:rsidRDefault="009C6557" w:rsidP="00D42FE4">
            <w:pPr>
              <w:rPr>
                <w:sz w:val="22"/>
                <w:szCs w:val="22"/>
              </w:rPr>
            </w:pPr>
            <w:r w:rsidRPr="0033335F">
              <w:rPr>
                <w:sz w:val="22"/>
                <w:szCs w:val="22"/>
              </w:rPr>
              <w:t>132/64</w:t>
            </w:r>
          </w:p>
          <w:p w:rsidR="009C6557" w:rsidRPr="0033335F" w:rsidRDefault="009C6557" w:rsidP="00D42FE4">
            <w:pPr>
              <w:rPr>
                <w:sz w:val="22"/>
                <w:szCs w:val="22"/>
              </w:rPr>
            </w:pPr>
            <w:r w:rsidRPr="0033335F">
              <w:rPr>
                <w:sz w:val="22"/>
                <w:szCs w:val="22"/>
              </w:rPr>
              <w:t>132/65</w:t>
            </w:r>
          </w:p>
        </w:tc>
        <w:tc>
          <w:tcPr>
            <w:tcW w:w="1327" w:type="dxa"/>
            <w:vMerge w:val="restart"/>
            <w:tcBorders>
              <w:top w:val="single" w:sz="4" w:space="0" w:color="auto"/>
              <w:left w:val="single" w:sz="4" w:space="0" w:color="auto"/>
              <w:right w:val="single" w:sz="4" w:space="0" w:color="auto"/>
            </w:tcBorders>
          </w:tcPr>
          <w:p w:rsidR="009C6557" w:rsidRPr="0033335F" w:rsidRDefault="009C6557" w:rsidP="00D42FE4">
            <w:pPr>
              <w:autoSpaceDE w:val="0"/>
              <w:adjustRightInd w:val="0"/>
              <w:jc w:val="both"/>
              <w:rPr>
                <w:rFonts w:eastAsiaTheme="minorHAnsi"/>
                <w:sz w:val="22"/>
                <w:szCs w:val="22"/>
                <w:lang w:eastAsia="en-US"/>
              </w:rPr>
            </w:pPr>
            <w:r w:rsidRPr="0033335F">
              <w:rPr>
                <w:rFonts w:eastAsiaTheme="minorHAnsi"/>
                <w:sz w:val="22"/>
                <w:szCs w:val="22"/>
                <w:lang w:eastAsia="en-US"/>
              </w:rPr>
              <w:t>0,5001</w:t>
            </w:r>
          </w:p>
          <w:p w:rsidR="009C6557" w:rsidRPr="0033335F" w:rsidRDefault="009C6557" w:rsidP="00D42FE4">
            <w:pPr>
              <w:autoSpaceDE w:val="0"/>
              <w:adjustRightInd w:val="0"/>
              <w:jc w:val="both"/>
              <w:rPr>
                <w:rFonts w:eastAsiaTheme="minorHAnsi"/>
                <w:sz w:val="22"/>
                <w:szCs w:val="22"/>
                <w:lang w:eastAsia="en-US"/>
              </w:rPr>
            </w:pPr>
            <w:r w:rsidRPr="0033335F">
              <w:rPr>
                <w:rFonts w:eastAsiaTheme="minorHAnsi"/>
                <w:sz w:val="22"/>
                <w:szCs w:val="22"/>
                <w:lang w:eastAsia="en-US"/>
              </w:rPr>
              <w:t>0,5032</w:t>
            </w:r>
          </w:p>
          <w:p w:rsidR="009C6557" w:rsidRPr="0033335F" w:rsidRDefault="009C6557" w:rsidP="00D42FE4">
            <w:pPr>
              <w:autoSpaceDE w:val="0"/>
              <w:adjustRightInd w:val="0"/>
              <w:jc w:val="both"/>
              <w:rPr>
                <w:rFonts w:eastAsiaTheme="minorHAnsi"/>
                <w:sz w:val="22"/>
                <w:szCs w:val="22"/>
                <w:lang w:eastAsia="en-US"/>
              </w:rPr>
            </w:pPr>
          </w:p>
          <w:p w:rsidR="009C6557" w:rsidRPr="0033335F" w:rsidRDefault="009C6557" w:rsidP="00C1499B">
            <w:pPr>
              <w:autoSpaceDE w:val="0"/>
              <w:adjustRightInd w:val="0"/>
              <w:jc w:val="both"/>
              <w:rPr>
                <w:rFonts w:eastAsiaTheme="minorHAnsi"/>
                <w:sz w:val="22"/>
                <w:szCs w:val="22"/>
                <w:lang w:eastAsia="en-US"/>
              </w:rPr>
            </w:pPr>
            <w:r w:rsidRPr="0033335F">
              <w:rPr>
                <w:rFonts w:eastAsiaTheme="minorHAnsi"/>
                <w:sz w:val="22"/>
                <w:szCs w:val="22"/>
                <w:lang w:eastAsia="en-US"/>
              </w:rPr>
              <w:t xml:space="preserve">Razem </w:t>
            </w:r>
            <w:r w:rsidR="00C1499B">
              <w:rPr>
                <w:rFonts w:eastAsiaTheme="minorHAnsi"/>
                <w:sz w:val="22"/>
                <w:szCs w:val="22"/>
                <w:lang w:eastAsia="en-US"/>
              </w:rPr>
              <w:t>1</w:t>
            </w:r>
            <w:r w:rsidRPr="0033335F">
              <w:rPr>
                <w:rFonts w:eastAsiaTheme="minorHAnsi"/>
                <w:sz w:val="22"/>
                <w:szCs w:val="22"/>
                <w:lang w:eastAsia="en-US"/>
              </w:rPr>
              <w:t>,00</w:t>
            </w:r>
            <w:r w:rsidR="00C1499B">
              <w:rPr>
                <w:rFonts w:eastAsiaTheme="minorHAnsi"/>
                <w:sz w:val="22"/>
                <w:szCs w:val="22"/>
                <w:lang w:eastAsia="en-US"/>
              </w:rPr>
              <w:t>33</w:t>
            </w:r>
          </w:p>
        </w:tc>
        <w:tc>
          <w:tcPr>
            <w:tcW w:w="1731" w:type="dxa"/>
            <w:vMerge w:val="restart"/>
            <w:tcBorders>
              <w:top w:val="single" w:sz="4" w:space="0" w:color="auto"/>
              <w:left w:val="single" w:sz="4" w:space="0" w:color="auto"/>
              <w:right w:val="single" w:sz="4" w:space="0" w:color="auto"/>
            </w:tcBorders>
          </w:tcPr>
          <w:p w:rsidR="009C6557" w:rsidRPr="0033335F" w:rsidRDefault="00C1499B" w:rsidP="00C1499B">
            <w:pPr>
              <w:pStyle w:val="NormalnyWeb"/>
              <w:spacing w:before="0" w:beforeAutospacing="0" w:after="0" w:line="240" w:lineRule="auto"/>
              <w:jc w:val="center"/>
              <w:rPr>
                <w:sz w:val="22"/>
                <w:szCs w:val="22"/>
                <w:lang w:eastAsia="en-US"/>
              </w:rPr>
            </w:pPr>
            <w:r>
              <w:rPr>
                <w:sz w:val="22"/>
                <w:szCs w:val="22"/>
                <w:lang w:eastAsia="en-US"/>
              </w:rPr>
              <w:t>1</w:t>
            </w:r>
            <w:r w:rsidR="0006032E" w:rsidRPr="0033335F">
              <w:rPr>
                <w:sz w:val="22"/>
                <w:szCs w:val="22"/>
                <w:lang w:eastAsia="en-US"/>
              </w:rPr>
              <w:t>.750.000,00</w:t>
            </w:r>
          </w:p>
        </w:tc>
        <w:tc>
          <w:tcPr>
            <w:tcW w:w="1464" w:type="dxa"/>
            <w:vMerge w:val="restart"/>
            <w:tcBorders>
              <w:top w:val="single" w:sz="4" w:space="0" w:color="auto"/>
              <w:left w:val="single" w:sz="4" w:space="0" w:color="auto"/>
              <w:right w:val="single" w:sz="4" w:space="0" w:color="auto"/>
            </w:tcBorders>
          </w:tcPr>
          <w:p w:rsidR="009C6557" w:rsidRPr="0033335F" w:rsidRDefault="00C1499B" w:rsidP="00D42FE4">
            <w:pPr>
              <w:pStyle w:val="Tekstpodstawowy"/>
              <w:tabs>
                <w:tab w:val="left" w:pos="424"/>
              </w:tabs>
              <w:spacing w:after="0"/>
              <w:rPr>
                <w:sz w:val="22"/>
                <w:szCs w:val="22"/>
              </w:rPr>
            </w:pPr>
            <w:r>
              <w:rPr>
                <w:rFonts w:eastAsia="Times New Roman"/>
                <w:sz w:val="22"/>
                <w:szCs w:val="22"/>
              </w:rPr>
              <w:t>175</w:t>
            </w:r>
            <w:r w:rsidR="0006032E" w:rsidRPr="0033335F">
              <w:rPr>
                <w:rFonts w:eastAsia="Times New Roman"/>
                <w:sz w:val="22"/>
                <w:szCs w:val="22"/>
              </w:rPr>
              <w:t>.000,00</w:t>
            </w:r>
          </w:p>
        </w:tc>
      </w:tr>
      <w:tr w:rsidR="009C6557" w:rsidRPr="00D42FE4" w:rsidTr="00387F8C">
        <w:trPr>
          <w:trHeight w:val="373"/>
        </w:trPr>
        <w:tc>
          <w:tcPr>
            <w:tcW w:w="659" w:type="dxa"/>
            <w:vMerge/>
            <w:tcBorders>
              <w:left w:val="single" w:sz="4" w:space="0" w:color="auto"/>
              <w:right w:val="single" w:sz="4" w:space="0" w:color="auto"/>
            </w:tcBorders>
          </w:tcPr>
          <w:p w:rsidR="009C6557" w:rsidRPr="00D42FE4" w:rsidRDefault="009C6557" w:rsidP="00D42FE4">
            <w:pPr>
              <w:pStyle w:val="Zawartotabeli"/>
              <w:spacing w:before="120"/>
              <w:rPr>
                <w:sz w:val="22"/>
                <w:szCs w:val="22"/>
                <w:lang w:eastAsia="en-US"/>
              </w:rPr>
            </w:pPr>
          </w:p>
        </w:tc>
        <w:tc>
          <w:tcPr>
            <w:tcW w:w="2656" w:type="dxa"/>
            <w:vMerge/>
            <w:tcBorders>
              <w:left w:val="single" w:sz="4" w:space="0" w:color="auto"/>
              <w:right w:val="single" w:sz="4" w:space="0" w:color="auto"/>
            </w:tcBorders>
          </w:tcPr>
          <w:p w:rsidR="009C6557" w:rsidRPr="00D42FE4" w:rsidRDefault="009C6557" w:rsidP="00D42FE4">
            <w:pPr>
              <w:rPr>
                <w:sz w:val="22"/>
                <w:szCs w:val="22"/>
              </w:rPr>
            </w:pPr>
          </w:p>
        </w:tc>
        <w:tc>
          <w:tcPr>
            <w:tcW w:w="1328" w:type="dxa"/>
            <w:vMerge/>
            <w:tcBorders>
              <w:left w:val="single" w:sz="4" w:space="0" w:color="auto"/>
              <w:right w:val="single" w:sz="4" w:space="0" w:color="auto"/>
            </w:tcBorders>
          </w:tcPr>
          <w:p w:rsidR="009C6557" w:rsidRPr="00D42FE4" w:rsidRDefault="009C6557" w:rsidP="00D42FE4">
            <w:pPr>
              <w:rPr>
                <w:sz w:val="22"/>
                <w:szCs w:val="22"/>
              </w:rPr>
            </w:pPr>
          </w:p>
        </w:tc>
        <w:tc>
          <w:tcPr>
            <w:tcW w:w="1327" w:type="dxa"/>
            <w:vMerge/>
            <w:tcBorders>
              <w:left w:val="single" w:sz="4" w:space="0" w:color="auto"/>
              <w:right w:val="single" w:sz="4" w:space="0" w:color="auto"/>
            </w:tcBorders>
          </w:tcPr>
          <w:p w:rsidR="009C6557" w:rsidRPr="00D42FE4" w:rsidRDefault="009C6557" w:rsidP="00D42FE4">
            <w:pPr>
              <w:autoSpaceDE w:val="0"/>
              <w:adjustRightInd w:val="0"/>
              <w:jc w:val="both"/>
              <w:rPr>
                <w:rFonts w:eastAsiaTheme="minorHAnsi"/>
                <w:sz w:val="22"/>
                <w:szCs w:val="22"/>
                <w:lang w:eastAsia="en-US"/>
              </w:rPr>
            </w:pPr>
          </w:p>
        </w:tc>
        <w:tc>
          <w:tcPr>
            <w:tcW w:w="1731"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c>
          <w:tcPr>
            <w:tcW w:w="1464"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r>
      <w:tr w:rsidR="009C6557" w:rsidRPr="00D42FE4" w:rsidTr="00387F8C">
        <w:trPr>
          <w:trHeight w:val="373"/>
        </w:trPr>
        <w:tc>
          <w:tcPr>
            <w:tcW w:w="659" w:type="dxa"/>
            <w:vMerge/>
            <w:tcBorders>
              <w:left w:val="single" w:sz="4" w:space="0" w:color="auto"/>
              <w:right w:val="single" w:sz="4" w:space="0" w:color="auto"/>
            </w:tcBorders>
          </w:tcPr>
          <w:p w:rsidR="009C6557" w:rsidRPr="00D42FE4" w:rsidRDefault="009C6557" w:rsidP="00D42FE4">
            <w:pPr>
              <w:pStyle w:val="Zawartotabeli"/>
              <w:spacing w:before="120"/>
              <w:rPr>
                <w:sz w:val="22"/>
                <w:szCs w:val="22"/>
                <w:lang w:eastAsia="en-US"/>
              </w:rPr>
            </w:pPr>
          </w:p>
        </w:tc>
        <w:tc>
          <w:tcPr>
            <w:tcW w:w="2656" w:type="dxa"/>
            <w:vMerge/>
            <w:tcBorders>
              <w:left w:val="single" w:sz="4" w:space="0" w:color="auto"/>
              <w:right w:val="single" w:sz="4" w:space="0" w:color="auto"/>
            </w:tcBorders>
          </w:tcPr>
          <w:p w:rsidR="009C6557" w:rsidRPr="00D42FE4" w:rsidRDefault="009C6557" w:rsidP="00D42FE4">
            <w:pPr>
              <w:rPr>
                <w:sz w:val="22"/>
                <w:szCs w:val="22"/>
              </w:rPr>
            </w:pPr>
          </w:p>
        </w:tc>
        <w:tc>
          <w:tcPr>
            <w:tcW w:w="1328" w:type="dxa"/>
            <w:vMerge/>
            <w:tcBorders>
              <w:left w:val="single" w:sz="4" w:space="0" w:color="auto"/>
              <w:right w:val="single" w:sz="4" w:space="0" w:color="auto"/>
            </w:tcBorders>
          </w:tcPr>
          <w:p w:rsidR="009C6557" w:rsidRPr="00D42FE4" w:rsidRDefault="009C6557" w:rsidP="00D42FE4">
            <w:pPr>
              <w:rPr>
                <w:sz w:val="22"/>
                <w:szCs w:val="22"/>
              </w:rPr>
            </w:pPr>
          </w:p>
        </w:tc>
        <w:tc>
          <w:tcPr>
            <w:tcW w:w="1327" w:type="dxa"/>
            <w:vMerge/>
            <w:tcBorders>
              <w:left w:val="single" w:sz="4" w:space="0" w:color="auto"/>
              <w:right w:val="single" w:sz="4" w:space="0" w:color="auto"/>
            </w:tcBorders>
          </w:tcPr>
          <w:p w:rsidR="009C6557" w:rsidRPr="00D42FE4" w:rsidRDefault="009C6557" w:rsidP="00D42FE4">
            <w:pPr>
              <w:autoSpaceDE w:val="0"/>
              <w:adjustRightInd w:val="0"/>
              <w:jc w:val="both"/>
              <w:rPr>
                <w:rFonts w:eastAsiaTheme="minorHAnsi"/>
                <w:sz w:val="22"/>
                <w:szCs w:val="22"/>
                <w:lang w:eastAsia="en-US"/>
              </w:rPr>
            </w:pPr>
          </w:p>
        </w:tc>
        <w:tc>
          <w:tcPr>
            <w:tcW w:w="1731"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c>
          <w:tcPr>
            <w:tcW w:w="1464"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r>
      <w:tr w:rsidR="009C6557" w:rsidRPr="00D42FE4" w:rsidTr="00387F8C">
        <w:trPr>
          <w:trHeight w:val="373"/>
        </w:trPr>
        <w:tc>
          <w:tcPr>
            <w:tcW w:w="659" w:type="dxa"/>
            <w:vMerge/>
            <w:tcBorders>
              <w:left w:val="single" w:sz="4" w:space="0" w:color="auto"/>
              <w:right w:val="single" w:sz="4" w:space="0" w:color="auto"/>
            </w:tcBorders>
          </w:tcPr>
          <w:p w:rsidR="009C6557" w:rsidRPr="00D42FE4" w:rsidRDefault="009C6557" w:rsidP="00D42FE4">
            <w:pPr>
              <w:pStyle w:val="Zawartotabeli"/>
              <w:spacing w:before="120"/>
              <w:rPr>
                <w:sz w:val="22"/>
                <w:szCs w:val="22"/>
                <w:lang w:eastAsia="en-US"/>
              </w:rPr>
            </w:pPr>
          </w:p>
        </w:tc>
        <w:tc>
          <w:tcPr>
            <w:tcW w:w="2656" w:type="dxa"/>
            <w:vMerge/>
            <w:tcBorders>
              <w:left w:val="single" w:sz="4" w:space="0" w:color="auto"/>
              <w:right w:val="single" w:sz="4" w:space="0" w:color="auto"/>
            </w:tcBorders>
          </w:tcPr>
          <w:p w:rsidR="009C6557" w:rsidRPr="00D42FE4" w:rsidRDefault="009C6557" w:rsidP="00D42FE4">
            <w:pPr>
              <w:rPr>
                <w:sz w:val="22"/>
                <w:szCs w:val="22"/>
              </w:rPr>
            </w:pPr>
          </w:p>
        </w:tc>
        <w:tc>
          <w:tcPr>
            <w:tcW w:w="1328" w:type="dxa"/>
            <w:vMerge/>
            <w:tcBorders>
              <w:left w:val="single" w:sz="4" w:space="0" w:color="auto"/>
              <w:right w:val="single" w:sz="4" w:space="0" w:color="auto"/>
            </w:tcBorders>
          </w:tcPr>
          <w:p w:rsidR="009C6557" w:rsidRPr="00D42FE4" w:rsidRDefault="009C6557" w:rsidP="00D42FE4">
            <w:pPr>
              <w:rPr>
                <w:sz w:val="22"/>
                <w:szCs w:val="22"/>
              </w:rPr>
            </w:pPr>
          </w:p>
        </w:tc>
        <w:tc>
          <w:tcPr>
            <w:tcW w:w="1327" w:type="dxa"/>
            <w:vMerge/>
            <w:tcBorders>
              <w:left w:val="single" w:sz="4" w:space="0" w:color="auto"/>
              <w:right w:val="single" w:sz="4" w:space="0" w:color="auto"/>
            </w:tcBorders>
          </w:tcPr>
          <w:p w:rsidR="009C6557" w:rsidRPr="00D42FE4" w:rsidRDefault="009C6557" w:rsidP="00D42FE4">
            <w:pPr>
              <w:autoSpaceDE w:val="0"/>
              <w:adjustRightInd w:val="0"/>
              <w:jc w:val="both"/>
              <w:rPr>
                <w:rFonts w:eastAsiaTheme="minorHAnsi"/>
                <w:sz w:val="22"/>
                <w:szCs w:val="22"/>
                <w:lang w:eastAsia="en-US"/>
              </w:rPr>
            </w:pPr>
          </w:p>
        </w:tc>
        <w:tc>
          <w:tcPr>
            <w:tcW w:w="1731"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c>
          <w:tcPr>
            <w:tcW w:w="1464"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r>
      <w:tr w:rsidR="009C6557" w:rsidRPr="00D42FE4" w:rsidTr="00387F8C">
        <w:trPr>
          <w:trHeight w:val="373"/>
        </w:trPr>
        <w:tc>
          <w:tcPr>
            <w:tcW w:w="659" w:type="dxa"/>
            <w:vMerge/>
            <w:tcBorders>
              <w:left w:val="single" w:sz="4" w:space="0" w:color="auto"/>
              <w:right w:val="single" w:sz="4" w:space="0" w:color="auto"/>
            </w:tcBorders>
          </w:tcPr>
          <w:p w:rsidR="009C6557" w:rsidRPr="00D42FE4" w:rsidRDefault="009C6557" w:rsidP="00D42FE4">
            <w:pPr>
              <w:pStyle w:val="Zawartotabeli"/>
              <w:spacing w:before="120"/>
              <w:rPr>
                <w:sz w:val="22"/>
                <w:szCs w:val="22"/>
                <w:lang w:eastAsia="en-US"/>
              </w:rPr>
            </w:pPr>
          </w:p>
        </w:tc>
        <w:tc>
          <w:tcPr>
            <w:tcW w:w="2656" w:type="dxa"/>
            <w:vMerge/>
            <w:tcBorders>
              <w:left w:val="single" w:sz="4" w:space="0" w:color="auto"/>
              <w:right w:val="single" w:sz="4" w:space="0" w:color="auto"/>
            </w:tcBorders>
          </w:tcPr>
          <w:p w:rsidR="009C6557" w:rsidRPr="00D42FE4" w:rsidRDefault="009C6557" w:rsidP="00D42FE4">
            <w:pPr>
              <w:rPr>
                <w:rFonts w:eastAsiaTheme="minorHAnsi"/>
                <w:sz w:val="22"/>
                <w:szCs w:val="22"/>
                <w:lang w:eastAsia="en-US"/>
              </w:rPr>
            </w:pPr>
          </w:p>
        </w:tc>
        <w:tc>
          <w:tcPr>
            <w:tcW w:w="1328" w:type="dxa"/>
            <w:vMerge/>
            <w:tcBorders>
              <w:left w:val="single" w:sz="4" w:space="0" w:color="auto"/>
              <w:right w:val="single" w:sz="4" w:space="0" w:color="auto"/>
            </w:tcBorders>
          </w:tcPr>
          <w:p w:rsidR="009C6557" w:rsidRPr="00D42FE4" w:rsidRDefault="009C6557" w:rsidP="00D42FE4">
            <w:pPr>
              <w:rPr>
                <w:sz w:val="22"/>
                <w:szCs w:val="22"/>
              </w:rPr>
            </w:pPr>
          </w:p>
        </w:tc>
        <w:tc>
          <w:tcPr>
            <w:tcW w:w="1327" w:type="dxa"/>
            <w:vMerge/>
            <w:tcBorders>
              <w:left w:val="single" w:sz="4" w:space="0" w:color="auto"/>
              <w:right w:val="single" w:sz="4" w:space="0" w:color="auto"/>
            </w:tcBorders>
          </w:tcPr>
          <w:p w:rsidR="009C6557" w:rsidRPr="00D42FE4" w:rsidRDefault="009C6557" w:rsidP="00D42FE4">
            <w:pPr>
              <w:autoSpaceDE w:val="0"/>
              <w:adjustRightInd w:val="0"/>
              <w:jc w:val="both"/>
              <w:rPr>
                <w:rFonts w:eastAsiaTheme="minorHAnsi"/>
                <w:sz w:val="22"/>
                <w:szCs w:val="22"/>
                <w:lang w:eastAsia="en-US"/>
              </w:rPr>
            </w:pPr>
          </w:p>
        </w:tc>
        <w:tc>
          <w:tcPr>
            <w:tcW w:w="1731"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c>
          <w:tcPr>
            <w:tcW w:w="1464" w:type="dxa"/>
            <w:vMerge/>
            <w:tcBorders>
              <w:left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r>
      <w:tr w:rsidR="009C6557" w:rsidRPr="00D42FE4" w:rsidTr="00387F8C">
        <w:trPr>
          <w:trHeight w:val="373"/>
        </w:trPr>
        <w:tc>
          <w:tcPr>
            <w:tcW w:w="659" w:type="dxa"/>
            <w:vMerge/>
            <w:tcBorders>
              <w:left w:val="single" w:sz="4" w:space="0" w:color="auto"/>
              <w:bottom w:val="single" w:sz="4" w:space="0" w:color="auto"/>
              <w:right w:val="single" w:sz="4" w:space="0" w:color="auto"/>
            </w:tcBorders>
          </w:tcPr>
          <w:p w:rsidR="009C6557" w:rsidRPr="00D42FE4" w:rsidRDefault="009C6557" w:rsidP="00D42FE4">
            <w:pPr>
              <w:pStyle w:val="Zawartotabeli"/>
              <w:spacing w:before="120"/>
              <w:rPr>
                <w:sz w:val="22"/>
                <w:szCs w:val="22"/>
                <w:lang w:eastAsia="en-US"/>
              </w:rPr>
            </w:pPr>
          </w:p>
        </w:tc>
        <w:tc>
          <w:tcPr>
            <w:tcW w:w="2656" w:type="dxa"/>
            <w:vMerge/>
            <w:tcBorders>
              <w:left w:val="single" w:sz="4" w:space="0" w:color="auto"/>
              <w:bottom w:val="single" w:sz="4" w:space="0" w:color="auto"/>
              <w:right w:val="single" w:sz="4" w:space="0" w:color="auto"/>
            </w:tcBorders>
          </w:tcPr>
          <w:p w:rsidR="009C6557" w:rsidRPr="00D42FE4" w:rsidRDefault="009C6557" w:rsidP="00D42FE4">
            <w:pPr>
              <w:rPr>
                <w:rFonts w:eastAsiaTheme="minorHAnsi"/>
                <w:sz w:val="22"/>
                <w:szCs w:val="22"/>
                <w:lang w:eastAsia="en-US"/>
              </w:rPr>
            </w:pPr>
          </w:p>
        </w:tc>
        <w:tc>
          <w:tcPr>
            <w:tcW w:w="1328" w:type="dxa"/>
            <w:vMerge/>
            <w:tcBorders>
              <w:left w:val="single" w:sz="4" w:space="0" w:color="auto"/>
              <w:bottom w:val="single" w:sz="4" w:space="0" w:color="auto"/>
              <w:right w:val="single" w:sz="4" w:space="0" w:color="auto"/>
            </w:tcBorders>
          </w:tcPr>
          <w:p w:rsidR="009C6557" w:rsidRPr="00D42FE4" w:rsidRDefault="009C6557" w:rsidP="00D42FE4">
            <w:pPr>
              <w:rPr>
                <w:sz w:val="22"/>
                <w:szCs w:val="22"/>
              </w:rPr>
            </w:pPr>
          </w:p>
        </w:tc>
        <w:tc>
          <w:tcPr>
            <w:tcW w:w="1327" w:type="dxa"/>
            <w:vMerge/>
            <w:tcBorders>
              <w:left w:val="single" w:sz="4" w:space="0" w:color="auto"/>
              <w:bottom w:val="single" w:sz="4" w:space="0" w:color="auto"/>
              <w:right w:val="single" w:sz="4" w:space="0" w:color="auto"/>
            </w:tcBorders>
          </w:tcPr>
          <w:p w:rsidR="009C6557" w:rsidRPr="00D42FE4" w:rsidRDefault="009C6557" w:rsidP="00D42FE4">
            <w:pPr>
              <w:autoSpaceDE w:val="0"/>
              <w:adjustRightInd w:val="0"/>
              <w:jc w:val="both"/>
              <w:rPr>
                <w:rFonts w:eastAsiaTheme="minorHAnsi"/>
                <w:sz w:val="22"/>
                <w:szCs w:val="22"/>
                <w:lang w:eastAsia="en-US"/>
              </w:rPr>
            </w:pPr>
          </w:p>
        </w:tc>
        <w:tc>
          <w:tcPr>
            <w:tcW w:w="1731" w:type="dxa"/>
            <w:vMerge/>
            <w:tcBorders>
              <w:left w:val="single" w:sz="4" w:space="0" w:color="auto"/>
              <w:bottom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c>
          <w:tcPr>
            <w:tcW w:w="1464" w:type="dxa"/>
            <w:vMerge/>
            <w:tcBorders>
              <w:left w:val="single" w:sz="4" w:space="0" w:color="auto"/>
              <w:bottom w:val="single" w:sz="4" w:space="0" w:color="auto"/>
              <w:right w:val="single" w:sz="4" w:space="0" w:color="auto"/>
            </w:tcBorders>
          </w:tcPr>
          <w:p w:rsidR="009C6557" w:rsidRPr="00D42FE4" w:rsidRDefault="009C6557" w:rsidP="00D42FE4">
            <w:pPr>
              <w:pStyle w:val="NormalnyWeb"/>
              <w:spacing w:before="120" w:beforeAutospacing="0" w:after="0" w:line="240" w:lineRule="auto"/>
              <w:rPr>
                <w:sz w:val="22"/>
                <w:szCs w:val="22"/>
                <w:lang w:eastAsia="en-US"/>
              </w:rPr>
            </w:pPr>
          </w:p>
        </w:tc>
      </w:tr>
    </w:tbl>
    <w:p w:rsidR="00717A58" w:rsidRDefault="00717A58" w:rsidP="00717A58">
      <w:pPr>
        <w:pStyle w:val="Tekstpodstawowy"/>
        <w:spacing w:after="0" w:line="276" w:lineRule="auto"/>
        <w:ind w:firstLine="567"/>
        <w:jc w:val="both"/>
        <w:rPr>
          <w:rFonts w:eastAsia="Times New Roman"/>
        </w:rPr>
      </w:pPr>
      <w:r>
        <w:rPr>
          <w:rFonts w:eastAsia="Times New Roman"/>
        </w:rPr>
        <w:t>2. Ustalona w przetargu cena stanowi cenę brutto w rozumieniu przepisów o podatku od towarów i usług</w:t>
      </w:r>
      <w:r w:rsidR="009C6557">
        <w:rPr>
          <w:rFonts w:eastAsia="Times New Roman"/>
        </w:rPr>
        <w:t xml:space="preserve"> tj.: zawiera podatek VAT w wysokości 23%</w:t>
      </w:r>
      <w:r>
        <w:rPr>
          <w:rFonts w:eastAsia="Times New Roman"/>
        </w:rPr>
        <w:t>.</w:t>
      </w:r>
    </w:p>
    <w:p w:rsidR="00717A58" w:rsidRDefault="00717A58" w:rsidP="00717A58">
      <w:pPr>
        <w:pStyle w:val="Tekstpodstawowy"/>
        <w:spacing w:after="0" w:line="276" w:lineRule="auto"/>
        <w:ind w:firstLine="567"/>
        <w:jc w:val="both"/>
        <w:rPr>
          <w:rFonts w:eastAsia="Times New Roman"/>
        </w:rPr>
      </w:pPr>
    </w:p>
    <w:p w:rsidR="00717A58" w:rsidRDefault="00717A58" w:rsidP="00717A58">
      <w:pPr>
        <w:pStyle w:val="Tekstpodstawowy"/>
        <w:tabs>
          <w:tab w:val="left" w:pos="424"/>
        </w:tabs>
        <w:spacing w:after="0"/>
        <w:ind w:firstLine="567"/>
        <w:jc w:val="both"/>
      </w:pPr>
      <w:r>
        <w:rPr>
          <w:rFonts w:eastAsia="Times New Roman"/>
        </w:rPr>
        <w:t>§6.1. W przetargu mogą wziąć udział podmioty, które wpłacą wadium w pieniądzu,</w:t>
      </w:r>
      <w:r>
        <w:rPr>
          <w:rFonts w:eastAsia="Times New Roman"/>
        </w:rPr>
        <w:br/>
        <w:t xml:space="preserve">w formie przelewu, na konto Urzędu Miasta Torunia - BANK MILLENNIUM S.A. O/Toruń nr </w:t>
      </w:r>
      <w:r>
        <w:t xml:space="preserve">62 1160  2202  0000  0003  3943  1400 </w:t>
      </w:r>
      <w:r>
        <w:rPr>
          <w:rFonts w:eastAsia="Times New Roman"/>
        </w:rPr>
        <w:t xml:space="preserve">w terminie do dnia </w:t>
      </w:r>
      <w:r w:rsidR="0033335F">
        <w:rPr>
          <w:rFonts w:eastAsia="Times New Roman"/>
          <w:b/>
        </w:rPr>
        <w:t>2</w:t>
      </w:r>
      <w:r w:rsidR="00387F8C">
        <w:rPr>
          <w:rFonts w:eastAsia="Times New Roman"/>
          <w:b/>
        </w:rPr>
        <w:t>3</w:t>
      </w:r>
      <w:r>
        <w:rPr>
          <w:rFonts w:eastAsia="Times New Roman"/>
          <w:b/>
        </w:rPr>
        <w:t xml:space="preserve"> </w:t>
      </w:r>
      <w:r w:rsidR="00387F8C">
        <w:rPr>
          <w:rFonts w:eastAsia="Times New Roman"/>
          <w:b/>
        </w:rPr>
        <w:t>października</w:t>
      </w:r>
      <w:r>
        <w:rPr>
          <w:rFonts w:eastAsia="Times New Roman"/>
          <w:b/>
        </w:rPr>
        <w:t xml:space="preserve"> 202</w:t>
      </w:r>
      <w:r w:rsidR="0033335F">
        <w:rPr>
          <w:rFonts w:eastAsia="Times New Roman"/>
          <w:b/>
        </w:rPr>
        <w:t>4</w:t>
      </w:r>
      <w:r>
        <w:rPr>
          <w:rFonts w:eastAsia="Times New Roman"/>
          <w:b/>
        </w:rPr>
        <w:t>r.</w:t>
      </w:r>
      <w:r>
        <w:rPr>
          <w:rFonts w:eastAsia="Times New Roman"/>
        </w:rPr>
        <w:t xml:space="preserve"> włącznie. Za datę wpłaty wadium uznaje się dzień wpływu środków pieniężnych na wskazane konto Gminy. Na dowodzie wpłaty należy umieścić dopisek wskazujący oznaczenie działek do licytacji których uczestnik zamierza przystąpić. Wpłacone wadium uprawnia do uczestnictwa wyłącznie w przetargu, którego dotyczy.</w:t>
      </w:r>
    </w:p>
    <w:p w:rsidR="00717A58" w:rsidRDefault="00717A58" w:rsidP="00717A58">
      <w:pPr>
        <w:pStyle w:val="Tekstpodstawowy"/>
        <w:tabs>
          <w:tab w:val="left" w:pos="424"/>
        </w:tabs>
        <w:spacing w:after="0"/>
        <w:ind w:firstLine="567"/>
        <w:jc w:val="both"/>
        <w:rPr>
          <w:rFonts w:eastAsia="Times New Roman"/>
        </w:rPr>
      </w:pPr>
      <w:r>
        <w:rPr>
          <w:rFonts w:eastAsia="Times New Roman"/>
        </w:rPr>
        <w:t xml:space="preserve">2. Podmioty, które wpłacą wadium w sposób niezgodny z postanowieniami ust. 1, </w:t>
      </w:r>
      <w:r>
        <w:rPr>
          <w:rFonts w:eastAsia="Times New Roman"/>
        </w:rPr>
        <w:br/>
        <w:t xml:space="preserve">w szczególności gdy wadium zostanie wpłacone w gotówce w kasie Urzędu Miasta Torunia, </w:t>
      </w:r>
      <w:r>
        <w:rPr>
          <w:rFonts w:eastAsia="Times New Roman"/>
        </w:rPr>
        <w:lastRenderedPageBreak/>
        <w:t>nie zostaną dopuszczone do udziału w przetargu.</w:t>
      </w:r>
    </w:p>
    <w:p w:rsidR="00717A58" w:rsidRDefault="00717A58" w:rsidP="00717A58">
      <w:pPr>
        <w:pStyle w:val="Tekstpodstawowy"/>
        <w:tabs>
          <w:tab w:val="left" w:pos="554"/>
        </w:tabs>
        <w:spacing w:after="0"/>
        <w:ind w:firstLine="567"/>
        <w:jc w:val="both"/>
        <w:rPr>
          <w:rFonts w:eastAsia="Times New Roman"/>
        </w:rPr>
      </w:pPr>
      <w:r>
        <w:rPr>
          <w:rFonts w:eastAsia="Times New Roman"/>
        </w:rPr>
        <w:t xml:space="preserve">3. Komisja przetargowa w dniu </w:t>
      </w:r>
      <w:r w:rsidR="006F3654">
        <w:rPr>
          <w:rFonts w:eastAsia="Times New Roman"/>
        </w:rPr>
        <w:t>2</w:t>
      </w:r>
      <w:r w:rsidR="00387F8C">
        <w:rPr>
          <w:rFonts w:eastAsia="Times New Roman"/>
        </w:rPr>
        <w:t>5</w:t>
      </w:r>
      <w:r>
        <w:rPr>
          <w:rFonts w:eastAsia="Times New Roman"/>
        </w:rPr>
        <w:t xml:space="preserve"> </w:t>
      </w:r>
      <w:r w:rsidR="00387F8C">
        <w:rPr>
          <w:rFonts w:eastAsia="Times New Roman"/>
        </w:rPr>
        <w:t>października</w:t>
      </w:r>
      <w:r>
        <w:rPr>
          <w:rFonts w:eastAsia="Times New Roman"/>
        </w:rPr>
        <w:t xml:space="preserve"> 202</w:t>
      </w:r>
      <w:r w:rsidR="0033335F">
        <w:rPr>
          <w:rFonts w:eastAsia="Times New Roman"/>
        </w:rPr>
        <w:t>4</w:t>
      </w:r>
      <w:r>
        <w:rPr>
          <w:rFonts w:eastAsia="Times New Roman"/>
        </w:rPr>
        <w:t>r. stwierdzi dokonanie wpłat wadiów na podstawie wyciągu bankowego z wskazanego konta i sporządzi wykaz osób, które spełniły ten warunek.</w:t>
      </w:r>
    </w:p>
    <w:p w:rsidR="00717A58" w:rsidRDefault="00717A58" w:rsidP="00717A58">
      <w:pPr>
        <w:pStyle w:val="Tekstpodstawowy"/>
        <w:tabs>
          <w:tab w:val="left" w:pos="554"/>
        </w:tabs>
        <w:spacing w:after="0" w:line="276" w:lineRule="auto"/>
        <w:ind w:firstLine="567"/>
        <w:jc w:val="both"/>
        <w:rPr>
          <w:rFonts w:eastAsia="Times New Roman"/>
        </w:rPr>
      </w:pPr>
    </w:p>
    <w:p w:rsidR="00717A58" w:rsidRDefault="00717A58" w:rsidP="00717A58">
      <w:pPr>
        <w:ind w:firstLine="567"/>
        <w:jc w:val="both"/>
      </w:pPr>
      <w:r>
        <w:t>§7.1. Uczestnicy przetargu i osoby działające w ich imieniu winni przed przystąpieniem do licytacji przedstawić Komisji Przetargowej:</w:t>
      </w:r>
    </w:p>
    <w:p w:rsidR="00717A58" w:rsidRDefault="00717A58" w:rsidP="00717A58">
      <w:pPr>
        <w:ind w:firstLine="567"/>
        <w:jc w:val="both"/>
      </w:pPr>
      <w:r>
        <w:t>1) wszyscy: dokument potwierdzający tożsamość tj. dowód osobisty lub paszport;</w:t>
      </w:r>
    </w:p>
    <w:p w:rsidR="00717A58" w:rsidRDefault="00717A58" w:rsidP="00717A58">
      <w:pPr>
        <w:ind w:firstLine="567"/>
        <w:jc w:val="both"/>
      </w:pPr>
      <w:r>
        <w:t>2) osoby prawne i jednostki organizacyjne nie będące osobami prawnymi, którym ustawa przyznała zdolność prawną: aktualny wypis z właściwego rejestru oraz upoważnienie organu uprawnionego do reprezentowania podmiotu;</w:t>
      </w:r>
    </w:p>
    <w:p w:rsidR="00717A58" w:rsidRDefault="00717A58" w:rsidP="00717A58">
      <w:pPr>
        <w:ind w:firstLine="567"/>
        <w:jc w:val="both"/>
      </w:pPr>
      <w:r>
        <w:t>3) pełnomocnicy - pełnomocnictwo do uczestnictwa w przetargu (w formie pisemnej) lub pełnomocnictwo do nabycia nieruchomości (w formie aktu notarialnego);</w:t>
      </w:r>
    </w:p>
    <w:p w:rsidR="00717A58" w:rsidRDefault="00717A58" w:rsidP="00717A58">
      <w:pPr>
        <w:ind w:firstLine="567"/>
        <w:jc w:val="both"/>
      </w:pPr>
      <w:r>
        <w:t>4) małżonek zamierzający samodzielnie licytować nieruchomość nabywaną do majątku wspólnego – pisemną zgodę współmałżonka;</w:t>
      </w:r>
    </w:p>
    <w:p w:rsidR="00717A58" w:rsidRDefault="00717A58" w:rsidP="00717A58">
      <w:pPr>
        <w:pStyle w:val="Tekstpodstawowy"/>
        <w:tabs>
          <w:tab w:val="left" w:pos="855"/>
        </w:tabs>
        <w:spacing w:after="0"/>
        <w:ind w:firstLine="567"/>
        <w:jc w:val="both"/>
      </w:pPr>
      <w:r>
        <w:t>2. Nie przedłożenie wymaganych dokumentów wymienionych w ust. 1 skutkować będzie nie dopuszczeniem do uczestnictwa w przetargu.</w:t>
      </w:r>
    </w:p>
    <w:p w:rsidR="00717A58" w:rsidRDefault="00717A58" w:rsidP="00717A58">
      <w:pPr>
        <w:pStyle w:val="Tekstpodstawowy"/>
        <w:tabs>
          <w:tab w:val="left" w:pos="855"/>
        </w:tabs>
        <w:spacing w:after="0"/>
        <w:ind w:firstLine="567"/>
        <w:jc w:val="both"/>
      </w:pPr>
      <w:r>
        <w:t>3. W przetargu nie mogą uczestniczyć osoby wchodzące w skład Komisji Przetargowej, osoby im bliskie, lub pozostające w takim stosunku prawnym lub faktycznym, że może budzić to uzasadnione wątpliwości co do bezstronności Komisji Przetargowej.</w:t>
      </w:r>
    </w:p>
    <w:p w:rsidR="00717A58" w:rsidRDefault="00717A58" w:rsidP="00717A58">
      <w:pPr>
        <w:pStyle w:val="Tekstpodstawowy"/>
        <w:tabs>
          <w:tab w:val="left" w:pos="424"/>
        </w:tabs>
        <w:spacing w:after="0" w:line="360" w:lineRule="auto"/>
        <w:ind w:firstLine="567"/>
        <w:jc w:val="both"/>
        <w:rPr>
          <w:rFonts w:eastAsia="Times New Roman"/>
        </w:rPr>
      </w:pPr>
    </w:p>
    <w:p w:rsidR="00717A58" w:rsidRDefault="00717A58" w:rsidP="00717A58">
      <w:pPr>
        <w:pStyle w:val="Tekstpodstawowy"/>
        <w:tabs>
          <w:tab w:val="left" w:pos="424"/>
        </w:tabs>
        <w:spacing w:after="0"/>
        <w:ind w:firstLine="567"/>
        <w:jc w:val="both"/>
        <w:rPr>
          <w:rFonts w:eastAsia="Times New Roman"/>
        </w:rPr>
      </w:pPr>
      <w:r>
        <w:rPr>
          <w:rFonts w:eastAsia="Times New Roman"/>
        </w:rPr>
        <w:t>§8.1. Licytacja odbywa się przez podniesienie ręki osoby biorącej udział w przetargu oraz głośne podanie oferowanej ceny, będącej powiększeniem ceny wywoławczej o kolejne postąpienia.</w:t>
      </w:r>
    </w:p>
    <w:p w:rsidR="00717A58" w:rsidRDefault="00717A58" w:rsidP="00717A58">
      <w:pPr>
        <w:pStyle w:val="Tekstpodstawowy"/>
        <w:spacing w:after="0"/>
        <w:ind w:firstLine="567"/>
        <w:jc w:val="both"/>
      </w:pPr>
      <w:r>
        <w:rPr>
          <w:rFonts w:eastAsia="Times New Roman"/>
        </w:rPr>
        <w:t xml:space="preserve">2. Uczestnicy przetargu zgłaszają kolejne postąpienia w wysokości nie niższej niż 1% ceny wywoławczej z </w:t>
      </w:r>
      <w:r>
        <w:t>zaokrągleniem w górę do pełnych dziesiątek złotych.</w:t>
      </w:r>
    </w:p>
    <w:p w:rsidR="00717A58" w:rsidRDefault="00717A58" w:rsidP="00717A58">
      <w:pPr>
        <w:pStyle w:val="Tekstpodstawowy"/>
        <w:tabs>
          <w:tab w:val="left" w:pos="435"/>
        </w:tabs>
        <w:spacing w:after="0"/>
        <w:ind w:firstLine="567"/>
        <w:jc w:val="both"/>
        <w:rPr>
          <w:rFonts w:eastAsia="Times New Roman"/>
        </w:rPr>
      </w:pPr>
    </w:p>
    <w:p w:rsidR="00717A58" w:rsidRDefault="00717A58" w:rsidP="00717A58">
      <w:pPr>
        <w:pStyle w:val="Tekstpodstawowy"/>
        <w:tabs>
          <w:tab w:val="left" w:pos="435"/>
        </w:tabs>
        <w:spacing w:after="0"/>
        <w:ind w:firstLine="567"/>
        <w:jc w:val="both"/>
      </w:pPr>
      <w:r>
        <w:rPr>
          <w:rFonts w:eastAsia="Times New Roman"/>
        </w:rPr>
        <w:t>§9.</w:t>
      </w:r>
      <w:r>
        <w:rPr>
          <w:rFonts w:eastAsia="Times New Roman"/>
          <w:b/>
          <w:bCs/>
        </w:rPr>
        <w:t xml:space="preserve">  </w:t>
      </w:r>
      <w:r>
        <w:rPr>
          <w:rFonts w:eastAsia="Times New Roman"/>
        </w:rPr>
        <w:t>O rozstrzygnięciu licytacji decyduje wielkość i kolejność zaoferowanej ceny.</w:t>
      </w:r>
    </w:p>
    <w:p w:rsidR="00717A58" w:rsidRDefault="00717A58" w:rsidP="00717A58">
      <w:pPr>
        <w:pStyle w:val="Tekstpodstawowy"/>
        <w:tabs>
          <w:tab w:val="left" w:pos="424"/>
        </w:tabs>
        <w:spacing w:after="0"/>
        <w:ind w:firstLine="567"/>
        <w:jc w:val="both"/>
        <w:rPr>
          <w:rFonts w:eastAsia="Times New Roman"/>
        </w:rPr>
      </w:pPr>
    </w:p>
    <w:p w:rsidR="00717A58" w:rsidRDefault="00717A58" w:rsidP="00717A58">
      <w:pPr>
        <w:pStyle w:val="Tekstpodstawowy"/>
        <w:tabs>
          <w:tab w:val="left" w:pos="424"/>
        </w:tabs>
        <w:spacing w:after="0"/>
        <w:ind w:firstLine="567"/>
        <w:jc w:val="both"/>
        <w:rPr>
          <w:rFonts w:eastAsia="Times New Roman"/>
        </w:rPr>
      </w:pPr>
      <w:r>
        <w:rPr>
          <w:rFonts w:eastAsia="Times New Roman"/>
        </w:rPr>
        <w:t>§10. Po trzecim wywołaniu najwyższej zaoferowanej ceny dalsze postąpienia nie zostaną przyjęte.</w:t>
      </w:r>
    </w:p>
    <w:p w:rsidR="00717A58" w:rsidRDefault="00717A58" w:rsidP="00717A58">
      <w:pPr>
        <w:pStyle w:val="Tekstpodstawowy"/>
        <w:tabs>
          <w:tab w:val="left" w:pos="424"/>
        </w:tabs>
        <w:spacing w:after="0"/>
        <w:ind w:firstLine="567"/>
        <w:jc w:val="both"/>
        <w:rPr>
          <w:rFonts w:eastAsia="Times New Roman"/>
        </w:rPr>
      </w:pPr>
    </w:p>
    <w:p w:rsidR="00717A58" w:rsidRDefault="00717A58" w:rsidP="00717A58">
      <w:pPr>
        <w:pStyle w:val="Tekstpodstawowy"/>
        <w:tabs>
          <w:tab w:val="left" w:pos="424"/>
        </w:tabs>
        <w:spacing w:after="0"/>
        <w:ind w:firstLine="567"/>
        <w:jc w:val="both"/>
        <w:rPr>
          <w:rFonts w:eastAsia="Times New Roman"/>
        </w:rPr>
      </w:pPr>
      <w:r>
        <w:rPr>
          <w:rFonts w:eastAsia="Times New Roman"/>
        </w:rPr>
        <w:t>§11. Przetarg jest ważny bez względu na liczbę uczestników przetargu, jeżeli chociaż jeden uczestnik zaoferuje co najmniej jedno postąpienie powyżej ceny wywoławczej.</w:t>
      </w:r>
    </w:p>
    <w:p w:rsidR="00717A58" w:rsidRDefault="00717A58" w:rsidP="00717A58">
      <w:pPr>
        <w:pStyle w:val="Tekstpodstawowy"/>
        <w:tabs>
          <w:tab w:val="left" w:pos="424"/>
        </w:tabs>
        <w:spacing w:after="0"/>
        <w:ind w:firstLine="567"/>
        <w:jc w:val="both"/>
        <w:rPr>
          <w:rFonts w:eastAsia="Times New Roman"/>
        </w:rPr>
      </w:pPr>
    </w:p>
    <w:p w:rsidR="00717A58" w:rsidRDefault="00717A58" w:rsidP="00717A58">
      <w:pPr>
        <w:ind w:firstLine="567"/>
        <w:jc w:val="both"/>
      </w:pPr>
    </w:p>
    <w:p w:rsidR="00717A58" w:rsidRDefault="00717A58" w:rsidP="00717A58">
      <w:pPr>
        <w:ind w:firstLine="567"/>
        <w:jc w:val="both"/>
      </w:pPr>
      <w:r>
        <w:t>§12. Wadium wpłacone przez uczestnika, który przetarg wygrał zalicza się na poczet ceny sprzedaży z chwilą zawarcia umowy przenoszącej własność nieruchomości w formie aktu notarialnego.</w:t>
      </w:r>
    </w:p>
    <w:p w:rsidR="00717A58" w:rsidRDefault="00717A58" w:rsidP="00717A58">
      <w:pPr>
        <w:ind w:firstLine="567"/>
        <w:jc w:val="both"/>
      </w:pPr>
    </w:p>
    <w:p w:rsidR="00717A58" w:rsidRDefault="00717A58" w:rsidP="00717A58">
      <w:pPr>
        <w:ind w:firstLine="567"/>
        <w:jc w:val="both"/>
      </w:pPr>
      <w:r>
        <w:t>§13. Pozostałym uczestnikom przetargu wadium zostanie niezwłocznie, nie później niż przed upływem 3 dni od dnia odwołania, unieważnienia lub rozstrzygnięcia przetargu, zwrócone przelewem  - w wysokości nominalnej, na wskazane przez nich konto. W przypadku braku pisemnego wskazania - najpóźniej w dniu przetargu - rachunku bankowego, na które ma być dokonany zwrot wadium zostanie ono zwrócone na konto, z którego wpłynęło.</w:t>
      </w:r>
    </w:p>
    <w:p w:rsidR="00717A58" w:rsidRDefault="00717A58" w:rsidP="00717A58">
      <w:pPr>
        <w:ind w:firstLine="567"/>
        <w:jc w:val="both"/>
      </w:pPr>
    </w:p>
    <w:p w:rsidR="00717A58" w:rsidRDefault="00717A58" w:rsidP="00717A58">
      <w:pPr>
        <w:pStyle w:val="Tekstpodstawowy"/>
        <w:tabs>
          <w:tab w:val="left" w:pos="424"/>
        </w:tabs>
        <w:spacing w:after="0"/>
        <w:ind w:firstLine="567"/>
        <w:jc w:val="both"/>
      </w:pPr>
      <w:r>
        <w:rPr>
          <w:rFonts w:eastAsia="Times New Roman"/>
        </w:rPr>
        <w:t>§14.</w:t>
      </w:r>
      <w:r>
        <w:rPr>
          <w:rFonts w:eastAsia="Times New Roman"/>
          <w:b/>
          <w:bCs/>
        </w:rPr>
        <w:t xml:space="preserve"> </w:t>
      </w:r>
      <w:r>
        <w:rPr>
          <w:rFonts w:eastAsia="Times New Roman"/>
        </w:rPr>
        <w:t xml:space="preserve"> 1. Protokół przetargu sporządza się w trzech jednobrzmiących egzemplarzach.</w:t>
      </w:r>
    </w:p>
    <w:p w:rsidR="00717A58" w:rsidRDefault="00717A58" w:rsidP="00717A58">
      <w:pPr>
        <w:pStyle w:val="Tekstpodstawowy"/>
        <w:spacing w:after="0" w:line="276" w:lineRule="auto"/>
        <w:ind w:firstLine="567"/>
        <w:jc w:val="both"/>
        <w:rPr>
          <w:rFonts w:eastAsia="Times New Roman"/>
        </w:rPr>
      </w:pPr>
      <w:r>
        <w:rPr>
          <w:rFonts w:eastAsia="Times New Roman"/>
        </w:rPr>
        <w:t>2. Protokół przetargu stanowi podstawę do zawarcia aktu notarialnego.</w:t>
      </w:r>
    </w:p>
    <w:p w:rsidR="00717A58" w:rsidRDefault="00717A58" w:rsidP="00717A58">
      <w:pPr>
        <w:pStyle w:val="Tekstpodstawowy"/>
        <w:spacing w:after="0" w:line="276" w:lineRule="auto"/>
        <w:ind w:firstLine="567"/>
        <w:jc w:val="both"/>
        <w:rPr>
          <w:rFonts w:eastAsia="Times New Roman"/>
        </w:rPr>
      </w:pPr>
    </w:p>
    <w:p w:rsidR="00717A58" w:rsidRDefault="00717A58" w:rsidP="00717A58">
      <w:pPr>
        <w:ind w:firstLine="567"/>
        <w:jc w:val="both"/>
        <w:rPr>
          <w:rFonts w:eastAsia="SimSun"/>
          <w:kern w:val="2"/>
        </w:rPr>
      </w:pPr>
      <w:r>
        <w:lastRenderedPageBreak/>
        <w:t xml:space="preserve">§15.1. </w:t>
      </w:r>
      <w:r>
        <w:rPr>
          <w:rStyle w:val="alb"/>
        </w:rPr>
        <w:t xml:space="preserve">Prezydent Miasta Torunia </w:t>
      </w:r>
      <w:r>
        <w:t>zawiadomi osobę ustaloną jako nabywca nieruchomości o miejscu i terminie zawarcia umowy sprzedaży  nieruchomości, najpóźniej w ciągu 21 dni od dnia rozstrzygnięcia przetargu. Wyznaczony termin nie może być krótszy niż 7 dni od dnia doręczenia zawiadomienia.</w:t>
      </w:r>
    </w:p>
    <w:p w:rsidR="00717A58" w:rsidRDefault="00717A58" w:rsidP="00717A58">
      <w:pPr>
        <w:jc w:val="both"/>
        <w:rPr>
          <w:rStyle w:val="alb"/>
          <w:rFonts w:ascii="Liberation Serif" w:hAnsi="Liberation Serif" w:cs="Mangal"/>
        </w:rPr>
      </w:pPr>
      <w:r>
        <w:t xml:space="preserve">                2. Umowa sprzedaży nieruchomości, w formie aktu notarialnego, winna zostać zawarta najpóźniej w terminie </w:t>
      </w:r>
      <w:r w:rsidR="00AE0E71">
        <w:t>dwóch miesięcy od  dnia rozstrzygnięcia przetargu.</w:t>
      </w:r>
      <w:r>
        <w:rPr>
          <w:color w:val="000000"/>
        </w:rPr>
        <w:t xml:space="preserve"> </w:t>
      </w:r>
      <w:r>
        <w:t xml:space="preserve">W przypadku wystąpienia wyjątkowych  okoliczności, których osoba ustalona jako nabywca nieruchomości nie mogła przewidzieć w dniu przetargu, Prezydent Miasta Torunia może zadecydować o przesunięciu  terminu zawarcia umowy. </w:t>
      </w:r>
    </w:p>
    <w:p w:rsidR="00717A58" w:rsidRDefault="00717A58" w:rsidP="00717A58">
      <w:pPr>
        <w:jc w:val="both"/>
      </w:pPr>
      <w:r>
        <w:rPr>
          <w:rStyle w:val="alb"/>
        </w:rPr>
        <w:t xml:space="preserve">                3. </w:t>
      </w:r>
      <w:r>
        <w:t>Jeżeli osoba ustalona jako nabywca nieruchomości nie przystąpi bez usprawiedliwienia do zawarcia umowy w miejscu i w terminie podanych w zawiadomieniu,</w:t>
      </w:r>
      <w:r>
        <w:br/>
        <w:t xml:space="preserve">o którym mowa w ust. 1, z zastrzeżeniem ust. 2, Prezydent Miasta Torunia może odstąpić od zawarcia umowy, a wpłacone wadium nie podlega zwrotowi. </w:t>
      </w:r>
    </w:p>
    <w:p w:rsidR="00717A58" w:rsidRDefault="00717A58" w:rsidP="00717A58">
      <w:pPr>
        <w:pStyle w:val="Textbody"/>
        <w:spacing w:after="0" w:line="240" w:lineRule="auto"/>
        <w:ind w:firstLine="554"/>
        <w:jc w:val="both"/>
        <w:rPr>
          <w:color w:val="000000"/>
          <w:sz w:val="24"/>
          <w:szCs w:val="24"/>
        </w:rPr>
      </w:pPr>
    </w:p>
    <w:p w:rsidR="00717A58" w:rsidRDefault="00717A58" w:rsidP="0006032E">
      <w:pPr>
        <w:pStyle w:val="Textbody"/>
        <w:spacing w:after="0" w:line="240" w:lineRule="auto"/>
        <w:ind w:firstLine="420"/>
        <w:jc w:val="both"/>
        <w:rPr>
          <w:color w:val="000000"/>
          <w:sz w:val="24"/>
          <w:szCs w:val="24"/>
        </w:rPr>
      </w:pPr>
      <w:r>
        <w:rPr>
          <w:color w:val="000000"/>
          <w:sz w:val="24"/>
          <w:szCs w:val="24"/>
        </w:rPr>
        <w:t>§16.  Zwycięzca prze</w:t>
      </w:r>
      <w:r w:rsidR="0006032E">
        <w:rPr>
          <w:color w:val="000000"/>
          <w:sz w:val="24"/>
          <w:szCs w:val="24"/>
        </w:rPr>
        <w:t xml:space="preserve">targu zobowiązany jest zapłacić </w:t>
      </w:r>
      <w:r>
        <w:rPr>
          <w:color w:val="000000"/>
          <w:sz w:val="24"/>
          <w:szCs w:val="24"/>
        </w:rPr>
        <w:t>ustaloną w przetargu cenę sprzedaży nieruchomości pomniejszoną o wpłacone wadium, przelewem na rachunek bankowy Urzędu Miasta Torunia - BANK MILLENNIUM S.A. O/Toruń nr 95 11602202 0000 0000 6171 9127,</w:t>
      </w:r>
    </w:p>
    <w:p w:rsidR="00717A58" w:rsidRDefault="00717A58" w:rsidP="00717A58">
      <w:pPr>
        <w:pStyle w:val="Textbody"/>
        <w:spacing w:after="0" w:line="240" w:lineRule="auto"/>
        <w:jc w:val="both"/>
        <w:rPr>
          <w:color w:val="000000"/>
          <w:sz w:val="24"/>
          <w:szCs w:val="24"/>
        </w:rPr>
      </w:pPr>
      <w:r>
        <w:rPr>
          <w:color w:val="000000"/>
          <w:sz w:val="24"/>
          <w:szCs w:val="24"/>
        </w:rPr>
        <w:t>przed zawarciem aktu notarialnego przenoszącego własność nieruchomości w terminie</w:t>
      </w:r>
      <w:r>
        <w:rPr>
          <w:color w:val="000000"/>
          <w:sz w:val="24"/>
          <w:szCs w:val="24"/>
        </w:rPr>
        <w:br/>
        <w:t>i w sposób umożliwiający potwierdzenie wpływu środków pieniężnych na wyżej wskazane konta.</w:t>
      </w:r>
    </w:p>
    <w:p w:rsidR="00717A58" w:rsidRDefault="00717A58" w:rsidP="00717A58">
      <w:pPr>
        <w:pStyle w:val="Textbody"/>
        <w:spacing w:after="0" w:line="240" w:lineRule="auto"/>
        <w:jc w:val="both"/>
        <w:rPr>
          <w:color w:val="000000"/>
          <w:sz w:val="24"/>
          <w:szCs w:val="24"/>
        </w:rPr>
      </w:pPr>
    </w:p>
    <w:p w:rsidR="00717A58" w:rsidRDefault="00717A58" w:rsidP="00717A58">
      <w:pPr>
        <w:pStyle w:val="Textbody"/>
        <w:spacing w:after="0" w:line="240" w:lineRule="auto"/>
        <w:jc w:val="both"/>
        <w:rPr>
          <w:color w:val="000000"/>
          <w:sz w:val="24"/>
          <w:szCs w:val="24"/>
        </w:rPr>
      </w:pPr>
      <w:r>
        <w:rPr>
          <w:color w:val="000000"/>
          <w:sz w:val="24"/>
          <w:szCs w:val="24"/>
        </w:rPr>
        <w:t>       §17. Nabycie nieruchomości przez cudzoziemca następuje z uwzględnieniem przepisów ustawy z dnia 24 marca 1920 r. o nabywaniu nieruchomości przez cudzoziemców.</w:t>
      </w:r>
    </w:p>
    <w:p w:rsidR="00717A58" w:rsidRDefault="00717A58" w:rsidP="00717A58">
      <w:pPr>
        <w:pStyle w:val="Textbody"/>
        <w:spacing w:after="0" w:line="240" w:lineRule="auto"/>
        <w:jc w:val="both"/>
        <w:rPr>
          <w:color w:val="000000"/>
          <w:sz w:val="24"/>
          <w:szCs w:val="24"/>
        </w:rPr>
      </w:pPr>
    </w:p>
    <w:p w:rsidR="00717A58" w:rsidRDefault="00717A58" w:rsidP="00717A58">
      <w:pPr>
        <w:pStyle w:val="Textbody"/>
        <w:spacing w:after="0" w:line="240" w:lineRule="auto"/>
        <w:rPr>
          <w:color w:val="000000"/>
          <w:sz w:val="24"/>
          <w:szCs w:val="24"/>
        </w:rPr>
      </w:pPr>
      <w:r>
        <w:rPr>
          <w:color w:val="000000"/>
          <w:sz w:val="24"/>
          <w:szCs w:val="24"/>
        </w:rPr>
        <w:t>       §18. Koszty nabycia nieruchomości ponosi nabywający.</w:t>
      </w:r>
    </w:p>
    <w:p w:rsidR="00717A58" w:rsidRDefault="00717A58" w:rsidP="00717A58">
      <w:pPr>
        <w:pStyle w:val="Textbody"/>
        <w:spacing w:after="0" w:line="240" w:lineRule="auto"/>
        <w:jc w:val="both"/>
        <w:rPr>
          <w:color w:val="000000"/>
          <w:sz w:val="24"/>
          <w:szCs w:val="24"/>
        </w:rPr>
      </w:pPr>
      <w:r>
        <w:rPr>
          <w:color w:val="000000"/>
          <w:sz w:val="24"/>
          <w:szCs w:val="24"/>
        </w:rPr>
        <w:t>    </w:t>
      </w:r>
    </w:p>
    <w:p w:rsidR="00717A58" w:rsidRDefault="00717A58" w:rsidP="00717A58">
      <w:pPr>
        <w:pStyle w:val="Textbody"/>
        <w:spacing w:after="0" w:line="240" w:lineRule="auto"/>
        <w:jc w:val="both"/>
        <w:rPr>
          <w:color w:val="000000"/>
          <w:sz w:val="24"/>
          <w:szCs w:val="24"/>
        </w:rPr>
      </w:pPr>
      <w:r>
        <w:rPr>
          <w:color w:val="000000"/>
          <w:sz w:val="24"/>
          <w:szCs w:val="24"/>
        </w:rPr>
        <w:t>      §19. Dane nieruchomości zostały podane  na podstawie informacji z ewidencji gruntów</w:t>
      </w:r>
      <w:r>
        <w:rPr>
          <w:color w:val="000000"/>
          <w:sz w:val="24"/>
          <w:szCs w:val="24"/>
        </w:rPr>
        <w:br/>
        <w:t>i budynków. Geodezyjne okazanie granic sprzedawanej nieruchomości odbyć się może na koszt i wniosek nabywcy.</w:t>
      </w:r>
    </w:p>
    <w:p w:rsidR="00717A58" w:rsidRDefault="00717A58" w:rsidP="00717A58">
      <w:pPr>
        <w:pStyle w:val="Textbody"/>
        <w:spacing w:after="0" w:line="240" w:lineRule="auto"/>
        <w:rPr>
          <w:color w:val="000000"/>
          <w:sz w:val="24"/>
          <w:szCs w:val="24"/>
        </w:rPr>
      </w:pPr>
      <w:r>
        <w:rPr>
          <w:color w:val="000000"/>
          <w:sz w:val="24"/>
          <w:szCs w:val="24"/>
        </w:rPr>
        <w:t>     </w:t>
      </w:r>
    </w:p>
    <w:p w:rsidR="00717A58" w:rsidRDefault="00717A58" w:rsidP="00717A58">
      <w:pPr>
        <w:pStyle w:val="Textbody"/>
        <w:spacing w:after="0" w:line="240" w:lineRule="auto"/>
        <w:rPr>
          <w:color w:val="000000"/>
          <w:sz w:val="24"/>
          <w:szCs w:val="24"/>
        </w:rPr>
      </w:pPr>
      <w:r>
        <w:rPr>
          <w:color w:val="000000"/>
          <w:sz w:val="24"/>
          <w:szCs w:val="24"/>
        </w:rPr>
        <w:t>       §20. Prezydent Miasta Torunia może z ważnych powodów  odwołać przetarg.</w:t>
      </w:r>
    </w:p>
    <w:p w:rsidR="00717A58" w:rsidRDefault="00717A58" w:rsidP="00717A58">
      <w:pPr>
        <w:pStyle w:val="Textbody"/>
        <w:spacing w:after="0" w:line="240" w:lineRule="auto"/>
        <w:rPr>
          <w:color w:val="000000"/>
          <w:sz w:val="24"/>
          <w:szCs w:val="24"/>
        </w:rPr>
      </w:pPr>
    </w:p>
    <w:p w:rsidR="00717A58" w:rsidRDefault="00717A58" w:rsidP="00717A58">
      <w:pPr>
        <w:pStyle w:val="Textbody"/>
        <w:spacing w:after="0" w:line="240" w:lineRule="auto"/>
        <w:jc w:val="both"/>
        <w:rPr>
          <w:color w:val="000000"/>
          <w:sz w:val="24"/>
          <w:szCs w:val="24"/>
        </w:rPr>
      </w:pPr>
      <w:r>
        <w:rPr>
          <w:color w:val="000000"/>
          <w:sz w:val="24"/>
          <w:szCs w:val="24"/>
        </w:rPr>
        <w:t>       §21. 1. Uczestnik przetargu może zaskarżyć czynności związane z przeprowadzeniem przetargu do Prezydenta Miasta Torunia. Skarga winna być wniesiona w terminie 7 dni od dnia ogłoszenia wyniku przetargu.</w:t>
      </w:r>
    </w:p>
    <w:p w:rsidR="00717A58" w:rsidRDefault="00717A58" w:rsidP="00717A58">
      <w:pPr>
        <w:pStyle w:val="Textbody"/>
        <w:spacing w:after="0" w:line="240" w:lineRule="auto"/>
        <w:ind w:firstLine="554"/>
        <w:jc w:val="both"/>
        <w:rPr>
          <w:color w:val="000000"/>
          <w:sz w:val="24"/>
          <w:szCs w:val="24"/>
        </w:rPr>
      </w:pPr>
      <w:r>
        <w:rPr>
          <w:color w:val="000000"/>
          <w:sz w:val="24"/>
          <w:szCs w:val="24"/>
        </w:rPr>
        <w:t>2. Prezydent Miasta Torunia rozpatrzy skargę w terminie 7 dni od dnia jej otrzymania.</w:t>
      </w:r>
    </w:p>
    <w:p w:rsidR="00717A58" w:rsidRDefault="00717A58" w:rsidP="00717A58">
      <w:pPr>
        <w:pStyle w:val="Textbody"/>
        <w:spacing w:after="0" w:line="240" w:lineRule="auto"/>
        <w:ind w:firstLine="576"/>
        <w:jc w:val="both"/>
        <w:rPr>
          <w:color w:val="000000"/>
          <w:sz w:val="24"/>
          <w:szCs w:val="24"/>
        </w:rPr>
      </w:pPr>
      <w:r>
        <w:rPr>
          <w:color w:val="000000"/>
          <w:sz w:val="24"/>
          <w:szCs w:val="24"/>
        </w:rPr>
        <w:t>3. Do czasu rozpatrzenia skargi wstrzymane zostają czynności związane ze zbyciem nieruchomości.</w:t>
      </w:r>
    </w:p>
    <w:p w:rsidR="00717A58" w:rsidRDefault="00717A58" w:rsidP="00717A58">
      <w:pPr>
        <w:pStyle w:val="Textbody"/>
        <w:spacing w:after="0" w:line="276" w:lineRule="auto"/>
        <w:ind w:firstLine="567"/>
        <w:jc w:val="both"/>
      </w:pPr>
    </w:p>
    <w:p w:rsidR="00CD6757" w:rsidRDefault="00717A58" w:rsidP="00717A58">
      <w:r>
        <w:t>IW</w:t>
      </w:r>
    </w:p>
    <w:p w:rsidR="00A05B79" w:rsidRDefault="00A05B79" w:rsidP="00717A58"/>
    <w:p w:rsidR="00A05B79" w:rsidRPr="00A05B79" w:rsidRDefault="00A05B79" w:rsidP="00A05B79">
      <w:pPr>
        <w:spacing w:line="276" w:lineRule="auto"/>
        <w:ind w:firstLine="5529"/>
        <w:rPr>
          <w:rFonts w:eastAsia="Times New Roman"/>
          <w:i/>
          <w:sz w:val="22"/>
          <w:szCs w:val="22"/>
        </w:rPr>
      </w:pPr>
      <w:r w:rsidRPr="00A05B79">
        <w:rPr>
          <w:rFonts w:eastAsia="Times New Roman"/>
          <w:i/>
          <w:sz w:val="22"/>
          <w:szCs w:val="22"/>
        </w:rPr>
        <w:t>Prezydent Miasta Torunia</w:t>
      </w:r>
    </w:p>
    <w:p w:rsidR="00A05B79" w:rsidRPr="00A05B79" w:rsidRDefault="00A05B79" w:rsidP="00A05B79">
      <w:pPr>
        <w:spacing w:line="276" w:lineRule="auto"/>
        <w:ind w:firstLine="5529"/>
        <w:rPr>
          <w:rFonts w:eastAsia="Times New Roman"/>
          <w:i/>
          <w:sz w:val="22"/>
          <w:szCs w:val="22"/>
        </w:rPr>
      </w:pPr>
      <w:r w:rsidRPr="00A05B79">
        <w:rPr>
          <w:rFonts w:eastAsia="Times New Roman"/>
          <w:i/>
          <w:sz w:val="22"/>
          <w:szCs w:val="22"/>
        </w:rPr>
        <w:t xml:space="preserve">(-) Paweł </w:t>
      </w:r>
      <w:proofErr w:type="spellStart"/>
      <w:r w:rsidRPr="00A05B79">
        <w:rPr>
          <w:rFonts w:eastAsia="Times New Roman"/>
          <w:i/>
          <w:sz w:val="22"/>
          <w:szCs w:val="22"/>
        </w:rPr>
        <w:t>Gulewski</w:t>
      </w:r>
      <w:proofErr w:type="spellEnd"/>
    </w:p>
    <w:p w:rsidR="00A05B79" w:rsidRDefault="00A05B79" w:rsidP="00717A58"/>
    <w:sectPr w:rsidR="00A05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86" w:hanging="360"/>
      </w:pPr>
      <w:rPr>
        <w:vertAlign w:val="superscript"/>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 w15:restartNumberingAfterBreak="0">
    <w:nsid w:val="19CC6E03"/>
    <w:multiLevelType w:val="hybridMultilevel"/>
    <w:tmpl w:val="DE6EC4C4"/>
    <w:lvl w:ilvl="0" w:tplc="4D5A0D28">
      <w:start w:val="1"/>
      <w:numFmt w:val="decimal"/>
      <w:lvlText w:val="%1."/>
      <w:lvlJc w:val="left"/>
      <w:pPr>
        <w:ind w:left="1070"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E42115B"/>
    <w:multiLevelType w:val="hybridMultilevel"/>
    <w:tmpl w:val="96BAD008"/>
    <w:lvl w:ilvl="0" w:tplc="D66A3390">
      <w:start w:val="2"/>
      <w:numFmt w:val="decimal"/>
      <w:lvlText w:val="%1."/>
      <w:lvlJc w:val="left"/>
      <w:pPr>
        <w:ind w:left="1428" w:hanging="360"/>
      </w:pPr>
      <w:rPr>
        <w:rFonts w:eastAsia="Lucida Sans Unicode"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EA74369"/>
    <w:multiLevelType w:val="hybridMultilevel"/>
    <w:tmpl w:val="2E76E936"/>
    <w:lvl w:ilvl="0" w:tplc="1BB2E3FE">
      <w:start w:val="2"/>
      <w:numFmt w:val="decimal"/>
      <w:lvlText w:val="%1."/>
      <w:lvlJc w:val="left"/>
      <w:pPr>
        <w:ind w:left="1070" w:hanging="360"/>
      </w:pPr>
      <w:rPr>
        <w:rFonts w:eastAsia="Lucida Sans Unicode"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496B4F57"/>
    <w:multiLevelType w:val="hybridMultilevel"/>
    <w:tmpl w:val="37B6C364"/>
    <w:lvl w:ilvl="0" w:tplc="5E7ACA6A">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9C60D4"/>
    <w:multiLevelType w:val="hybridMultilevel"/>
    <w:tmpl w:val="81EE3096"/>
    <w:lvl w:ilvl="0" w:tplc="D3EC9062">
      <w:start w:val="2"/>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1273D0"/>
    <w:multiLevelType w:val="hybridMultilevel"/>
    <w:tmpl w:val="5A920202"/>
    <w:lvl w:ilvl="0" w:tplc="BD669F44">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1075802"/>
    <w:multiLevelType w:val="hybridMultilevel"/>
    <w:tmpl w:val="1EF86A16"/>
    <w:lvl w:ilvl="0" w:tplc="04150015">
      <w:start w:val="1"/>
      <w:numFmt w:val="upperLetter"/>
      <w:lvlText w:val="%1."/>
      <w:lvlJc w:val="left"/>
      <w:pPr>
        <w:ind w:left="731" w:hanging="360"/>
      </w:p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8"/>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59"/>
    <w:rsid w:val="00010E6D"/>
    <w:rsid w:val="00011F9E"/>
    <w:rsid w:val="000346CC"/>
    <w:rsid w:val="00054A77"/>
    <w:rsid w:val="0006032E"/>
    <w:rsid w:val="00082DFE"/>
    <w:rsid w:val="0009480B"/>
    <w:rsid w:val="000E737F"/>
    <w:rsid w:val="000F18C6"/>
    <w:rsid w:val="00117153"/>
    <w:rsid w:val="001A701C"/>
    <w:rsid w:val="001D3DE7"/>
    <w:rsid w:val="001E44F2"/>
    <w:rsid w:val="0027301E"/>
    <w:rsid w:val="00276EDA"/>
    <w:rsid w:val="00282660"/>
    <w:rsid w:val="002D6E23"/>
    <w:rsid w:val="00307AB0"/>
    <w:rsid w:val="00312DF9"/>
    <w:rsid w:val="0033335F"/>
    <w:rsid w:val="00343267"/>
    <w:rsid w:val="00387F8C"/>
    <w:rsid w:val="004A5D2C"/>
    <w:rsid w:val="004F6E05"/>
    <w:rsid w:val="00541A98"/>
    <w:rsid w:val="00585E92"/>
    <w:rsid w:val="0059266C"/>
    <w:rsid w:val="005A3D29"/>
    <w:rsid w:val="005C716E"/>
    <w:rsid w:val="005D774D"/>
    <w:rsid w:val="005F75E6"/>
    <w:rsid w:val="006172C2"/>
    <w:rsid w:val="006564ED"/>
    <w:rsid w:val="006616A9"/>
    <w:rsid w:val="006F3654"/>
    <w:rsid w:val="00717A58"/>
    <w:rsid w:val="007476B2"/>
    <w:rsid w:val="00756B8B"/>
    <w:rsid w:val="007B5101"/>
    <w:rsid w:val="00830046"/>
    <w:rsid w:val="0087762C"/>
    <w:rsid w:val="008832B6"/>
    <w:rsid w:val="0089046D"/>
    <w:rsid w:val="008B4F59"/>
    <w:rsid w:val="00936E20"/>
    <w:rsid w:val="009C63DF"/>
    <w:rsid w:val="009C6557"/>
    <w:rsid w:val="00A05B79"/>
    <w:rsid w:val="00AE0E71"/>
    <w:rsid w:val="00BC480A"/>
    <w:rsid w:val="00BD3AC8"/>
    <w:rsid w:val="00BE22AB"/>
    <w:rsid w:val="00BF7AEC"/>
    <w:rsid w:val="00C1499B"/>
    <w:rsid w:val="00C6413A"/>
    <w:rsid w:val="00C87CE1"/>
    <w:rsid w:val="00CD6757"/>
    <w:rsid w:val="00CF6C5C"/>
    <w:rsid w:val="00D42FE4"/>
    <w:rsid w:val="00D6414D"/>
    <w:rsid w:val="00DA4753"/>
    <w:rsid w:val="00DB40AD"/>
    <w:rsid w:val="00DF6EC3"/>
    <w:rsid w:val="00E00266"/>
    <w:rsid w:val="00E513BB"/>
    <w:rsid w:val="00E5304D"/>
    <w:rsid w:val="00E75123"/>
    <w:rsid w:val="00E935DC"/>
    <w:rsid w:val="00F40C09"/>
    <w:rsid w:val="00F67D22"/>
    <w:rsid w:val="00F9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4C2A"/>
  <w15:chartTrackingRefBased/>
  <w15:docId w15:val="{DCF93F5B-E7DC-4AE9-AAE8-9C2D7E74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A58"/>
    <w:pPr>
      <w:widowControl w:val="0"/>
      <w:suppressAutoHyphens/>
      <w:autoSpaceDN w:val="0"/>
      <w:spacing w:after="0" w:line="240" w:lineRule="auto"/>
    </w:pPr>
    <w:rPr>
      <w:rFonts w:ascii="Times New Roman" w:eastAsia="Lucida Sans Unicode" w:hAnsi="Times New Roman" w:cs="Times New Roman"/>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17A58"/>
    <w:pPr>
      <w:widowControl/>
      <w:suppressAutoHyphens w:val="0"/>
      <w:autoSpaceDN/>
      <w:spacing w:before="100" w:beforeAutospacing="1" w:after="142" w:line="288" w:lineRule="auto"/>
    </w:pPr>
    <w:rPr>
      <w:rFonts w:eastAsia="Times New Roman"/>
      <w:kern w:val="0"/>
    </w:rPr>
  </w:style>
  <w:style w:type="paragraph" w:styleId="Tekstpodstawowy">
    <w:name w:val="Body Text"/>
    <w:basedOn w:val="Normalny"/>
    <w:link w:val="TekstpodstawowyZnak"/>
    <w:uiPriority w:val="99"/>
    <w:unhideWhenUsed/>
    <w:rsid w:val="00717A58"/>
    <w:pPr>
      <w:spacing w:after="120"/>
    </w:pPr>
  </w:style>
  <w:style w:type="character" w:customStyle="1" w:styleId="TekstpodstawowyZnak">
    <w:name w:val="Tekst podstawowy Znak"/>
    <w:basedOn w:val="Domylnaczcionkaakapitu"/>
    <w:link w:val="Tekstpodstawowy"/>
    <w:uiPriority w:val="99"/>
    <w:rsid w:val="00717A58"/>
    <w:rPr>
      <w:rFonts w:ascii="Times New Roman" w:eastAsia="Lucida Sans Unicode" w:hAnsi="Times New Roman" w:cs="Times New Roman"/>
      <w:kern w:val="3"/>
      <w:sz w:val="24"/>
      <w:szCs w:val="24"/>
      <w:lang w:eastAsia="pl-PL"/>
    </w:rPr>
  </w:style>
  <w:style w:type="paragraph" w:styleId="Tekstpodstawowy2">
    <w:name w:val="Body Text 2"/>
    <w:basedOn w:val="Normalny"/>
    <w:link w:val="Tekstpodstawowy2Znak"/>
    <w:uiPriority w:val="99"/>
    <w:semiHidden/>
    <w:unhideWhenUsed/>
    <w:rsid w:val="00717A58"/>
  </w:style>
  <w:style w:type="character" w:customStyle="1" w:styleId="Tekstpodstawowy2Znak">
    <w:name w:val="Tekst podstawowy 2 Znak"/>
    <w:basedOn w:val="Domylnaczcionkaakapitu"/>
    <w:link w:val="Tekstpodstawowy2"/>
    <w:uiPriority w:val="99"/>
    <w:semiHidden/>
    <w:rsid w:val="00717A58"/>
    <w:rPr>
      <w:rFonts w:ascii="Times New Roman" w:eastAsia="Lucida Sans Unicode" w:hAnsi="Times New Roman" w:cs="Times New Roman"/>
      <w:kern w:val="3"/>
      <w:sz w:val="24"/>
      <w:szCs w:val="24"/>
      <w:lang w:eastAsia="pl-PL"/>
    </w:rPr>
  </w:style>
  <w:style w:type="paragraph" w:styleId="Akapitzlist">
    <w:name w:val="List Paragraph"/>
    <w:basedOn w:val="Normalny"/>
    <w:uiPriority w:val="34"/>
    <w:qFormat/>
    <w:rsid w:val="00717A58"/>
    <w:pPr>
      <w:widowControl/>
      <w:suppressAutoHyphens w:val="0"/>
      <w:autoSpaceDN/>
      <w:ind w:left="720"/>
      <w:contextualSpacing/>
    </w:pPr>
    <w:rPr>
      <w:rFonts w:eastAsia="Times New Roman"/>
      <w:kern w:val="0"/>
      <w:sz w:val="20"/>
      <w:szCs w:val="20"/>
    </w:rPr>
  </w:style>
  <w:style w:type="paragraph" w:customStyle="1" w:styleId="Textbody">
    <w:name w:val="Text body"/>
    <w:basedOn w:val="Normalny"/>
    <w:uiPriority w:val="99"/>
    <w:rsid w:val="00717A58"/>
    <w:pPr>
      <w:widowControl/>
      <w:suppressAutoHyphens w:val="0"/>
      <w:spacing w:after="140" w:line="288" w:lineRule="auto"/>
    </w:pPr>
    <w:rPr>
      <w:rFonts w:eastAsia="Times New Roman"/>
      <w:kern w:val="0"/>
      <w:sz w:val="20"/>
      <w:szCs w:val="20"/>
    </w:rPr>
  </w:style>
  <w:style w:type="paragraph" w:customStyle="1" w:styleId="Nagwek11">
    <w:name w:val="Nagłówek 11"/>
    <w:basedOn w:val="Normalny"/>
    <w:next w:val="Normalny"/>
    <w:uiPriority w:val="99"/>
    <w:rsid w:val="00717A58"/>
    <w:pPr>
      <w:keepNext/>
      <w:jc w:val="both"/>
      <w:outlineLvl w:val="0"/>
    </w:pPr>
  </w:style>
  <w:style w:type="paragraph" w:customStyle="1" w:styleId="Tekstpodstawowy31">
    <w:name w:val="Tekst podstawowy 31"/>
    <w:basedOn w:val="Normalny"/>
    <w:uiPriority w:val="99"/>
    <w:rsid w:val="00717A58"/>
    <w:pPr>
      <w:ind w:right="-69"/>
      <w:jc w:val="both"/>
    </w:pPr>
    <w:rPr>
      <w:b/>
    </w:rPr>
  </w:style>
  <w:style w:type="paragraph" w:customStyle="1" w:styleId="Zawartotabeli">
    <w:name w:val="Zawarto?? tabeli"/>
    <w:basedOn w:val="Normalny"/>
    <w:uiPriority w:val="99"/>
    <w:rsid w:val="00717A58"/>
    <w:pPr>
      <w:suppressLineNumbers/>
      <w:overflowPunct w:val="0"/>
      <w:autoSpaceDE w:val="0"/>
    </w:pPr>
    <w:rPr>
      <w:rFonts w:eastAsia="Times New Roman"/>
      <w:kern w:val="0"/>
      <w:szCs w:val="20"/>
    </w:rPr>
  </w:style>
  <w:style w:type="paragraph" w:customStyle="1" w:styleId="Tekstpodstawowy21">
    <w:name w:val="Tekst podstawowy 21"/>
    <w:basedOn w:val="Normalny"/>
    <w:uiPriority w:val="99"/>
    <w:rsid w:val="00717A58"/>
    <w:pPr>
      <w:autoSpaceDN/>
    </w:pPr>
    <w:rPr>
      <w:kern w:val="2"/>
    </w:rPr>
  </w:style>
  <w:style w:type="paragraph" w:customStyle="1" w:styleId="WW-Zawartotabeli11">
    <w:name w:val="WW-Zawartość tabeli11"/>
    <w:basedOn w:val="Tekstpodstawowy"/>
    <w:uiPriority w:val="99"/>
    <w:rsid w:val="00717A58"/>
    <w:pPr>
      <w:widowControl/>
      <w:suppressLineNumbers/>
      <w:autoSpaceDN/>
      <w:spacing w:after="0" w:line="360" w:lineRule="auto"/>
      <w:jc w:val="center"/>
    </w:pPr>
    <w:rPr>
      <w:rFonts w:eastAsia="Times New Roman"/>
      <w:b/>
      <w:kern w:val="0"/>
      <w:szCs w:val="20"/>
      <w:lang w:bidi="pl-PL"/>
    </w:rPr>
  </w:style>
  <w:style w:type="character" w:customStyle="1" w:styleId="alb">
    <w:name w:val="a_lb"/>
    <w:basedOn w:val="Domylnaczcionkaakapitu"/>
    <w:rsid w:val="00717A58"/>
  </w:style>
  <w:style w:type="paragraph" w:customStyle="1" w:styleId="Akapitzlist1">
    <w:name w:val="Akapit z listą1"/>
    <w:basedOn w:val="Normalny"/>
    <w:rsid w:val="00717A58"/>
    <w:pPr>
      <w:widowControl/>
      <w:suppressAutoHyphens w:val="0"/>
      <w:autoSpaceDN/>
      <w:ind w:left="720"/>
    </w:pPr>
    <w:rPr>
      <w:rFonts w:eastAsia="Times New Roman"/>
      <w:kern w:val="1"/>
      <w:sz w:val="20"/>
      <w:szCs w:val="20"/>
    </w:rPr>
  </w:style>
  <w:style w:type="paragraph" w:styleId="Tekstdymka">
    <w:name w:val="Balloon Text"/>
    <w:basedOn w:val="Normalny"/>
    <w:link w:val="TekstdymkaZnak"/>
    <w:uiPriority w:val="99"/>
    <w:semiHidden/>
    <w:unhideWhenUsed/>
    <w:rsid w:val="000603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032E"/>
    <w:rPr>
      <w:rFonts w:ascii="Segoe UI" w:eastAsia="Lucida Sans Unicode" w:hAnsi="Segoe UI" w:cs="Segoe UI"/>
      <w:kern w:val="3"/>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2010">
      <w:bodyDiv w:val="1"/>
      <w:marLeft w:val="0"/>
      <w:marRight w:val="0"/>
      <w:marTop w:val="0"/>
      <w:marBottom w:val="0"/>
      <w:divBdr>
        <w:top w:val="none" w:sz="0" w:space="0" w:color="auto"/>
        <w:left w:val="none" w:sz="0" w:space="0" w:color="auto"/>
        <w:bottom w:val="none" w:sz="0" w:space="0" w:color="auto"/>
        <w:right w:val="none" w:sz="0" w:space="0" w:color="auto"/>
      </w:divBdr>
    </w:div>
    <w:div w:id="20280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2438</Words>
  <Characters>14630</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i.wieckowska</dc:creator>
  <cp:keywords/>
  <dc:description/>
  <cp:lastModifiedBy>i.wieckowska</cp:lastModifiedBy>
  <cp:revision>6</cp:revision>
  <cp:lastPrinted>2024-06-24T10:51:00Z</cp:lastPrinted>
  <dcterms:created xsi:type="dcterms:W3CDTF">2024-06-24T08:44:00Z</dcterms:created>
  <dcterms:modified xsi:type="dcterms:W3CDTF">2024-08-05T13:25:00Z</dcterms:modified>
</cp:coreProperties>
</file>