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9AA6" w14:textId="09043692" w:rsidR="00490D91" w:rsidRDefault="00490D91" w:rsidP="00490D91">
      <w:pPr>
        <w:jc w:val="center"/>
      </w:pPr>
      <w:r>
        <w:rPr>
          <w:rFonts w:eastAsia="Times New Roman"/>
          <w:b/>
        </w:rPr>
        <w:t xml:space="preserve">ZARZĄDZENIE  </w:t>
      </w:r>
      <w:r>
        <w:rPr>
          <w:rFonts w:eastAsia="Times New Roman"/>
          <w:b/>
          <w:bCs/>
        </w:rPr>
        <w:t xml:space="preserve">NR </w:t>
      </w:r>
      <w:r w:rsidR="00FA200A">
        <w:rPr>
          <w:rFonts w:eastAsia="Times New Roman"/>
          <w:b/>
          <w:bCs/>
        </w:rPr>
        <w:t>187</w:t>
      </w:r>
    </w:p>
    <w:p w14:paraId="351CA33A" w14:textId="77777777" w:rsidR="00490D91" w:rsidRDefault="00490D91" w:rsidP="00490D91">
      <w:pPr>
        <w:jc w:val="center"/>
        <w:rPr>
          <w:rFonts w:eastAsia="Times New Roman"/>
          <w:b/>
        </w:rPr>
      </w:pPr>
      <w:r>
        <w:rPr>
          <w:rFonts w:eastAsia="Times New Roman"/>
          <w:b/>
        </w:rPr>
        <w:t>PREZYDENTA MIASTA TORUNIA</w:t>
      </w:r>
    </w:p>
    <w:p w14:paraId="26AEC881" w14:textId="6CB127E5" w:rsidR="00490D91" w:rsidRDefault="00131AC4" w:rsidP="003813EF">
      <w:pPr>
        <w:pStyle w:val="Tekstpodstawowy"/>
        <w:spacing w:after="0"/>
        <w:jc w:val="center"/>
        <w:rPr>
          <w:rFonts w:eastAsia="Times New Roman"/>
          <w:b/>
        </w:rPr>
      </w:pPr>
      <w:r>
        <w:rPr>
          <w:rFonts w:eastAsia="Times New Roman"/>
        </w:rPr>
        <w:t>z dnia</w:t>
      </w:r>
      <w:r w:rsidR="00E25CE0">
        <w:rPr>
          <w:rFonts w:eastAsia="Times New Roman"/>
        </w:rPr>
        <w:t xml:space="preserve"> </w:t>
      </w:r>
      <w:r w:rsidR="00FA200A">
        <w:rPr>
          <w:rFonts w:eastAsia="Times New Roman"/>
        </w:rPr>
        <w:t>30.07.2024r.</w:t>
      </w:r>
    </w:p>
    <w:p w14:paraId="1A4ECDF0" w14:textId="77777777" w:rsidR="00490D91" w:rsidRDefault="00490D91" w:rsidP="00490D91">
      <w:pPr>
        <w:pStyle w:val="Tekstpodstawowy"/>
        <w:widowControl/>
        <w:spacing w:after="0"/>
        <w:jc w:val="both"/>
        <w:rPr>
          <w:rFonts w:eastAsia="Times New Roman"/>
          <w:b/>
        </w:rPr>
      </w:pPr>
      <w:r>
        <w:rPr>
          <w:rFonts w:eastAsia="Times New Roman"/>
          <w:b/>
        </w:rPr>
        <w:t xml:space="preserve">w sprawie ustalenia Regulaminu </w:t>
      </w:r>
      <w:r w:rsidR="00963809">
        <w:rPr>
          <w:rFonts w:eastAsia="Times New Roman"/>
          <w:b/>
        </w:rPr>
        <w:t>drugiego</w:t>
      </w:r>
      <w:r w:rsidR="003813EF">
        <w:rPr>
          <w:rFonts w:eastAsia="Times New Roman"/>
          <w:b/>
        </w:rPr>
        <w:t xml:space="preserve"> </w:t>
      </w:r>
      <w:r>
        <w:rPr>
          <w:rFonts w:eastAsia="Times New Roman"/>
          <w:b/>
        </w:rPr>
        <w:t>ustn</w:t>
      </w:r>
      <w:r w:rsidR="00131AC4">
        <w:rPr>
          <w:rFonts w:eastAsia="Times New Roman"/>
          <w:b/>
        </w:rPr>
        <w:t>ego</w:t>
      </w:r>
      <w:r>
        <w:rPr>
          <w:rFonts w:eastAsia="Times New Roman"/>
          <w:b/>
        </w:rPr>
        <w:t xml:space="preserve"> przetarg</w:t>
      </w:r>
      <w:r w:rsidR="00131AC4">
        <w:rPr>
          <w:rFonts w:eastAsia="Times New Roman"/>
          <w:b/>
        </w:rPr>
        <w:t>u</w:t>
      </w:r>
      <w:r>
        <w:rPr>
          <w:rFonts w:eastAsia="Times New Roman"/>
          <w:b/>
        </w:rPr>
        <w:t xml:space="preserve"> nieograniczon</w:t>
      </w:r>
      <w:r w:rsidR="00131AC4">
        <w:rPr>
          <w:rFonts w:eastAsia="Times New Roman"/>
          <w:b/>
        </w:rPr>
        <w:t>ego</w:t>
      </w:r>
      <w:r w:rsidR="00131AC4">
        <w:rPr>
          <w:rFonts w:eastAsia="Times New Roman"/>
          <w:b/>
        </w:rPr>
        <w:br/>
      </w:r>
      <w:r>
        <w:rPr>
          <w:rFonts w:eastAsia="Times New Roman"/>
          <w:b/>
        </w:rPr>
        <w:t>na sprzedaż nieruchomości gruntowych, niezabu</w:t>
      </w:r>
      <w:r w:rsidR="009464D3">
        <w:rPr>
          <w:rFonts w:eastAsia="Times New Roman"/>
          <w:b/>
        </w:rPr>
        <w:t xml:space="preserve">dowanych, położonych w Toruniu przy ul. </w:t>
      </w:r>
      <w:r>
        <w:rPr>
          <w:rFonts w:eastAsia="Times New Roman"/>
          <w:b/>
        </w:rPr>
        <w:t>Szosa Bydgoska</w:t>
      </w:r>
      <w:r w:rsidR="009464D3">
        <w:rPr>
          <w:rFonts w:eastAsia="Times New Roman"/>
          <w:b/>
        </w:rPr>
        <w:t xml:space="preserve"> 76-80</w:t>
      </w:r>
      <w:r>
        <w:rPr>
          <w:rFonts w:eastAsia="Times New Roman"/>
          <w:b/>
        </w:rPr>
        <w:t>, stanowiących własność Gminy Miasta Toruń oraz powołania Komisji do przeprowadzenia przetarg</w:t>
      </w:r>
      <w:r w:rsidR="00131AC4">
        <w:rPr>
          <w:rFonts w:eastAsia="Times New Roman"/>
          <w:b/>
        </w:rPr>
        <w:t>u</w:t>
      </w:r>
      <w:r>
        <w:rPr>
          <w:rFonts w:eastAsia="Times New Roman"/>
          <w:b/>
        </w:rPr>
        <w:t>.</w:t>
      </w:r>
    </w:p>
    <w:p w14:paraId="5C3F3831" w14:textId="77777777" w:rsidR="00322989" w:rsidRDefault="00322989" w:rsidP="00490D91">
      <w:pPr>
        <w:pStyle w:val="Tekstpodstawowy"/>
        <w:widowControl/>
        <w:spacing w:after="0"/>
        <w:jc w:val="both"/>
        <w:rPr>
          <w:rFonts w:eastAsia="HG Mincho Light J"/>
          <w:color w:val="000000"/>
        </w:rPr>
      </w:pPr>
    </w:p>
    <w:p w14:paraId="005B9F00" w14:textId="77777777" w:rsidR="00490D91" w:rsidRDefault="00490D91" w:rsidP="00490D91">
      <w:pPr>
        <w:pStyle w:val="Tekstpodstawowy"/>
        <w:widowControl/>
        <w:spacing w:after="0"/>
        <w:jc w:val="both"/>
        <w:rPr>
          <w:rFonts w:eastAsia="Times New Roman"/>
        </w:rPr>
      </w:pPr>
      <w:r>
        <w:rPr>
          <w:rFonts w:eastAsia="HG Mincho Light J"/>
          <w:color w:val="000000"/>
        </w:rPr>
        <w:tab/>
      </w:r>
      <w:r>
        <w:t>Na podstawie art. 30 ust. 1 ustawy z dnia 8 marca 1990 r</w:t>
      </w:r>
      <w:r w:rsidR="0002251C">
        <w:t>.</w:t>
      </w:r>
      <w:r>
        <w:t xml:space="preserve"> o samorządzie gminnym  </w:t>
      </w:r>
      <w:r w:rsidR="009464D3">
        <w:t>(Dz. U. z 202</w:t>
      </w:r>
      <w:r w:rsidR="00963809">
        <w:t>4</w:t>
      </w:r>
      <w:r w:rsidR="009464D3">
        <w:t xml:space="preserve"> r., poz. </w:t>
      </w:r>
      <w:r w:rsidR="00963809">
        <w:t>609</w:t>
      </w:r>
      <w:r w:rsidR="003825EF">
        <w:t xml:space="preserve"> z </w:t>
      </w:r>
      <w:proofErr w:type="spellStart"/>
      <w:r w:rsidR="003825EF">
        <w:t>późn</w:t>
      </w:r>
      <w:proofErr w:type="spellEnd"/>
      <w:r w:rsidR="003825EF">
        <w:t>. zm.</w:t>
      </w:r>
      <w:r w:rsidR="003825EF" w:rsidRPr="003825EF">
        <w:rPr>
          <w:vertAlign w:val="superscript"/>
        </w:rPr>
        <w:t>1)</w:t>
      </w:r>
      <w:r>
        <w:t>),</w:t>
      </w:r>
      <w:r>
        <w:rPr>
          <w:rFonts w:eastAsia="HG Mincho Light J"/>
          <w:color w:val="000000"/>
        </w:rPr>
        <w:t xml:space="preserve"> uchwały nr 894/18 z 19 lipca 2018</w:t>
      </w:r>
      <w:r w:rsidR="0002251C">
        <w:rPr>
          <w:rFonts w:eastAsia="HG Mincho Light J"/>
          <w:color w:val="000000"/>
        </w:rPr>
        <w:t xml:space="preserve"> </w:t>
      </w:r>
      <w:r>
        <w:rPr>
          <w:rFonts w:eastAsia="HG Mincho Light J"/>
          <w:color w:val="000000"/>
        </w:rPr>
        <w:t xml:space="preserve">r. w sprawie sprzedaży </w:t>
      </w:r>
      <w:r>
        <w:rPr>
          <w:rFonts w:eastAsia="Times New Roman"/>
        </w:rPr>
        <w:t xml:space="preserve">nieruchomości gruntowych, niezabudowanych, położonych w Toruniu, w rejonie ulic: Szosa Bydgoska i Pera </w:t>
      </w:r>
      <w:proofErr w:type="spellStart"/>
      <w:r>
        <w:rPr>
          <w:rFonts w:eastAsia="Times New Roman"/>
        </w:rPr>
        <w:t>Jonssona</w:t>
      </w:r>
      <w:proofErr w:type="spellEnd"/>
      <w:r>
        <w:rPr>
          <w:rFonts w:eastAsia="HG Mincho Light J"/>
          <w:color w:val="000000"/>
        </w:rPr>
        <w:t xml:space="preserve"> </w:t>
      </w:r>
      <w:r w:rsidR="00CD5283">
        <w:rPr>
          <w:rFonts w:eastAsia="HG Mincho Light J"/>
          <w:color w:val="000000"/>
        </w:rPr>
        <w:t xml:space="preserve">oraz </w:t>
      </w:r>
      <w:r w:rsidR="00F774DC">
        <w:rPr>
          <w:rFonts w:eastAsia="HG Mincho Light J"/>
          <w:color w:val="000000"/>
        </w:rPr>
        <w:t xml:space="preserve">§ 2 ust. 1 i § 3 ust. 1 i 3 </w:t>
      </w:r>
      <w:r w:rsidR="00CD5283">
        <w:rPr>
          <w:rFonts w:eastAsia="HG Mincho Light J"/>
          <w:color w:val="000000"/>
        </w:rPr>
        <w:t>uchwały nr 547/09 Rady Miasta Torunia z dnia 30 kwietnia 2009</w:t>
      </w:r>
      <w:r w:rsidR="00A86D02">
        <w:rPr>
          <w:rFonts w:eastAsia="HG Mincho Light J"/>
          <w:color w:val="000000"/>
        </w:rPr>
        <w:t xml:space="preserve"> </w:t>
      </w:r>
      <w:r w:rsidR="00CD5283">
        <w:rPr>
          <w:rFonts w:eastAsia="HG Mincho Light J"/>
          <w:color w:val="000000"/>
        </w:rPr>
        <w:t xml:space="preserve">r. w sprawie zasad obciążania służebnościami gruntowymi i </w:t>
      </w:r>
      <w:proofErr w:type="spellStart"/>
      <w:r w:rsidR="00CD5283">
        <w:rPr>
          <w:rFonts w:eastAsia="HG Mincho Light J"/>
          <w:color w:val="000000"/>
        </w:rPr>
        <w:t>przesyłu</w:t>
      </w:r>
      <w:proofErr w:type="spellEnd"/>
      <w:r w:rsidR="00CD5283">
        <w:rPr>
          <w:rFonts w:eastAsia="HG Mincho Light J"/>
          <w:color w:val="000000"/>
        </w:rPr>
        <w:t xml:space="preserve"> nieruchomości należących do zasobu </w:t>
      </w:r>
      <w:r w:rsidR="001557C7">
        <w:rPr>
          <w:rFonts w:eastAsia="HG Mincho Light J"/>
          <w:color w:val="000000"/>
        </w:rPr>
        <w:t xml:space="preserve">nieruchomości </w:t>
      </w:r>
      <w:r w:rsidR="00CD5283">
        <w:rPr>
          <w:rFonts w:eastAsia="HG Mincho Light J"/>
          <w:color w:val="000000"/>
        </w:rPr>
        <w:t>Gminy Miasta Toruń</w:t>
      </w:r>
      <w:r w:rsidR="004B7975">
        <w:rPr>
          <w:rFonts w:eastAsia="HG Mincho Light J"/>
          <w:color w:val="000000"/>
        </w:rPr>
        <w:t xml:space="preserve"> (Dz. U</w:t>
      </w:r>
      <w:r w:rsidR="000A62E9">
        <w:rPr>
          <w:rFonts w:eastAsia="HG Mincho Light J"/>
          <w:color w:val="000000"/>
        </w:rPr>
        <w:t>rz</w:t>
      </w:r>
      <w:r w:rsidR="004B7975">
        <w:rPr>
          <w:rFonts w:eastAsia="HG Mincho Light J"/>
          <w:color w:val="000000"/>
        </w:rPr>
        <w:t xml:space="preserve">. </w:t>
      </w:r>
      <w:proofErr w:type="spellStart"/>
      <w:r w:rsidR="004B7975">
        <w:rPr>
          <w:rFonts w:eastAsia="HG Mincho Light J"/>
          <w:color w:val="000000"/>
        </w:rPr>
        <w:t>Woj.Kuj</w:t>
      </w:r>
      <w:proofErr w:type="spellEnd"/>
      <w:r w:rsidR="004B7975">
        <w:rPr>
          <w:rFonts w:eastAsia="HG Mincho Light J"/>
          <w:color w:val="000000"/>
        </w:rPr>
        <w:t>.-Pom. z 2015</w:t>
      </w:r>
      <w:r w:rsidR="0002251C">
        <w:rPr>
          <w:rFonts w:eastAsia="HG Mincho Light J"/>
          <w:color w:val="000000"/>
        </w:rPr>
        <w:t xml:space="preserve"> </w:t>
      </w:r>
      <w:r w:rsidR="004B7975">
        <w:rPr>
          <w:rFonts w:eastAsia="HG Mincho Light J"/>
          <w:color w:val="000000"/>
        </w:rPr>
        <w:t xml:space="preserve">r. poz. 4759 z </w:t>
      </w:r>
      <w:proofErr w:type="spellStart"/>
      <w:r w:rsidR="004B7975">
        <w:rPr>
          <w:rFonts w:eastAsia="HG Mincho Light J"/>
          <w:color w:val="000000"/>
        </w:rPr>
        <w:t>późn</w:t>
      </w:r>
      <w:proofErr w:type="spellEnd"/>
      <w:r w:rsidR="004B7975">
        <w:rPr>
          <w:rFonts w:eastAsia="HG Mincho Light J"/>
          <w:color w:val="000000"/>
        </w:rPr>
        <w:t xml:space="preserve"> zm</w:t>
      </w:r>
      <w:r w:rsidR="004B7975">
        <w:rPr>
          <w:rFonts w:eastAsia="HG Mincho Light J"/>
          <w:color w:val="000000"/>
          <w:vertAlign w:val="superscript"/>
        </w:rPr>
        <w:t>2)</w:t>
      </w:r>
      <w:r w:rsidR="00CD5283">
        <w:rPr>
          <w:rFonts w:eastAsia="HG Mincho Light J"/>
          <w:color w:val="000000"/>
        </w:rPr>
        <w:t xml:space="preserve">, </w:t>
      </w:r>
      <w:r>
        <w:rPr>
          <w:rFonts w:eastAsia="HG Mincho Light J"/>
          <w:color w:val="000000"/>
        </w:rPr>
        <w:t>zarządza się, co następuje:</w:t>
      </w:r>
    </w:p>
    <w:p w14:paraId="55EF6564" w14:textId="77777777" w:rsidR="00490D91" w:rsidRDefault="00490D91" w:rsidP="00490D91">
      <w:pPr>
        <w:spacing w:line="360" w:lineRule="auto"/>
        <w:jc w:val="both"/>
        <w:rPr>
          <w:rFonts w:eastAsia="Times New Roman"/>
          <w:b/>
          <w:sz w:val="22"/>
          <w:szCs w:val="22"/>
        </w:rPr>
      </w:pPr>
    </w:p>
    <w:p w14:paraId="5C11957B" w14:textId="77777777" w:rsidR="00490D91" w:rsidRDefault="00490D91" w:rsidP="007F4072">
      <w:pPr>
        <w:spacing w:after="57"/>
        <w:jc w:val="both"/>
      </w:pPr>
      <w:r>
        <w:rPr>
          <w:rFonts w:eastAsia="Times New Roman"/>
          <w:b/>
        </w:rPr>
        <w:tab/>
        <w:t>§1.</w:t>
      </w:r>
      <w:r>
        <w:rPr>
          <w:rFonts w:eastAsia="Times New Roman"/>
        </w:rPr>
        <w:t xml:space="preserve"> Powołać Komisję do przeprowadzenia </w:t>
      </w:r>
      <w:r w:rsidR="00963809">
        <w:rPr>
          <w:rFonts w:eastAsia="Times New Roman"/>
        </w:rPr>
        <w:t>drugiego</w:t>
      </w:r>
      <w:r>
        <w:rPr>
          <w:rFonts w:eastAsia="Times New Roman"/>
        </w:rPr>
        <w:t xml:space="preserve"> ustn</w:t>
      </w:r>
      <w:r w:rsidR="003825EF">
        <w:rPr>
          <w:rFonts w:eastAsia="Times New Roman"/>
        </w:rPr>
        <w:t>ego</w:t>
      </w:r>
      <w:r>
        <w:rPr>
          <w:rFonts w:eastAsia="Times New Roman"/>
        </w:rPr>
        <w:t xml:space="preserve"> przetarg</w:t>
      </w:r>
      <w:r w:rsidR="003825EF">
        <w:rPr>
          <w:rFonts w:eastAsia="Times New Roman"/>
        </w:rPr>
        <w:t>u</w:t>
      </w:r>
      <w:r w:rsidR="003813EF">
        <w:rPr>
          <w:rFonts w:eastAsia="Times New Roman"/>
        </w:rPr>
        <w:t xml:space="preserve"> </w:t>
      </w:r>
      <w:r>
        <w:rPr>
          <w:rFonts w:eastAsia="Times New Roman"/>
        </w:rPr>
        <w:t>nieograniczon</w:t>
      </w:r>
      <w:r w:rsidR="003825EF">
        <w:rPr>
          <w:rFonts w:eastAsia="Times New Roman"/>
        </w:rPr>
        <w:t>ego</w:t>
      </w:r>
      <w:r>
        <w:rPr>
          <w:rFonts w:eastAsia="Times New Roman"/>
        </w:rPr>
        <w:t xml:space="preserve"> na sprzedaż nieruchomości gruntowych, niezabu</w:t>
      </w:r>
      <w:r w:rsidR="009464D3">
        <w:rPr>
          <w:rFonts w:eastAsia="Times New Roman"/>
        </w:rPr>
        <w:t xml:space="preserve">dowanych, </w:t>
      </w:r>
      <w:r w:rsidR="003813EF">
        <w:t>położonych</w:t>
      </w:r>
      <w:r w:rsidR="00301C35">
        <w:br/>
      </w:r>
      <w:r w:rsidR="00A13B1F">
        <w:t xml:space="preserve">w Toruniu </w:t>
      </w:r>
      <w:r w:rsidR="003813EF">
        <w:t xml:space="preserve">przy </w:t>
      </w:r>
      <w:r w:rsidR="003813EF">
        <w:rPr>
          <w:b/>
        </w:rPr>
        <w:t xml:space="preserve"> </w:t>
      </w:r>
      <w:r w:rsidR="003813EF" w:rsidRPr="00164E6D">
        <w:t>ul. Szosa Bydgoska 76-80</w:t>
      </w:r>
      <w:r w:rsidR="003813EF">
        <w:t xml:space="preserve">, stanowiących </w:t>
      </w:r>
      <w:r w:rsidR="003813EF" w:rsidRPr="00164E6D">
        <w:t>dz</w:t>
      </w:r>
      <w:r w:rsidR="003813EF">
        <w:t>iałki geod.</w:t>
      </w:r>
      <w:r w:rsidR="00A13B1F">
        <w:t>:</w:t>
      </w:r>
      <w:r w:rsidR="003813EF" w:rsidRPr="00164E6D">
        <w:t xml:space="preserve"> nr 35/16</w:t>
      </w:r>
      <w:r w:rsidR="00A13B1F">
        <w:t xml:space="preserve"> o powierzchni 0,5791 ha</w:t>
      </w:r>
      <w:r w:rsidR="003813EF" w:rsidRPr="00164E6D">
        <w:t xml:space="preserve">, </w:t>
      </w:r>
      <w:r w:rsidR="00A13B1F">
        <w:t xml:space="preserve">zapisaną </w:t>
      </w:r>
      <w:r w:rsidR="00A13B1F" w:rsidRPr="00BC2322">
        <w:t xml:space="preserve">w księdze wieczystej KW Nr </w:t>
      </w:r>
      <w:r w:rsidR="00A13B1F">
        <w:t xml:space="preserve">TO1T/00035395/9, nr </w:t>
      </w:r>
      <w:r w:rsidR="003813EF" w:rsidRPr="00164E6D">
        <w:t>44/3</w:t>
      </w:r>
      <w:r w:rsidR="00A13B1F">
        <w:t xml:space="preserve"> o powierzchni 0,0149 ha </w:t>
      </w:r>
      <w:r w:rsidR="00301C35">
        <w:t xml:space="preserve">zapisaną w księdze wieczystej KW Nr TO1T/00045451/3, nr 45/1 o powierzchni 0,0027 ha i nr 102/4 o powierzchni 0,0176 ha zapisanych w księdze wieczystej KW Nr TO1T/00037371/9 oraz </w:t>
      </w:r>
      <w:r w:rsidR="007F4072">
        <w:t xml:space="preserve">nr 91/4 o powierzchni 0,0125 zapisaną w  księdze wieczystej KW Nr TO1T/45452/0 </w:t>
      </w:r>
      <w:r w:rsidR="003813EF">
        <w:t xml:space="preserve">o łącznej powierzchni </w:t>
      </w:r>
      <w:r w:rsidR="00A13B1F">
        <w:t xml:space="preserve">0,6268 ha w obrębie nr 23, </w:t>
      </w:r>
      <w:r>
        <w:rPr>
          <w:rFonts w:eastAsia="Times New Roman"/>
        </w:rPr>
        <w:t xml:space="preserve"> w następującym składzie:</w:t>
      </w:r>
    </w:p>
    <w:p w14:paraId="29A063FB" w14:textId="77777777" w:rsidR="00490D91" w:rsidRDefault="00490D91" w:rsidP="00490D91">
      <w:pPr>
        <w:pStyle w:val="Tekstpodstawowy21"/>
        <w:spacing w:line="276" w:lineRule="auto"/>
        <w:ind w:left="141"/>
        <w:rPr>
          <w:rFonts w:eastAsia="Times New Roman"/>
        </w:rPr>
      </w:pPr>
      <w:r>
        <w:rPr>
          <w:rFonts w:eastAsia="Times New Roman"/>
        </w:rPr>
        <w:t xml:space="preserve">    1)   Przewodniczący Komisji  - Iwona Więckowska;</w:t>
      </w:r>
    </w:p>
    <w:p w14:paraId="092854ED" w14:textId="77777777" w:rsidR="00490D91" w:rsidRDefault="00490D91" w:rsidP="00490D91">
      <w:pPr>
        <w:pStyle w:val="Tekstpodstawowy21"/>
        <w:numPr>
          <w:ilvl w:val="0"/>
          <w:numId w:val="1"/>
        </w:numPr>
        <w:tabs>
          <w:tab w:val="left" w:pos="720"/>
        </w:tabs>
        <w:spacing w:line="276" w:lineRule="auto"/>
        <w:rPr>
          <w:rFonts w:eastAsia="Times New Roman"/>
        </w:rPr>
      </w:pPr>
      <w:r>
        <w:rPr>
          <w:rFonts w:eastAsia="Times New Roman"/>
        </w:rPr>
        <w:t xml:space="preserve">Członek                              - Małgorzata Stępińska; </w:t>
      </w:r>
    </w:p>
    <w:p w14:paraId="6B4EB92C" w14:textId="77777777" w:rsidR="00490D91" w:rsidRDefault="00490D91" w:rsidP="00490D91">
      <w:pPr>
        <w:pStyle w:val="Tekstpodstawowy21"/>
        <w:numPr>
          <w:ilvl w:val="0"/>
          <w:numId w:val="1"/>
        </w:numPr>
        <w:tabs>
          <w:tab w:val="left" w:pos="720"/>
        </w:tabs>
        <w:spacing w:line="276" w:lineRule="auto"/>
        <w:rPr>
          <w:rFonts w:eastAsia="Times New Roman"/>
        </w:rPr>
      </w:pPr>
      <w:r>
        <w:rPr>
          <w:rFonts w:eastAsia="Times New Roman"/>
        </w:rPr>
        <w:t>Członek</w:t>
      </w:r>
      <w:r>
        <w:rPr>
          <w:rFonts w:eastAsia="Times New Roman"/>
        </w:rPr>
        <w:tab/>
      </w:r>
      <w:r>
        <w:rPr>
          <w:rFonts w:eastAsia="Times New Roman"/>
        </w:rPr>
        <w:tab/>
        <w:t xml:space="preserve">        - Robert Dąbrowski;</w:t>
      </w:r>
    </w:p>
    <w:p w14:paraId="4622CC36" w14:textId="77777777" w:rsidR="00490D91" w:rsidRDefault="00490D91" w:rsidP="00490D91">
      <w:pPr>
        <w:pStyle w:val="Tekstpodstawowy21"/>
        <w:numPr>
          <w:ilvl w:val="0"/>
          <w:numId w:val="1"/>
        </w:numPr>
        <w:tabs>
          <w:tab w:val="left" w:pos="720"/>
        </w:tabs>
        <w:spacing w:line="276" w:lineRule="auto"/>
        <w:rPr>
          <w:rFonts w:eastAsia="Times New Roman"/>
        </w:rPr>
      </w:pPr>
      <w:r>
        <w:rPr>
          <w:rFonts w:eastAsia="Times New Roman"/>
        </w:rPr>
        <w:t>Członek                              - Katarzyna Kierys.</w:t>
      </w:r>
    </w:p>
    <w:p w14:paraId="40011DF1" w14:textId="77777777" w:rsidR="00490D91" w:rsidRDefault="00490D91" w:rsidP="004F16FC">
      <w:pPr>
        <w:ind w:firstLine="340"/>
        <w:jc w:val="both"/>
        <w:rPr>
          <w:rFonts w:eastAsia="Times New Roman"/>
          <w:b/>
        </w:rPr>
      </w:pPr>
    </w:p>
    <w:p w14:paraId="05E676BA" w14:textId="77777777" w:rsidR="00490D91" w:rsidRDefault="00490D91" w:rsidP="004F16FC">
      <w:pPr>
        <w:ind w:firstLine="340"/>
        <w:jc w:val="both"/>
      </w:pPr>
      <w:r>
        <w:rPr>
          <w:rFonts w:eastAsia="Times New Roman"/>
          <w:b/>
        </w:rPr>
        <w:t xml:space="preserve">§2. </w:t>
      </w:r>
      <w:r>
        <w:rPr>
          <w:rFonts w:eastAsia="Times New Roman"/>
        </w:rPr>
        <w:t>Komisja przeprowadzi przetarg zgodnie z Regulaminem, stanowiącym załącznik do niniejszego Zarządzenia.</w:t>
      </w:r>
    </w:p>
    <w:p w14:paraId="75657EAE" w14:textId="77777777" w:rsidR="00490D91" w:rsidRDefault="00490D91" w:rsidP="004F16FC">
      <w:pPr>
        <w:jc w:val="both"/>
        <w:rPr>
          <w:rFonts w:eastAsia="Times New Roman"/>
        </w:rPr>
      </w:pPr>
    </w:p>
    <w:p w14:paraId="51B9D37E" w14:textId="77777777" w:rsidR="00490D91" w:rsidRDefault="00490D91" w:rsidP="004F16FC">
      <w:pPr>
        <w:ind w:firstLine="340"/>
        <w:jc w:val="both"/>
      </w:pPr>
      <w:r>
        <w:rPr>
          <w:rFonts w:eastAsia="Times New Roman"/>
          <w:b/>
          <w:bCs/>
        </w:rPr>
        <w:t>§3</w:t>
      </w:r>
      <w:r>
        <w:rPr>
          <w:rFonts w:eastAsia="Times New Roman"/>
          <w:b/>
        </w:rPr>
        <w:t xml:space="preserve">. </w:t>
      </w:r>
      <w:r w:rsidR="007F4072">
        <w:rPr>
          <w:rFonts w:eastAsia="Times New Roman"/>
        </w:rPr>
        <w:t>Przetarg</w:t>
      </w:r>
      <w:r>
        <w:rPr>
          <w:rFonts w:eastAsia="Times New Roman"/>
        </w:rPr>
        <w:t xml:space="preserve"> odbęd</w:t>
      </w:r>
      <w:r w:rsidR="007F4072">
        <w:rPr>
          <w:rFonts w:eastAsia="Times New Roman"/>
        </w:rPr>
        <w:t>zie</w:t>
      </w:r>
      <w:r>
        <w:rPr>
          <w:rFonts w:eastAsia="Times New Roman"/>
        </w:rPr>
        <w:t xml:space="preserve"> się w</w:t>
      </w:r>
      <w:r>
        <w:rPr>
          <w:rFonts w:eastAsia="Times New Roman"/>
          <w:b/>
        </w:rPr>
        <w:t xml:space="preserve"> </w:t>
      </w:r>
      <w:r>
        <w:rPr>
          <w:rFonts w:eastAsia="Times New Roman"/>
        </w:rPr>
        <w:t>Wydzia</w:t>
      </w:r>
      <w:r w:rsidR="0002251C">
        <w:rPr>
          <w:rFonts w:eastAsia="Times New Roman"/>
        </w:rPr>
        <w:t>le</w:t>
      </w:r>
      <w:r>
        <w:rPr>
          <w:rFonts w:eastAsia="Times New Roman"/>
        </w:rPr>
        <w:t xml:space="preserve"> Gospodarki Nieruchomościami Urzędu Miasta Torunia, przy ul. Grudziądzkiej 126 b, w sali </w:t>
      </w:r>
      <w:r w:rsidR="000D01B8">
        <w:rPr>
          <w:rFonts w:eastAsia="Times New Roman"/>
        </w:rPr>
        <w:t xml:space="preserve">213 </w:t>
      </w:r>
      <w:r>
        <w:rPr>
          <w:rFonts w:eastAsia="Times New Roman"/>
        </w:rPr>
        <w:t>na I</w:t>
      </w:r>
      <w:r w:rsidR="000D01B8">
        <w:rPr>
          <w:rFonts w:eastAsia="Times New Roman"/>
        </w:rPr>
        <w:t>I</w:t>
      </w:r>
      <w:r>
        <w:rPr>
          <w:rFonts w:eastAsia="Times New Roman"/>
        </w:rPr>
        <w:t xml:space="preserve"> piętrze</w:t>
      </w:r>
      <w:r w:rsidR="000D01B8">
        <w:rPr>
          <w:rFonts w:eastAsia="Times New Roman"/>
        </w:rPr>
        <w:t>.</w:t>
      </w:r>
    </w:p>
    <w:p w14:paraId="60F37365" w14:textId="77777777" w:rsidR="00490D91" w:rsidRDefault="00490D91" w:rsidP="004F16FC">
      <w:pPr>
        <w:jc w:val="center"/>
        <w:rPr>
          <w:rFonts w:eastAsia="Times New Roman"/>
          <w:b/>
        </w:rPr>
      </w:pPr>
    </w:p>
    <w:p w14:paraId="769ED5BC" w14:textId="77777777" w:rsidR="00490D91" w:rsidRDefault="00490D91" w:rsidP="004F16FC">
      <w:pPr>
        <w:ind w:firstLine="340"/>
        <w:jc w:val="both"/>
      </w:pPr>
      <w:r>
        <w:rPr>
          <w:rFonts w:eastAsia="Times New Roman"/>
          <w:b/>
        </w:rPr>
        <w:t xml:space="preserve">§4. </w:t>
      </w:r>
      <w:r>
        <w:rPr>
          <w:rFonts w:eastAsia="Times New Roman"/>
        </w:rPr>
        <w:t>Wykonanie Zarządzenia powierza się Dyrektorowi Wydziału Gospodarki Nieruchomościami.</w:t>
      </w:r>
    </w:p>
    <w:p w14:paraId="467A8AA7" w14:textId="77777777" w:rsidR="00490D91" w:rsidRDefault="00490D91" w:rsidP="004F16FC">
      <w:pPr>
        <w:jc w:val="center"/>
        <w:rPr>
          <w:rFonts w:eastAsia="Times New Roman"/>
          <w:b/>
        </w:rPr>
      </w:pPr>
    </w:p>
    <w:p w14:paraId="6625FE29" w14:textId="77777777" w:rsidR="00490D91" w:rsidRDefault="00490D91" w:rsidP="004F16FC">
      <w:pPr>
        <w:ind w:firstLine="340"/>
        <w:jc w:val="both"/>
        <w:rPr>
          <w:rFonts w:eastAsia="Times New Roman"/>
        </w:rPr>
      </w:pPr>
      <w:r>
        <w:rPr>
          <w:rFonts w:eastAsia="Times New Roman"/>
          <w:b/>
        </w:rPr>
        <w:t xml:space="preserve">§5. </w:t>
      </w:r>
      <w:r>
        <w:rPr>
          <w:rFonts w:eastAsia="Times New Roman"/>
        </w:rPr>
        <w:t>Zarządzenie wchodzi w życie z dniem podjęcia.</w:t>
      </w:r>
    </w:p>
    <w:p w14:paraId="5A944E66" w14:textId="77777777" w:rsidR="00322989" w:rsidRDefault="00322989" w:rsidP="004F16FC">
      <w:pPr>
        <w:ind w:firstLine="340"/>
        <w:jc w:val="both"/>
      </w:pPr>
    </w:p>
    <w:p w14:paraId="0690814A" w14:textId="77777777" w:rsidR="00490D91" w:rsidRDefault="00490D91" w:rsidP="004F16FC">
      <w:pPr>
        <w:rPr>
          <w:rFonts w:eastAsia="Times New Roman"/>
        </w:rPr>
      </w:pPr>
    </w:p>
    <w:p w14:paraId="70BCAC60" w14:textId="77777777" w:rsidR="00963809" w:rsidRDefault="00963809" w:rsidP="004F16FC">
      <w:pPr>
        <w:rPr>
          <w:rFonts w:eastAsia="Times New Roman"/>
        </w:rPr>
      </w:pPr>
    </w:p>
    <w:p w14:paraId="112DDD6F" w14:textId="77777777" w:rsidR="00963809" w:rsidRDefault="00963809" w:rsidP="004F16FC">
      <w:pPr>
        <w:rPr>
          <w:rFonts w:eastAsia="Times New Roman"/>
        </w:rPr>
      </w:pPr>
    </w:p>
    <w:p w14:paraId="279496DC" w14:textId="77777777" w:rsidR="00322989" w:rsidRPr="00322989" w:rsidRDefault="00490D91" w:rsidP="00963809">
      <w:pPr>
        <w:spacing w:line="276" w:lineRule="auto"/>
        <w:rPr>
          <w:rFonts w:eastAsia="Times New Roman"/>
          <w:sz w:val="22"/>
          <w:szCs w:val="22"/>
        </w:rPr>
      </w:pPr>
      <w:r>
        <w:rPr>
          <w:rFonts w:eastAsia="Times New Roman"/>
        </w:rPr>
        <w:t xml:space="preserve">                          </w:t>
      </w:r>
      <w:r w:rsidR="00322989">
        <w:rPr>
          <w:rFonts w:eastAsia="Times New Roman"/>
        </w:rPr>
        <w:t xml:space="preserve">                                                      </w:t>
      </w:r>
    </w:p>
    <w:p w14:paraId="0A6C3DDB" w14:textId="77777777" w:rsidR="004F16FC" w:rsidRDefault="004F16FC" w:rsidP="00490D91">
      <w:pPr>
        <w:spacing w:line="276" w:lineRule="auto"/>
        <w:rPr>
          <w:rFonts w:eastAsia="Times New Roman"/>
        </w:rPr>
      </w:pPr>
    </w:p>
    <w:p w14:paraId="758DBC6B" w14:textId="77777777" w:rsidR="0079455F" w:rsidRDefault="0079455F" w:rsidP="0079455F">
      <w:pPr>
        <w:pStyle w:val="Tekstpodstawowy"/>
      </w:pPr>
      <w:r>
        <w:rPr>
          <w:vertAlign w:val="superscript"/>
        </w:rPr>
        <w:t>-------------------------------------------------------------------------------------------------------------------------------------------------------------------------</w:t>
      </w:r>
    </w:p>
    <w:p w14:paraId="5982481C" w14:textId="77777777" w:rsidR="00124D1A" w:rsidRDefault="00124D1A" w:rsidP="00124D1A">
      <w:pPr>
        <w:pStyle w:val="Akapitzlist"/>
        <w:numPr>
          <w:ilvl w:val="0"/>
          <w:numId w:val="5"/>
        </w:numPr>
        <w:autoSpaceDN w:val="0"/>
        <w:jc w:val="both"/>
        <w:textAlignment w:val="top"/>
      </w:pPr>
      <w:r>
        <w:t xml:space="preserve">Zmiany tekstu jednolitego wymienionej ustawy zostały ogłoszone w </w:t>
      </w:r>
      <w:r>
        <w:rPr>
          <w:color w:val="000000"/>
        </w:rPr>
        <w:t xml:space="preserve">Dz. U. </w:t>
      </w:r>
      <w:r>
        <w:t xml:space="preserve"> z  202</w:t>
      </w:r>
      <w:r w:rsidR="00963809">
        <w:t>4</w:t>
      </w:r>
      <w:r>
        <w:t xml:space="preserve"> r. poz. </w:t>
      </w:r>
      <w:r w:rsidR="00963809">
        <w:t>721.</w:t>
      </w:r>
    </w:p>
    <w:p w14:paraId="76154218" w14:textId="77777777" w:rsidR="004B7975" w:rsidRDefault="004B7975" w:rsidP="00124D1A">
      <w:pPr>
        <w:pStyle w:val="Akapitzlist1"/>
        <w:numPr>
          <w:ilvl w:val="0"/>
          <w:numId w:val="5"/>
        </w:numPr>
        <w:jc w:val="both"/>
      </w:pPr>
      <w:r>
        <w:t>Zmiany tekstu jednolitego wymienionej uchwały zostały ogłoszone w Dz. U</w:t>
      </w:r>
      <w:r w:rsidR="000A62E9">
        <w:t>rz</w:t>
      </w:r>
      <w:r>
        <w:t>. Woj. Kuj.-</w:t>
      </w:r>
      <w:r w:rsidR="0021656B">
        <w:t xml:space="preserve"> </w:t>
      </w:r>
      <w:r>
        <w:t>Pom</w:t>
      </w:r>
      <w:r w:rsidR="0021656B">
        <w:t>.</w:t>
      </w:r>
      <w:r w:rsidR="0021656B">
        <w:br/>
      </w:r>
      <w:r>
        <w:t xml:space="preserve"> z 2020</w:t>
      </w:r>
      <w:r w:rsidR="0002251C">
        <w:t xml:space="preserve"> </w:t>
      </w:r>
      <w:r>
        <w:t>r. poz. 5133.</w:t>
      </w:r>
    </w:p>
    <w:p w14:paraId="28959073" w14:textId="77777777" w:rsidR="004029EE" w:rsidRDefault="0079455F" w:rsidP="009464D3">
      <w:pPr>
        <w:pStyle w:val="Akapitzlist1"/>
        <w:ind w:left="5245"/>
        <w:jc w:val="both"/>
      </w:pPr>
      <w:r w:rsidRPr="00AF669E">
        <w:lastRenderedPageBreak/>
        <w:t xml:space="preserve">                                                     </w:t>
      </w:r>
      <w:r w:rsidR="00F774DC">
        <w:t xml:space="preserve">                             </w:t>
      </w:r>
      <w:r w:rsidR="004B7975">
        <w:t xml:space="preserve">                                                                                                       </w:t>
      </w:r>
      <w:r w:rsidR="00F774DC">
        <w:t xml:space="preserve">  </w:t>
      </w:r>
      <w:r w:rsidR="004B7975">
        <w:t xml:space="preserve">                               </w:t>
      </w:r>
    </w:p>
    <w:p w14:paraId="0CD35DD4" w14:textId="59929711" w:rsidR="00490D91" w:rsidRPr="00F774DC" w:rsidRDefault="00490D91" w:rsidP="009464D3">
      <w:pPr>
        <w:pStyle w:val="Akapitzlist1"/>
        <w:ind w:left="5245"/>
        <w:jc w:val="both"/>
        <w:rPr>
          <w:sz w:val="24"/>
          <w:szCs w:val="24"/>
        </w:rPr>
      </w:pPr>
      <w:r w:rsidRPr="00F774DC">
        <w:rPr>
          <w:sz w:val="24"/>
          <w:szCs w:val="24"/>
        </w:rPr>
        <w:t xml:space="preserve">Załącznik do Zarządzenia Nr  </w:t>
      </w:r>
      <w:r w:rsidR="00FA200A">
        <w:rPr>
          <w:sz w:val="24"/>
          <w:szCs w:val="24"/>
        </w:rPr>
        <w:t>187</w:t>
      </w:r>
    </w:p>
    <w:p w14:paraId="23C33D86" w14:textId="77777777" w:rsidR="00490D91" w:rsidRDefault="00490D91" w:rsidP="00490D91">
      <w:pPr>
        <w:pStyle w:val="Nagwek11"/>
        <w:tabs>
          <w:tab w:val="left" w:pos="0"/>
        </w:tabs>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F774DC">
        <w:rPr>
          <w:rFonts w:eastAsia="Times New Roman"/>
        </w:rPr>
        <w:t xml:space="preserve">     </w:t>
      </w:r>
      <w:r>
        <w:rPr>
          <w:rFonts w:eastAsia="Times New Roman"/>
        </w:rPr>
        <w:t>Prezydenta Miasta Torunia</w:t>
      </w:r>
    </w:p>
    <w:p w14:paraId="141BF74D" w14:textId="5A34FB1E" w:rsidR="00490D91" w:rsidRDefault="00490D91" w:rsidP="00490D91">
      <w:pPr>
        <w:pStyle w:val="Tekstpodstawowy2"/>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r>
      <w:r w:rsidR="00F774DC">
        <w:rPr>
          <w:rFonts w:eastAsia="Times New Roman"/>
        </w:rPr>
        <w:t xml:space="preserve">      </w:t>
      </w:r>
      <w:r>
        <w:rPr>
          <w:rFonts w:eastAsia="Times New Roman"/>
        </w:rPr>
        <w:t xml:space="preserve">           z dnia </w:t>
      </w:r>
      <w:r w:rsidR="00FA200A">
        <w:rPr>
          <w:rFonts w:eastAsia="Times New Roman"/>
        </w:rPr>
        <w:t>30.07.2024</w:t>
      </w:r>
    </w:p>
    <w:p w14:paraId="0FEB129A" w14:textId="77777777" w:rsidR="00490D91" w:rsidRDefault="00490D91" w:rsidP="00490D91">
      <w:pPr>
        <w:pStyle w:val="Tekstpodstawowy2"/>
        <w:spacing w:line="360" w:lineRule="auto"/>
        <w:jc w:val="center"/>
        <w:rPr>
          <w:rFonts w:eastAsia="Times New Roman"/>
          <w:b/>
        </w:rPr>
      </w:pPr>
      <w:r>
        <w:rPr>
          <w:rFonts w:eastAsia="Times New Roman"/>
          <w:b/>
        </w:rPr>
        <w:t xml:space="preserve">REGULAMIN  </w:t>
      </w:r>
      <w:r w:rsidR="003825EF">
        <w:rPr>
          <w:rFonts w:eastAsia="Times New Roman"/>
          <w:b/>
        </w:rPr>
        <w:t>I</w:t>
      </w:r>
      <w:r w:rsidR="00963809">
        <w:rPr>
          <w:rFonts w:eastAsia="Times New Roman"/>
          <w:b/>
        </w:rPr>
        <w:t>I</w:t>
      </w:r>
      <w:r w:rsidR="003825EF">
        <w:rPr>
          <w:rFonts w:eastAsia="Times New Roman"/>
          <w:b/>
        </w:rPr>
        <w:t xml:space="preserve"> </w:t>
      </w:r>
      <w:r>
        <w:rPr>
          <w:rFonts w:eastAsia="Times New Roman"/>
          <w:b/>
        </w:rPr>
        <w:t xml:space="preserve"> PRZETARG</w:t>
      </w:r>
      <w:r w:rsidR="003825EF">
        <w:rPr>
          <w:rFonts w:eastAsia="Times New Roman"/>
          <w:b/>
        </w:rPr>
        <w:t>U</w:t>
      </w:r>
    </w:p>
    <w:p w14:paraId="48355850" w14:textId="77777777" w:rsidR="00490D91" w:rsidRDefault="00490D91" w:rsidP="00490D91">
      <w:pPr>
        <w:ind w:firstLine="567"/>
        <w:jc w:val="both"/>
      </w:pPr>
      <w:r>
        <w:rPr>
          <w:rFonts w:eastAsia="Times New Roman"/>
        </w:rPr>
        <w:t>§1.1. Przetarg</w:t>
      </w:r>
      <w:r w:rsidR="003825EF">
        <w:rPr>
          <w:rFonts w:eastAsia="Times New Roman"/>
        </w:rPr>
        <w:t xml:space="preserve"> </w:t>
      </w:r>
      <w:r>
        <w:rPr>
          <w:rFonts w:eastAsia="Times New Roman"/>
        </w:rPr>
        <w:t>organizuje i przeprowadza Prezydent Miasta Torunia na zasadach ogólnych określonych w ustawie z dnia 21 sierpnia 1997</w:t>
      </w:r>
      <w:r w:rsidR="00A86D02">
        <w:rPr>
          <w:rFonts w:eastAsia="Times New Roman"/>
        </w:rPr>
        <w:t xml:space="preserve"> </w:t>
      </w:r>
      <w:r>
        <w:rPr>
          <w:rFonts w:eastAsia="Times New Roman"/>
        </w:rPr>
        <w:t>r. o gospodarce nieruchomościami</w:t>
      </w:r>
      <w:r w:rsidR="0021656B">
        <w:rPr>
          <w:rFonts w:eastAsia="Times New Roman"/>
        </w:rPr>
        <w:br/>
      </w:r>
      <w:r>
        <w:rPr>
          <w:rFonts w:eastAsia="Times New Roman"/>
        </w:rPr>
        <w:t>oraz w rozporządzeniu Rady Ministrów z dnia 14 września 2004 r. w sprawie sposobu i trybu przeprowadzania przetargów oraz rokowań na zbycie nieruchomości oraz na podstawie u</w:t>
      </w:r>
      <w:r>
        <w:rPr>
          <w:rFonts w:eastAsia="HG Mincho Light J"/>
          <w:color w:val="000000"/>
        </w:rPr>
        <w:t>chwały nr 894/18 z 19 lipca 2018</w:t>
      </w:r>
      <w:r w:rsidR="0021656B">
        <w:rPr>
          <w:rFonts w:eastAsia="HG Mincho Light J"/>
          <w:color w:val="000000"/>
        </w:rPr>
        <w:t xml:space="preserve"> </w:t>
      </w:r>
      <w:r>
        <w:rPr>
          <w:rFonts w:eastAsia="HG Mincho Light J"/>
          <w:color w:val="000000"/>
        </w:rPr>
        <w:t xml:space="preserve">r. w sprawie sprzedaży </w:t>
      </w:r>
      <w:r>
        <w:rPr>
          <w:rFonts w:eastAsia="Times New Roman"/>
        </w:rPr>
        <w:t xml:space="preserve">nieruchomości gruntowych, niezabudowanych, położonych w Toruniu, w rejonie ulic: Szosa Bydgoska i Pera </w:t>
      </w:r>
      <w:proofErr w:type="spellStart"/>
      <w:r>
        <w:rPr>
          <w:rFonts w:eastAsia="Times New Roman"/>
        </w:rPr>
        <w:t>Jonssona</w:t>
      </w:r>
      <w:proofErr w:type="spellEnd"/>
      <w:r>
        <w:rPr>
          <w:rFonts w:eastAsia="HG Mincho Light J"/>
          <w:color w:val="000000"/>
        </w:rPr>
        <w:t xml:space="preserve">, </w:t>
      </w:r>
      <w:r>
        <w:rPr>
          <w:rFonts w:eastAsia="Times New Roman"/>
        </w:rPr>
        <w:t>oraz niniejszego regulaminu.</w:t>
      </w:r>
    </w:p>
    <w:p w14:paraId="4189E202" w14:textId="77777777" w:rsidR="00490D91" w:rsidRDefault="00490D91" w:rsidP="00490D91">
      <w:pPr>
        <w:pStyle w:val="Tekstpodstawowy"/>
        <w:tabs>
          <w:tab w:val="left" w:pos="554"/>
        </w:tabs>
        <w:spacing w:after="0"/>
        <w:ind w:firstLine="567"/>
        <w:jc w:val="both"/>
        <w:rPr>
          <w:rFonts w:eastAsia="Times New Roman"/>
        </w:rPr>
      </w:pPr>
      <w:r>
        <w:rPr>
          <w:rFonts w:eastAsia="Times New Roman"/>
        </w:rPr>
        <w:t>2. Czynności związane z przeprowadzeniem przetargu wykonuje Komisja Przetargowa, która podejmuje rozstrzygnięcia większością głosów, w drodze głosowania, w obecności, co najmniej połowy ustalonego składu. W przypadku równej liczby głosów decyduje głos przewodniczącego komisji.</w:t>
      </w:r>
    </w:p>
    <w:p w14:paraId="61B0449C" w14:textId="77777777" w:rsidR="00490D91" w:rsidRDefault="00490D91" w:rsidP="00490D91">
      <w:pPr>
        <w:pStyle w:val="Tekstpodstawowy"/>
        <w:tabs>
          <w:tab w:val="left" w:pos="554"/>
        </w:tabs>
        <w:spacing w:after="0"/>
        <w:ind w:firstLine="567"/>
        <w:jc w:val="both"/>
        <w:rPr>
          <w:rFonts w:eastAsia="Times New Roman"/>
        </w:rPr>
      </w:pPr>
    </w:p>
    <w:p w14:paraId="4245055D" w14:textId="77777777" w:rsidR="00490D91" w:rsidRDefault="00490D91" w:rsidP="00490D91">
      <w:pPr>
        <w:pStyle w:val="Tekstpodstawowy"/>
        <w:tabs>
          <w:tab w:val="left" w:pos="424"/>
        </w:tabs>
        <w:spacing w:after="0"/>
        <w:ind w:firstLine="567"/>
        <w:jc w:val="both"/>
      </w:pPr>
      <w:r>
        <w:rPr>
          <w:rFonts w:eastAsia="Times New Roman"/>
        </w:rPr>
        <w:t>§2.1. Komisja przeprowadzi przetarg w dniu</w:t>
      </w:r>
      <w:r>
        <w:rPr>
          <w:rFonts w:eastAsia="Times New Roman"/>
          <w:b/>
          <w:bCs/>
        </w:rPr>
        <w:t xml:space="preserve"> </w:t>
      </w:r>
      <w:r w:rsidR="00963809">
        <w:rPr>
          <w:rFonts w:eastAsia="Times New Roman"/>
          <w:b/>
          <w:bCs/>
        </w:rPr>
        <w:t>8</w:t>
      </w:r>
      <w:r w:rsidR="00714467">
        <w:rPr>
          <w:rFonts w:eastAsia="Times New Roman"/>
          <w:b/>
          <w:bCs/>
        </w:rPr>
        <w:t xml:space="preserve"> </w:t>
      </w:r>
      <w:r w:rsidR="00963809">
        <w:rPr>
          <w:rFonts w:eastAsia="Times New Roman"/>
          <w:b/>
          <w:bCs/>
        </w:rPr>
        <w:t>października</w:t>
      </w:r>
      <w:r>
        <w:rPr>
          <w:rFonts w:eastAsia="Times New Roman"/>
          <w:b/>
          <w:bCs/>
        </w:rPr>
        <w:t xml:space="preserve"> 202</w:t>
      </w:r>
      <w:r w:rsidR="008019A9">
        <w:rPr>
          <w:rFonts w:eastAsia="Times New Roman"/>
          <w:b/>
          <w:bCs/>
        </w:rPr>
        <w:t>4</w:t>
      </w:r>
      <w:r>
        <w:rPr>
          <w:rFonts w:eastAsia="Times New Roman"/>
          <w:b/>
          <w:bCs/>
        </w:rPr>
        <w:t>r.,</w:t>
      </w:r>
      <w:r>
        <w:rPr>
          <w:rFonts w:eastAsia="Times New Roman"/>
        </w:rPr>
        <w:t xml:space="preserve">  </w:t>
      </w:r>
      <w:r w:rsidR="00A86D02">
        <w:rPr>
          <w:rFonts w:eastAsia="Times New Roman"/>
        </w:rPr>
        <w:t>o</w:t>
      </w:r>
      <w:r>
        <w:rPr>
          <w:rFonts w:eastAsia="Times New Roman"/>
        </w:rPr>
        <w:t xml:space="preserve"> godz.</w:t>
      </w:r>
      <w:r>
        <w:rPr>
          <w:rFonts w:eastAsia="Times New Roman"/>
          <w:b/>
        </w:rPr>
        <w:t xml:space="preserve"> 1</w:t>
      </w:r>
      <w:r w:rsidR="00A86D02">
        <w:rPr>
          <w:rFonts w:eastAsia="Times New Roman"/>
          <w:b/>
        </w:rPr>
        <w:t>1</w:t>
      </w:r>
      <w:r>
        <w:rPr>
          <w:rFonts w:eastAsia="Times New Roman"/>
          <w:b/>
          <w:bCs/>
          <w:vertAlign w:val="superscript"/>
        </w:rPr>
        <w:t>00</w:t>
      </w:r>
      <w:r w:rsidR="00A86D02">
        <w:rPr>
          <w:rFonts w:eastAsia="Times New Roman"/>
        </w:rPr>
        <w:t>.</w:t>
      </w:r>
    </w:p>
    <w:p w14:paraId="6CEBA1D1" w14:textId="77777777" w:rsidR="00490D91" w:rsidRPr="001E5A87" w:rsidRDefault="00490D91" w:rsidP="001E5A87">
      <w:pPr>
        <w:pStyle w:val="Tekstpodstawowy"/>
        <w:tabs>
          <w:tab w:val="left" w:pos="424"/>
        </w:tabs>
        <w:spacing w:after="0"/>
        <w:ind w:firstLine="567"/>
        <w:jc w:val="both"/>
        <w:rPr>
          <w:rFonts w:eastAsia="Times New Roman"/>
        </w:rPr>
      </w:pPr>
      <w:r>
        <w:rPr>
          <w:rFonts w:eastAsia="Times New Roman"/>
        </w:rPr>
        <w:t>2. Przedmiotem przetarg</w:t>
      </w:r>
      <w:r w:rsidR="00A86D02">
        <w:rPr>
          <w:rFonts w:eastAsia="Times New Roman"/>
        </w:rPr>
        <w:t>u</w:t>
      </w:r>
      <w:r>
        <w:rPr>
          <w:rFonts w:eastAsia="Times New Roman"/>
        </w:rPr>
        <w:t xml:space="preserve"> są następujące nieruchomości gruntowe, położone</w:t>
      </w:r>
      <w:r>
        <w:rPr>
          <w:rFonts w:eastAsia="Times New Roman"/>
        </w:rPr>
        <w:br/>
        <w:t>w Toruniu:</w:t>
      </w:r>
    </w:p>
    <w:tbl>
      <w:tblPr>
        <w:tblpPr w:leftFromText="141" w:rightFromText="141" w:vertAnchor="text" w:horzAnchor="margin" w:tblpXSpec="center" w:tblpY="74"/>
        <w:tblW w:w="10471" w:type="dxa"/>
        <w:tblLayout w:type="fixed"/>
        <w:tblCellMar>
          <w:left w:w="70" w:type="dxa"/>
          <w:right w:w="70" w:type="dxa"/>
        </w:tblCellMar>
        <w:tblLook w:val="04A0" w:firstRow="1" w:lastRow="0" w:firstColumn="1" w:lastColumn="0" w:noHBand="0" w:noVBand="1"/>
      </w:tblPr>
      <w:tblGrid>
        <w:gridCol w:w="1838"/>
        <w:gridCol w:w="2268"/>
        <w:gridCol w:w="992"/>
        <w:gridCol w:w="2265"/>
        <w:gridCol w:w="3108"/>
      </w:tblGrid>
      <w:tr w:rsidR="00AD0A84" w14:paraId="24A89AF7" w14:textId="77777777" w:rsidTr="00C97579">
        <w:trPr>
          <w:trHeight w:val="362"/>
        </w:trPr>
        <w:tc>
          <w:tcPr>
            <w:tcW w:w="1838" w:type="dxa"/>
            <w:tcBorders>
              <w:top w:val="single" w:sz="4" w:space="0" w:color="000000"/>
              <w:left w:val="single" w:sz="4" w:space="0" w:color="000000"/>
              <w:bottom w:val="single" w:sz="4" w:space="0" w:color="000000"/>
              <w:right w:val="nil"/>
            </w:tcBorders>
          </w:tcPr>
          <w:p w14:paraId="26ABB162" w14:textId="77777777" w:rsidR="00AD0A84" w:rsidRDefault="00AD0A84" w:rsidP="001E5A87">
            <w:pPr>
              <w:pStyle w:val="WW-Zawartotabeli11"/>
              <w:snapToGrid w:val="0"/>
              <w:spacing w:line="240" w:lineRule="auto"/>
              <w:rPr>
                <w:sz w:val="22"/>
                <w:szCs w:val="22"/>
                <w:lang w:eastAsia="en-US"/>
              </w:rPr>
            </w:pPr>
            <w:r>
              <w:rPr>
                <w:sz w:val="22"/>
                <w:szCs w:val="22"/>
                <w:lang w:eastAsia="en-US"/>
              </w:rPr>
              <w:t>Położenie</w:t>
            </w:r>
          </w:p>
          <w:p w14:paraId="23C0CA28" w14:textId="77777777" w:rsidR="00AD0A84" w:rsidRDefault="00AD0A84" w:rsidP="001E5A87">
            <w:pPr>
              <w:pStyle w:val="WW-Zawartotabeli11"/>
              <w:spacing w:line="240" w:lineRule="auto"/>
              <w:rPr>
                <w:sz w:val="22"/>
                <w:szCs w:val="22"/>
                <w:lang w:eastAsia="en-US"/>
              </w:rPr>
            </w:pPr>
          </w:p>
        </w:tc>
        <w:tc>
          <w:tcPr>
            <w:tcW w:w="2268" w:type="dxa"/>
            <w:tcBorders>
              <w:top w:val="single" w:sz="4" w:space="0" w:color="000000"/>
              <w:left w:val="single" w:sz="4" w:space="0" w:color="000000"/>
              <w:bottom w:val="single" w:sz="4" w:space="0" w:color="000000"/>
              <w:right w:val="nil"/>
            </w:tcBorders>
            <w:hideMark/>
          </w:tcPr>
          <w:p w14:paraId="361813EF" w14:textId="77777777" w:rsidR="00AD0A84" w:rsidRDefault="00AD0A84" w:rsidP="001E5A87">
            <w:pPr>
              <w:pStyle w:val="WW-Zawartotabeli11"/>
              <w:snapToGrid w:val="0"/>
              <w:spacing w:line="240" w:lineRule="auto"/>
              <w:rPr>
                <w:sz w:val="22"/>
                <w:szCs w:val="22"/>
                <w:lang w:eastAsia="en-US"/>
              </w:rPr>
            </w:pPr>
            <w:r>
              <w:rPr>
                <w:sz w:val="22"/>
                <w:szCs w:val="22"/>
                <w:lang w:eastAsia="en-US"/>
              </w:rPr>
              <w:t>Nr działki/użytek</w:t>
            </w:r>
          </w:p>
        </w:tc>
        <w:tc>
          <w:tcPr>
            <w:tcW w:w="992" w:type="dxa"/>
            <w:tcBorders>
              <w:top w:val="single" w:sz="4" w:space="0" w:color="000000"/>
              <w:left w:val="single" w:sz="4" w:space="0" w:color="000000"/>
              <w:bottom w:val="single" w:sz="4" w:space="0" w:color="000000"/>
              <w:right w:val="single" w:sz="4" w:space="0" w:color="000000"/>
            </w:tcBorders>
            <w:hideMark/>
          </w:tcPr>
          <w:p w14:paraId="54C18287" w14:textId="77777777" w:rsidR="00AD0A84" w:rsidRDefault="00AD0A84" w:rsidP="001E5A87">
            <w:pPr>
              <w:pStyle w:val="WW-Zawartotabeli11"/>
              <w:snapToGrid w:val="0"/>
              <w:spacing w:line="240" w:lineRule="auto"/>
              <w:rPr>
                <w:sz w:val="22"/>
                <w:szCs w:val="22"/>
                <w:lang w:eastAsia="en-US"/>
              </w:rPr>
            </w:pPr>
            <w:r>
              <w:rPr>
                <w:sz w:val="22"/>
                <w:szCs w:val="22"/>
                <w:lang w:eastAsia="en-US"/>
              </w:rPr>
              <w:t>Pow. ha</w:t>
            </w:r>
          </w:p>
        </w:tc>
        <w:tc>
          <w:tcPr>
            <w:tcW w:w="2265" w:type="dxa"/>
            <w:tcBorders>
              <w:top w:val="single" w:sz="4" w:space="0" w:color="000000"/>
              <w:left w:val="single" w:sz="4" w:space="0" w:color="000000"/>
              <w:bottom w:val="single" w:sz="4" w:space="0" w:color="000000"/>
              <w:right w:val="single" w:sz="4" w:space="0" w:color="000000"/>
            </w:tcBorders>
            <w:hideMark/>
          </w:tcPr>
          <w:p w14:paraId="1EB9528E" w14:textId="77777777" w:rsidR="00AD0A84" w:rsidRDefault="00AD0A84" w:rsidP="001E5A87">
            <w:pPr>
              <w:pStyle w:val="WW-Zawartotabeli11"/>
              <w:snapToGrid w:val="0"/>
              <w:spacing w:line="240" w:lineRule="auto"/>
              <w:rPr>
                <w:sz w:val="22"/>
                <w:szCs w:val="22"/>
                <w:lang w:eastAsia="en-US"/>
              </w:rPr>
            </w:pPr>
            <w:r>
              <w:rPr>
                <w:sz w:val="22"/>
                <w:szCs w:val="22"/>
                <w:lang w:eastAsia="en-US"/>
              </w:rPr>
              <w:t>Nr księgi wieczystej</w:t>
            </w:r>
          </w:p>
        </w:tc>
        <w:tc>
          <w:tcPr>
            <w:tcW w:w="3108" w:type="dxa"/>
            <w:tcBorders>
              <w:top w:val="single" w:sz="4" w:space="0" w:color="000000"/>
              <w:left w:val="single" w:sz="4" w:space="0" w:color="000000"/>
              <w:bottom w:val="single" w:sz="4" w:space="0" w:color="000000"/>
              <w:right w:val="single" w:sz="4" w:space="0" w:color="auto"/>
            </w:tcBorders>
            <w:hideMark/>
          </w:tcPr>
          <w:p w14:paraId="46A0DF70" w14:textId="77777777" w:rsidR="00AD0A84" w:rsidRDefault="00AD0A84" w:rsidP="001E5A87">
            <w:pPr>
              <w:pStyle w:val="Tekstpodstawowy31"/>
              <w:snapToGrid w:val="0"/>
              <w:jc w:val="center"/>
              <w:rPr>
                <w:rFonts w:eastAsia="Times New Roman"/>
                <w:sz w:val="22"/>
                <w:szCs w:val="22"/>
                <w:lang w:eastAsia="en-US"/>
              </w:rPr>
            </w:pPr>
            <w:r>
              <w:rPr>
                <w:rFonts w:eastAsia="Times New Roman"/>
                <w:sz w:val="22"/>
                <w:szCs w:val="22"/>
                <w:lang w:eastAsia="en-US"/>
              </w:rPr>
              <w:t>przeznaczenie</w:t>
            </w:r>
          </w:p>
        </w:tc>
      </w:tr>
      <w:tr w:rsidR="00AD0A84" w14:paraId="33441E51" w14:textId="77777777" w:rsidTr="00C97579">
        <w:trPr>
          <w:trHeight w:val="325"/>
        </w:trPr>
        <w:tc>
          <w:tcPr>
            <w:tcW w:w="1838" w:type="dxa"/>
            <w:tcBorders>
              <w:top w:val="single" w:sz="4" w:space="0" w:color="auto"/>
              <w:left w:val="single" w:sz="4" w:space="0" w:color="auto"/>
              <w:bottom w:val="single" w:sz="4" w:space="0" w:color="auto"/>
              <w:right w:val="single" w:sz="4" w:space="0" w:color="auto"/>
            </w:tcBorders>
            <w:hideMark/>
          </w:tcPr>
          <w:p w14:paraId="734DAFF2" w14:textId="77777777" w:rsidR="00AD0A84" w:rsidRDefault="00AD0A84" w:rsidP="001E5A87">
            <w:pPr>
              <w:suppressAutoHyphens w:val="0"/>
              <w:rPr>
                <w:sz w:val="22"/>
                <w:szCs w:val="22"/>
                <w:lang w:eastAsia="en-US"/>
              </w:rPr>
            </w:pPr>
            <w:r>
              <w:rPr>
                <w:sz w:val="22"/>
                <w:szCs w:val="22"/>
                <w:lang w:eastAsia="en-US"/>
              </w:rPr>
              <w:t>ul. Szosa Bydgoska 76-80</w:t>
            </w:r>
          </w:p>
          <w:p w14:paraId="0663DC4A" w14:textId="77777777" w:rsidR="00AD0A84" w:rsidRDefault="00AD0A84" w:rsidP="00A86D02">
            <w:pPr>
              <w:suppressAutoHyphens w:val="0"/>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4006C2A6" w14:textId="77777777" w:rsidR="00C97579" w:rsidRDefault="00AD0A84" w:rsidP="001E5A87">
            <w:pPr>
              <w:jc w:val="center"/>
              <w:rPr>
                <w:sz w:val="22"/>
                <w:szCs w:val="22"/>
                <w:lang w:eastAsia="en-US"/>
              </w:rPr>
            </w:pPr>
            <w:r>
              <w:rPr>
                <w:sz w:val="22"/>
                <w:szCs w:val="22"/>
                <w:lang w:eastAsia="en-US"/>
              </w:rPr>
              <w:t xml:space="preserve">35/16 (Bp), </w:t>
            </w:r>
          </w:p>
          <w:p w14:paraId="5E6623E2" w14:textId="77777777" w:rsidR="00C97579" w:rsidRDefault="00AD0A84" w:rsidP="001E5A87">
            <w:pPr>
              <w:jc w:val="center"/>
              <w:rPr>
                <w:sz w:val="22"/>
                <w:szCs w:val="22"/>
                <w:lang w:eastAsia="en-US"/>
              </w:rPr>
            </w:pPr>
            <w:r>
              <w:rPr>
                <w:sz w:val="22"/>
                <w:szCs w:val="22"/>
                <w:lang w:eastAsia="en-US"/>
              </w:rPr>
              <w:t>44/3 (</w:t>
            </w:r>
            <w:proofErr w:type="spellStart"/>
            <w:r>
              <w:rPr>
                <w:sz w:val="22"/>
                <w:szCs w:val="22"/>
                <w:lang w:eastAsia="en-US"/>
              </w:rPr>
              <w:t>Lz</w:t>
            </w:r>
            <w:proofErr w:type="spellEnd"/>
            <w:r>
              <w:rPr>
                <w:sz w:val="22"/>
                <w:szCs w:val="22"/>
                <w:lang w:eastAsia="en-US"/>
              </w:rPr>
              <w:t>),</w:t>
            </w:r>
          </w:p>
          <w:p w14:paraId="0F7B7D2E" w14:textId="77777777" w:rsidR="00C97579" w:rsidRDefault="00AD0A84" w:rsidP="00C97579">
            <w:pPr>
              <w:jc w:val="center"/>
              <w:rPr>
                <w:sz w:val="22"/>
                <w:szCs w:val="22"/>
                <w:lang w:eastAsia="en-US"/>
              </w:rPr>
            </w:pPr>
            <w:r>
              <w:rPr>
                <w:sz w:val="22"/>
                <w:szCs w:val="22"/>
                <w:lang w:eastAsia="en-US"/>
              </w:rPr>
              <w:t>45/1 (Bp),</w:t>
            </w:r>
            <w:r w:rsidR="001B05C0">
              <w:rPr>
                <w:sz w:val="22"/>
                <w:szCs w:val="22"/>
                <w:lang w:eastAsia="en-US"/>
              </w:rPr>
              <w:t xml:space="preserve"> </w:t>
            </w:r>
            <w:r>
              <w:rPr>
                <w:sz w:val="22"/>
                <w:szCs w:val="22"/>
                <w:lang w:eastAsia="en-US"/>
              </w:rPr>
              <w:t xml:space="preserve">102/4 (Bp), </w:t>
            </w:r>
            <w:r w:rsidR="00C97579">
              <w:rPr>
                <w:sz w:val="22"/>
                <w:szCs w:val="22"/>
                <w:lang w:eastAsia="en-US"/>
              </w:rPr>
              <w:t>91/4 (RVI),</w:t>
            </w:r>
          </w:p>
          <w:p w14:paraId="0F7E0CA7" w14:textId="77777777" w:rsidR="00AD0A84" w:rsidRDefault="00AD0A84" w:rsidP="00C97579">
            <w:pPr>
              <w:jc w:val="center"/>
              <w:rPr>
                <w:sz w:val="22"/>
                <w:szCs w:val="22"/>
                <w:lang w:eastAsia="en-US"/>
              </w:rPr>
            </w:pPr>
            <w:r>
              <w:rPr>
                <w:sz w:val="22"/>
                <w:szCs w:val="22"/>
                <w:lang w:eastAsia="en-US"/>
              </w:rPr>
              <w:t>obręb 23</w:t>
            </w:r>
          </w:p>
        </w:tc>
        <w:tc>
          <w:tcPr>
            <w:tcW w:w="992" w:type="dxa"/>
            <w:tcBorders>
              <w:top w:val="single" w:sz="4" w:space="0" w:color="auto"/>
              <w:left w:val="single" w:sz="4" w:space="0" w:color="auto"/>
              <w:bottom w:val="single" w:sz="4" w:space="0" w:color="auto"/>
              <w:right w:val="single" w:sz="4" w:space="0" w:color="auto"/>
            </w:tcBorders>
            <w:hideMark/>
          </w:tcPr>
          <w:p w14:paraId="71B82C52" w14:textId="77777777" w:rsidR="00AD0A84" w:rsidRDefault="00AD0A84" w:rsidP="001E5A87">
            <w:pPr>
              <w:pStyle w:val="Zawartotabeli"/>
              <w:jc w:val="right"/>
              <w:rPr>
                <w:sz w:val="22"/>
                <w:szCs w:val="22"/>
                <w:lang w:eastAsia="en-US"/>
              </w:rPr>
            </w:pPr>
            <w:r>
              <w:rPr>
                <w:sz w:val="22"/>
                <w:szCs w:val="22"/>
                <w:lang w:eastAsia="en-US"/>
              </w:rPr>
              <w:t>0,6268</w:t>
            </w:r>
          </w:p>
        </w:tc>
        <w:tc>
          <w:tcPr>
            <w:tcW w:w="2265" w:type="dxa"/>
            <w:tcBorders>
              <w:top w:val="single" w:sz="4" w:space="0" w:color="auto"/>
              <w:left w:val="single" w:sz="4" w:space="0" w:color="auto"/>
              <w:bottom w:val="single" w:sz="4" w:space="0" w:color="auto"/>
              <w:right w:val="single" w:sz="4" w:space="0" w:color="auto"/>
            </w:tcBorders>
            <w:hideMark/>
          </w:tcPr>
          <w:p w14:paraId="418934D5" w14:textId="77777777" w:rsidR="00AD0A84" w:rsidRDefault="001B05C0" w:rsidP="001E5A87">
            <w:pPr>
              <w:jc w:val="both"/>
              <w:rPr>
                <w:sz w:val="22"/>
                <w:szCs w:val="22"/>
                <w:lang w:eastAsia="en-US"/>
              </w:rPr>
            </w:pPr>
            <w:r>
              <w:rPr>
                <w:sz w:val="22"/>
                <w:szCs w:val="22"/>
                <w:lang w:eastAsia="en-US"/>
              </w:rPr>
              <w:t>TO1T/00035395/9</w:t>
            </w:r>
          </w:p>
          <w:p w14:paraId="47BCB0B6" w14:textId="77777777" w:rsidR="00AD0A84" w:rsidRDefault="001B05C0" w:rsidP="001E5A87">
            <w:pPr>
              <w:jc w:val="both"/>
              <w:rPr>
                <w:sz w:val="22"/>
                <w:szCs w:val="22"/>
                <w:lang w:eastAsia="en-US"/>
              </w:rPr>
            </w:pPr>
            <w:r>
              <w:rPr>
                <w:sz w:val="22"/>
                <w:szCs w:val="22"/>
                <w:lang w:eastAsia="en-US"/>
              </w:rPr>
              <w:t>TO1T/00045451/3</w:t>
            </w:r>
          </w:p>
          <w:p w14:paraId="2CD40E16" w14:textId="77777777" w:rsidR="00AD0A84" w:rsidRDefault="001B05C0" w:rsidP="001E5A87">
            <w:pPr>
              <w:jc w:val="both"/>
              <w:rPr>
                <w:sz w:val="22"/>
                <w:szCs w:val="22"/>
                <w:lang w:eastAsia="en-US"/>
              </w:rPr>
            </w:pPr>
            <w:r>
              <w:rPr>
                <w:sz w:val="22"/>
                <w:szCs w:val="22"/>
                <w:lang w:eastAsia="en-US"/>
              </w:rPr>
              <w:t>TO1T/00037371/9</w:t>
            </w:r>
          </w:p>
          <w:p w14:paraId="5E2D1EE8" w14:textId="77777777" w:rsidR="00AD0A84" w:rsidRDefault="001B05C0" w:rsidP="001E5A87">
            <w:pPr>
              <w:jc w:val="both"/>
              <w:rPr>
                <w:sz w:val="22"/>
                <w:szCs w:val="22"/>
                <w:lang w:eastAsia="en-US"/>
              </w:rPr>
            </w:pPr>
            <w:r>
              <w:rPr>
                <w:sz w:val="22"/>
                <w:szCs w:val="22"/>
                <w:lang w:eastAsia="en-US"/>
              </w:rPr>
              <w:t>TO1T</w:t>
            </w:r>
            <w:r w:rsidR="0021656B">
              <w:rPr>
                <w:sz w:val="22"/>
                <w:szCs w:val="22"/>
                <w:lang w:eastAsia="en-US"/>
              </w:rPr>
              <w:t>/</w:t>
            </w:r>
            <w:r>
              <w:rPr>
                <w:sz w:val="22"/>
                <w:szCs w:val="22"/>
                <w:lang w:eastAsia="en-US"/>
              </w:rPr>
              <w:t>00045452/0</w:t>
            </w:r>
          </w:p>
        </w:tc>
        <w:tc>
          <w:tcPr>
            <w:tcW w:w="3108" w:type="dxa"/>
            <w:tcBorders>
              <w:top w:val="single" w:sz="4" w:space="0" w:color="auto"/>
              <w:left w:val="single" w:sz="4" w:space="0" w:color="auto"/>
              <w:bottom w:val="single" w:sz="4" w:space="0" w:color="auto"/>
              <w:right w:val="single" w:sz="4" w:space="0" w:color="auto"/>
            </w:tcBorders>
            <w:hideMark/>
          </w:tcPr>
          <w:p w14:paraId="04079DF9" w14:textId="77777777" w:rsidR="00AD0A84" w:rsidRDefault="00AD0A84" w:rsidP="001E5A87">
            <w:pPr>
              <w:pStyle w:val="NormalnyWeb"/>
              <w:spacing w:before="0" w:beforeAutospacing="0" w:after="0" w:line="240" w:lineRule="auto"/>
              <w:rPr>
                <w:sz w:val="22"/>
                <w:szCs w:val="22"/>
                <w:lang w:eastAsia="en-US"/>
              </w:rPr>
            </w:pPr>
            <w:r>
              <w:rPr>
                <w:sz w:val="22"/>
                <w:szCs w:val="22"/>
                <w:lang w:eastAsia="en-US"/>
              </w:rPr>
              <w:t>100.01-U03 teren zabudowy usługowej</w:t>
            </w:r>
          </w:p>
        </w:tc>
      </w:tr>
    </w:tbl>
    <w:p w14:paraId="574BE07E" w14:textId="77777777" w:rsidR="000875C3" w:rsidRDefault="00490D91" w:rsidP="000875C3">
      <w:pPr>
        <w:pStyle w:val="Tekstpodstawowy"/>
        <w:widowControl/>
        <w:tabs>
          <w:tab w:val="left" w:pos="435"/>
        </w:tabs>
        <w:spacing w:after="0"/>
        <w:ind w:left="11"/>
        <w:jc w:val="both"/>
        <w:rPr>
          <w:rFonts w:eastAsia="Times New Roman"/>
        </w:rPr>
      </w:pPr>
      <w:r>
        <w:rPr>
          <w:rFonts w:eastAsia="Times New Roman"/>
        </w:rPr>
        <w:tab/>
        <w:t xml:space="preserve">3. </w:t>
      </w:r>
      <w:r w:rsidR="000875C3">
        <w:rPr>
          <w:rFonts w:eastAsia="Times New Roman"/>
        </w:rPr>
        <w:t>W księdze wieczystej KW Nr TO1T/00035395/9 w „Dziale III - Prawa, roszczenia</w:t>
      </w:r>
      <w:r w:rsidR="000875C3">
        <w:rPr>
          <w:rFonts w:eastAsia="Times New Roman"/>
        </w:rPr>
        <w:br/>
        <w:t xml:space="preserve">i ograniczenia” znajdują się wpisy dot. ograniczonego prawa rzeczowego – 1) „służebność </w:t>
      </w:r>
      <w:proofErr w:type="spellStart"/>
      <w:r w:rsidR="000875C3">
        <w:rPr>
          <w:rFonts w:eastAsia="Times New Roman"/>
        </w:rPr>
        <w:t>przesyłu</w:t>
      </w:r>
      <w:proofErr w:type="spellEnd"/>
      <w:r w:rsidR="000875C3">
        <w:rPr>
          <w:rFonts w:eastAsia="Times New Roman"/>
        </w:rPr>
        <w:t xml:space="preserve"> na rzecz Spółki pod firmą: ENERGA – OPERATOR S.A. z siedzibą w Gdańsku zgodnie z treścią  3 umowy o ustanowienie służebności </w:t>
      </w:r>
      <w:proofErr w:type="spellStart"/>
      <w:r w:rsidR="000875C3">
        <w:rPr>
          <w:rFonts w:eastAsia="Times New Roman"/>
        </w:rPr>
        <w:t>przesyłu</w:t>
      </w:r>
      <w:proofErr w:type="spellEnd"/>
      <w:r w:rsidR="000875C3">
        <w:rPr>
          <w:rFonts w:eastAsia="Times New Roman"/>
        </w:rPr>
        <w:t xml:space="preserve"> z  dnia 24.03.2015r. sporządzonej przed notariuszem Agnieszką Eska-Królikowską w Toruniu (Rep. Aktu 2201/2015), przedmiot wykonywania działka nr 134/2” </w:t>
      </w:r>
      <w:r w:rsidR="000E0954">
        <w:rPr>
          <w:rFonts w:eastAsia="Times New Roman"/>
        </w:rPr>
        <w:t>;</w:t>
      </w:r>
      <w:r w:rsidR="000875C3">
        <w:rPr>
          <w:rFonts w:eastAsia="Times New Roman"/>
        </w:rPr>
        <w:t xml:space="preserve"> 2) „służebność </w:t>
      </w:r>
      <w:proofErr w:type="spellStart"/>
      <w:r w:rsidR="000875C3">
        <w:rPr>
          <w:rFonts w:eastAsia="Times New Roman"/>
        </w:rPr>
        <w:t>przesyłu</w:t>
      </w:r>
      <w:proofErr w:type="spellEnd"/>
      <w:r w:rsidR="000875C3">
        <w:rPr>
          <w:rFonts w:eastAsia="Times New Roman"/>
        </w:rPr>
        <w:t xml:space="preserve"> na czas nieoznaczony, za uiszczonym już jednorazowym wynagrodzeniem, na rzecz Spółki pod firmą „GEOTERMIA TORUŃ” Sp. z o.o. z siedzibą w Toruniu o treści określonej w paragrafie trzecim aktu; wykonanie służebności ograniczone zo</w:t>
      </w:r>
      <w:r w:rsidR="000E0954">
        <w:rPr>
          <w:rFonts w:eastAsia="Times New Roman"/>
        </w:rPr>
        <w:t xml:space="preserve">stało do działek 35/15 i 134/2” oraz 3) służebność </w:t>
      </w:r>
      <w:proofErr w:type="spellStart"/>
      <w:r w:rsidR="000E0954">
        <w:rPr>
          <w:rFonts w:eastAsia="Times New Roman"/>
        </w:rPr>
        <w:t>przesyłu</w:t>
      </w:r>
      <w:proofErr w:type="spellEnd"/>
      <w:r w:rsidR="000E0954">
        <w:rPr>
          <w:rFonts w:eastAsia="Times New Roman"/>
        </w:rPr>
        <w:t xml:space="preserve">  ustanowiona na czas nieoznaczony</w:t>
      </w:r>
      <w:r w:rsidR="00AB66A9">
        <w:rPr>
          <w:rFonts w:eastAsia="Times New Roman"/>
        </w:rPr>
        <w:t xml:space="preserve"> na rzecz ENERGA – OPERATOR S.A. </w:t>
      </w:r>
      <w:r w:rsidR="000E0954">
        <w:rPr>
          <w:rFonts w:eastAsia="Times New Roman"/>
        </w:rPr>
        <w:t xml:space="preserve"> polegająca na: a) prawie do wybudowania oraz trwałego utrzymywania na nieruchomości oznaczonej nr  działki 134/2 odcinka sieci elektroenergetycznej – linii kablowej NN-110kV wraz z kanalizacją teletechniczną, zgodnie z przebiegiem określonym na załączniku nr 8 do aktu notarialnego, b) prawie do korzystania z nieruchomości oznaczonej nr działki 134/2, w pasie technologicznym wynoszącym 0,5 m szerokości od krawędzi zewnętrznych urządzeń sieci elektroenergetycznej opisanej w pkt a), w zakresie niezbędnym do dokonywania konserwacji, remontów, modernizacji, usuwania awarii oraz przebudowy urządzeń i instalacji elektroenergetycznych, jak również usytuowania w przyszłości kolejnych wyprowadzeń linii, w obszarze nieruchomości zajętym dotychczas przez urządzenia elektroenergetyczne, wraz z prawem  wejścia i </w:t>
      </w:r>
      <w:r w:rsidR="00AB66A9">
        <w:rPr>
          <w:rFonts w:eastAsia="Times New Roman"/>
        </w:rPr>
        <w:t>wjazdu</w:t>
      </w:r>
      <w:r w:rsidR="000E0954">
        <w:rPr>
          <w:rFonts w:eastAsia="Times New Roman"/>
        </w:rPr>
        <w:t xml:space="preserve"> na teren odpowiednim </w:t>
      </w:r>
      <w:r w:rsidR="00AB66A9">
        <w:rPr>
          <w:rFonts w:eastAsia="Times New Roman"/>
        </w:rPr>
        <w:t>sprzętem przez pracowników przedsiębiorstw oraz przez wszystkie podmioty i osoby, którymi przedsiębiorstwo to posługuje się w związku z prowadzoną działalnością</w:t>
      </w:r>
    </w:p>
    <w:p w14:paraId="14F01E2A" w14:textId="77777777" w:rsidR="00490D91" w:rsidRDefault="000875C3" w:rsidP="00490D91">
      <w:pPr>
        <w:pStyle w:val="Tekstpodstawowy"/>
        <w:widowControl/>
        <w:tabs>
          <w:tab w:val="left" w:pos="435"/>
        </w:tabs>
        <w:spacing w:after="0"/>
        <w:ind w:left="11"/>
        <w:jc w:val="both"/>
        <w:rPr>
          <w:rFonts w:eastAsia="Times New Roman"/>
        </w:rPr>
      </w:pPr>
      <w:r>
        <w:rPr>
          <w:rFonts w:eastAsia="Times New Roman"/>
        </w:rPr>
        <w:lastRenderedPageBreak/>
        <w:tab/>
      </w:r>
      <w:r w:rsidR="00DB66F5">
        <w:rPr>
          <w:rFonts w:eastAsia="Times New Roman"/>
        </w:rPr>
        <w:t>4</w:t>
      </w:r>
      <w:r>
        <w:rPr>
          <w:rFonts w:eastAsia="Times New Roman"/>
        </w:rPr>
        <w:t xml:space="preserve">. </w:t>
      </w:r>
      <w:r w:rsidR="00490D91">
        <w:rPr>
          <w:rFonts w:eastAsia="Times New Roman"/>
        </w:rPr>
        <w:t xml:space="preserve">W KW Nr TO1T/00045452/0 w </w:t>
      </w:r>
      <w:r w:rsidR="003857D0">
        <w:rPr>
          <w:rFonts w:eastAsia="Times New Roman"/>
        </w:rPr>
        <w:t xml:space="preserve">„Dziale III – Prawa, roszczenia </w:t>
      </w:r>
      <w:r w:rsidR="00490D91">
        <w:rPr>
          <w:rFonts w:eastAsia="Times New Roman"/>
        </w:rPr>
        <w:t xml:space="preserve">i ograniczenia” znajdują się wpisy dot. ograniczonego prawa rzeczowego – 1) „służebność gruntowa polegająca na prawie przechodu i przejazdu przez działkę geod. nr 91/2, na rzecz każdoczesnego użytkownika wieczystego gruntu położonego w Toruniu przy ul. Szosa Bydgoska 78, oznaczonego w ewidencji gruntów numerami działek: 91/1, 103/1, 87/1, 51/1 wpisanych w księdze wieczystej nr 32186, zgodnie z treścią i na podstawie § 6 aktu notarialnego   z  dnia 22 lipca 2002r., Rep. A Nr 1551/02” oraz 2) „służebność </w:t>
      </w:r>
      <w:proofErr w:type="spellStart"/>
      <w:r w:rsidR="00490D91">
        <w:rPr>
          <w:rFonts w:eastAsia="Times New Roman"/>
        </w:rPr>
        <w:t>przesyłu</w:t>
      </w:r>
      <w:proofErr w:type="spellEnd"/>
      <w:r w:rsidR="00490D91">
        <w:rPr>
          <w:rFonts w:eastAsia="Times New Roman"/>
        </w:rPr>
        <w:t xml:space="preserve"> na czas nieoznaczony, za uiszczonym już jednorazowym wynagrodzeniem, na rzecz Spółki pod firmą „GEOTERMIA TORUŃ” Sp. z o.o. z siedzibą w Toruniu o treści określonej w paragrafie trzecim aktu; wykonanie służebności ograniczone zostało do działki nr 53/6”.</w:t>
      </w:r>
    </w:p>
    <w:p w14:paraId="5AC1E34F" w14:textId="77777777" w:rsidR="003857D0" w:rsidRDefault="000875C3" w:rsidP="0098743B">
      <w:pPr>
        <w:pStyle w:val="Tekstpodstawowy"/>
        <w:widowControl/>
        <w:tabs>
          <w:tab w:val="left" w:pos="435"/>
        </w:tabs>
        <w:spacing w:after="0"/>
        <w:ind w:left="11"/>
        <w:jc w:val="both"/>
        <w:rPr>
          <w:rFonts w:eastAsia="Times New Roman"/>
        </w:rPr>
      </w:pPr>
      <w:r>
        <w:rPr>
          <w:rFonts w:eastAsia="Times New Roman"/>
        </w:rPr>
        <w:t xml:space="preserve">       </w:t>
      </w:r>
      <w:r w:rsidR="00DB66F5">
        <w:rPr>
          <w:rFonts w:eastAsia="Times New Roman"/>
        </w:rPr>
        <w:t>5</w:t>
      </w:r>
      <w:r w:rsidR="0098743B">
        <w:rPr>
          <w:rFonts w:eastAsia="Times New Roman"/>
        </w:rPr>
        <w:t xml:space="preserve">. Opisane powyżej służebności nie </w:t>
      </w:r>
      <w:r w:rsidR="000F5C6F">
        <w:rPr>
          <w:rFonts w:eastAsia="Times New Roman"/>
        </w:rPr>
        <w:t>są wykonywane na</w:t>
      </w:r>
      <w:r w:rsidR="0098743B">
        <w:rPr>
          <w:rFonts w:eastAsia="Times New Roman"/>
        </w:rPr>
        <w:t xml:space="preserve"> zbywanych nieruchomości</w:t>
      </w:r>
      <w:r w:rsidR="000F5C6F">
        <w:rPr>
          <w:rFonts w:eastAsia="Times New Roman"/>
        </w:rPr>
        <w:t>ach</w:t>
      </w:r>
      <w:r w:rsidR="00DB66F5">
        <w:rPr>
          <w:rFonts w:eastAsia="Times New Roman"/>
        </w:rPr>
        <w:t>.</w:t>
      </w:r>
    </w:p>
    <w:p w14:paraId="5B3A346D" w14:textId="77777777" w:rsidR="0098743B" w:rsidRDefault="0098743B" w:rsidP="0098743B">
      <w:pPr>
        <w:pStyle w:val="Tekstpodstawowy"/>
        <w:widowControl/>
        <w:tabs>
          <w:tab w:val="left" w:pos="435"/>
        </w:tabs>
        <w:spacing w:after="0"/>
        <w:ind w:left="11"/>
        <w:jc w:val="both"/>
        <w:rPr>
          <w:rFonts w:eastAsia="Times New Roman"/>
        </w:rPr>
      </w:pPr>
      <w:r>
        <w:rPr>
          <w:rFonts w:eastAsia="Times New Roman"/>
        </w:rPr>
        <w:tab/>
      </w:r>
      <w:r w:rsidR="00DB66F5">
        <w:rPr>
          <w:rFonts w:eastAsia="Times New Roman"/>
        </w:rPr>
        <w:t>6</w:t>
      </w:r>
      <w:r>
        <w:rPr>
          <w:rFonts w:eastAsia="Times New Roman"/>
        </w:rPr>
        <w:t xml:space="preserve">. W </w:t>
      </w:r>
      <w:r w:rsidR="00BA47C1">
        <w:rPr>
          <w:rFonts w:eastAsia="Times New Roman"/>
        </w:rPr>
        <w:t>sąsiedztwie</w:t>
      </w:r>
      <w:r>
        <w:rPr>
          <w:rFonts w:eastAsia="Times New Roman"/>
        </w:rPr>
        <w:t xml:space="preserve"> zbywanych </w:t>
      </w:r>
      <w:r w:rsidR="00BA47C1">
        <w:rPr>
          <w:rFonts w:eastAsia="Times New Roman"/>
        </w:rPr>
        <w:t>gruntów</w:t>
      </w:r>
      <w:r>
        <w:rPr>
          <w:rFonts w:eastAsia="Times New Roman"/>
        </w:rPr>
        <w:t xml:space="preserve"> znajdują się grunty </w:t>
      </w:r>
      <w:r w:rsidR="00BA47C1">
        <w:rPr>
          <w:rFonts w:eastAsia="Times New Roman"/>
        </w:rPr>
        <w:t>niezabudowane</w:t>
      </w:r>
      <w:r>
        <w:rPr>
          <w:rFonts w:eastAsia="Times New Roman"/>
        </w:rPr>
        <w:t xml:space="preserve"> oraz salon </w:t>
      </w:r>
      <w:r w:rsidR="00BA47C1">
        <w:rPr>
          <w:rFonts w:eastAsia="Times New Roman"/>
        </w:rPr>
        <w:t xml:space="preserve">samochody Citroen i stacja kontroli pojazdów, w odległości ok. 800 m sklep budowlany </w:t>
      </w:r>
      <w:proofErr w:type="spellStart"/>
      <w:r w:rsidR="00BA47C1">
        <w:rPr>
          <w:rFonts w:eastAsia="Times New Roman"/>
        </w:rPr>
        <w:t>Castorama</w:t>
      </w:r>
      <w:proofErr w:type="spellEnd"/>
      <w:r w:rsidR="00BA47C1">
        <w:rPr>
          <w:rFonts w:eastAsia="Times New Roman"/>
        </w:rPr>
        <w:t xml:space="preserve">, od strony północnej stadion żużlowy </w:t>
      </w:r>
      <w:proofErr w:type="spellStart"/>
      <w:r w:rsidR="00BA47C1">
        <w:rPr>
          <w:rFonts w:eastAsia="Times New Roman"/>
        </w:rPr>
        <w:t>Motoarena</w:t>
      </w:r>
      <w:proofErr w:type="spellEnd"/>
      <w:r w:rsidR="00BA47C1">
        <w:rPr>
          <w:rFonts w:eastAsia="Times New Roman"/>
        </w:rPr>
        <w:t>, od strony południowej pętla tramwajowa, zaś po drugiej stronie ulicy Szosa Bydgoska  - oczyszczalnia ścieków.</w:t>
      </w:r>
    </w:p>
    <w:p w14:paraId="62FA148F" w14:textId="77777777" w:rsidR="0098743B" w:rsidRDefault="0098743B" w:rsidP="0098743B">
      <w:pPr>
        <w:pStyle w:val="Tekstpodstawowy"/>
        <w:widowControl/>
        <w:tabs>
          <w:tab w:val="left" w:pos="435"/>
        </w:tabs>
        <w:spacing w:after="0"/>
        <w:ind w:left="11"/>
        <w:jc w:val="both"/>
        <w:rPr>
          <w:rFonts w:eastAsia="Times New Roman"/>
        </w:rPr>
      </w:pPr>
    </w:p>
    <w:p w14:paraId="2EF39F6C" w14:textId="77777777" w:rsidR="000875C3" w:rsidRDefault="003857D0" w:rsidP="00DB66F5">
      <w:pPr>
        <w:pStyle w:val="Tekstpodstawowy"/>
        <w:widowControl/>
        <w:tabs>
          <w:tab w:val="left" w:pos="435"/>
        </w:tabs>
        <w:spacing w:after="0"/>
        <w:jc w:val="both"/>
      </w:pPr>
      <w:r>
        <w:rPr>
          <w:rFonts w:eastAsia="Times New Roman"/>
        </w:rPr>
        <w:tab/>
      </w:r>
      <w:r w:rsidR="00490D91">
        <w:rPr>
          <w:rFonts w:eastAsia="Times New Roman"/>
        </w:rPr>
        <w:t xml:space="preserve">§3.1 Nieruchomości </w:t>
      </w:r>
      <w:r w:rsidR="00490D91">
        <w:t xml:space="preserve">położone są na obszarze objętym </w:t>
      </w:r>
      <w:proofErr w:type="spellStart"/>
      <w:r w:rsidR="00490D91">
        <w:t>m</w:t>
      </w:r>
      <w:r w:rsidR="001E5A87">
        <w:t>.</w:t>
      </w:r>
      <w:r w:rsidR="00490D91">
        <w:t>p</w:t>
      </w:r>
      <w:r w:rsidR="001E5A87">
        <w:t>.</w:t>
      </w:r>
      <w:r w:rsidR="00490D91">
        <w:t>z</w:t>
      </w:r>
      <w:r w:rsidR="001E5A87">
        <w:t>.</w:t>
      </w:r>
      <w:r w:rsidR="00490D91">
        <w:t>p</w:t>
      </w:r>
      <w:proofErr w:type="spellEnd"/>
      <w:r w:rsidR="001E5A87">
        <w:t>.</w:t>
      </w:r>
      <w:r w:rsidR="00490D91">
        <w:t xml:space="preserve"> dla terenów położonych pomiędzy ulicą Sz</w:t>
      </w:r>
      <w:r w:rsidR="001E5A87">
        <w:t>.</w:t>
      </w:r>
      <w:r w:rsidR="00BA47C1">
        <w:t xml:space="preserve"> </w:t>
      </w:r>
      <w:r w:rsidR="001E5A87">
        <w:t xml:space="preserve">Bydgoska </w:t>
      </w:r>
      <w:r w:rsidR="00490D91">
        <w:t>i ulicą Łukasiewicza w Toruniu, zatwierdzonym Uchwał</w:t>
      </w:r>
      <w:r w:rsidR="001E5A87">
        <w:t xml:space="preserve">ą Nr 726/17 RMT </w:t>
      </w:r>
      <w:r w:rsidR="00490D91">
        <w:t>z dnia 23 listopada 2017r., oznaczonym jako jednostki planistyczne:</w:t>
      </w:r>
      <w:r w:rsidR="000875C3">
        <w:t xml:space="preserve"> </w:t>
      </w:r>
      <w:r w:rsidR="00490D91">
        <w:t xml:space="preserve">100.01-U03, dla której ustalono przeznaczenie podstawowe: </w:t>
      </w:r>
      <w:r w:rsidR="00490D91">
        <w:rPr>
          <w:i/>
        </w:rPr>
        <w:t xml:space="preserve">„teren zabudowy usługowej” </w:t>
      </w:r>
      <w:r w:rsidR="00821A44">
        <w:t xml:space="preserve">oraz </w:t>
      </w:r>
      <w:r w:rsidR="00490D91">
        <w:t xml:space="preserve">dopuszczalne </w:t>
      </w:r>
      <w:r w:rsidR="00490D91">
        <w:rPr>
          <w:i/>
        </w:rPr>
        <w:t>„obiekty usługowo-produkcyjne, parkingi, drogi wewnętrzne, obiekty</w:t>
      </w:r>
      <w:r w:rsidR="00821A44">
        <w:rPr>
          <w:i/>
        </w:rPr>
        <w:br/>
      </w:r>
      <w:r w:rsidR="00490D91">
        <w:rPr>
          <w:i/>
        </w:rPr>
        <w:t>i urządzenia infrastruktury technicznej</w:t>
      </w:r>
      <w:r w:rsidR="00490D91">
        <w:t>”</w:t>
      </w:r>
      <w:r w:rsidR="001E5A87">
        <w:t xml:space="preserve"> </w:t>
      </w:r>
    </w:p>
    <w:p w14:paraId="5337B42C" w14:textId="77777777" w:rsidR="00DB66F5" w:rsidRDefault="00DB66F5" w:rsidP="005F4D8C">
      <w:pPr>
        <w:pStyle w:val="Tekstpodstawowy"/>
        <w:autoSpaceDN/>
        <w:spacing w:after="0"/>
        <w:ind w:firstLine="708"/>
        <w:jc w:val="both"/>
      </w:pPr>
      <w:r>
        <w:t>2</w:t>
      </w:r>
      <w:r w:rsidR="00490D91">
        <w:t>. Droga dojazdowa do nieruchomości jest nieurząd</w:t>
      </w:r>
      <w:r w:rsidR="000875C3">
        <w:t>zona. Dojazd odbywać się będzie</w:t>
      </w:r>
      <w:r w:rsidR="0008161A">
        <w:br/>
      </w:r>
      <w:r w:rsidR="00490D91">
        <w:t>z przyległych dróg publicznych i poprzez drogi wewnętrzne tj.: od strony ul. Szosa Bydgoska drogą wewnętrzną zaprojektowaną w obszarze KDW3, do której</w:t>
      </w:r>
      <w:r>
        <w:t xml:space="preserve"> dojazd należy zaprojektować </w:t>
      </w:r>
      <w:r w:rsidR="00490D91">
        <w:t>z drogi KD(D)2, na warunkach ustalonych z zarządcą drogi</w:t>
      </w:r>
      <w:r>
        <w:t xml:space="preserve">. </w:t>
      </w:r>
    </w:p>
    <w:p w14:paraId="1B07CFD5" w14:textId="77777777" w:rsidR="0021656B" w:rsidRDefault="00490D91" w:rsidP="00DB66F5">
      <w:pPr>
        <w:pStyle w:val="Tekstpodstawowy"/>
        <w:autoSpaceDN/>
        <w:spacing w:after="0"/>
        <w:jc w:val="both"/>
        <w:rPr>
          <w:lang w:eastAsia="en-US"/>
        </w:rPr>
      </w:pPr>
      <w:r>
        <w:t>W umow</w:t>
      </w:r>
      <w:r w:rsidR="000875C3">
        <w:t>ie</w:t>
      </w:r>
      <w:r>
        <w:t xml:space="preserve"> sprzedaży zostan</w:t>
      </w:r>
      <w:r w:rsidR="000875C3">
        <w:t>ie</w:t>
      </w:r>
      <w:r>
        <w:t xml:space="preserve"> ustanowion</w:t>
      </w:r>
      <w:r w:rsidR="000875C3">
        <w:t>a</w:t>
      </w:r>
      <w:r>
        <w:t xml:space="preserve"> odpłatn</w:t>
      </w:r>
      <w:r w:rsidR="000875C3">
        <w:t>a</w:t>
      </w:r>
      <w:r w:rsidR="003C28C0">
        <w:t xml:space="preserve"> służebność</w:t>
      </w:r>
      <w:r w:rsidR="001A035D">
        <w:t xml:space="preserve"> gruntowa</w:t>
      </w:r>
      <w:r>
        <w:t xml:space="preserve"> (</w:t>
      </w:r>
      <w:r w:rsidR="000875C3">
        <w:t xml:space="preserve">jednorazowe wynagrodzenie za ustanowienie służebności gruntowej wynosi </w:t>
      </w:r>
      <w:r w:rsidR="00700044">
        <w:t xml:space="preserve">56.257,74 </w:t>
      </w:r>
      <w:r w:rsidR="000875C3">
        <w:t>z</w:t>
      </w:r>
      <w:r w:rsidR="00700044">
        <w:t>ł z</w:t>
      </w:r>
      <w:r w:rsidR="000875C3">
        <w:t xml:space="preserve"> VAT w wysokości 23 %</w:t>
      </w:r>
      <w:r w:rsidR="008E1FF7">
        <w:t>)</w:t>
      </w:r>
      <w:r>
        <w:t xml:space="preserve"> polegając</w:t>
      </w:r>
      <w:r w:rsidR="003C28C0">
        <w:t>a</w:t>
      </w:r>
      <w:r>
        <w:t xml:space="preserve"> na prawie przejazdu i przechodu po terenie działki  geod. nr 101/6 z obrębu nr 23, KW TO1T/00068204/4 – pas terenu o szerokości 7m biegnący wzdłuż północnej granicy działki nr 101/6,</w:t>
      </w:r>
      <w:r w:rsidR="00254030" w:rsidRPr="00254030">
        <w:t xml:space="preserve"> </w:t>
      </w:r>
      <w:r w:rsidR="00254030">
        <w:t>o powierzchni 791 m</w:t>
      </w:r>
      <w:r w:rsidR="00254030" w:rsidRPr="00700044">
        <w:rPr>
          <w:vertAlign w:val="superscript"/>
        </w:rPr>
        <w:t>2</w:t>
      </w:r>
      <w:r>
        <w:t xml:space="preserve"> stanowiącej własność Gminy Miasta Toruń na rzecz każdoczesn</w:t>
      </w:r>
      <w:r w:rsidR="003C28C0">
        <w:t>ego</w:t>
      </w:r>
      <w:r>
        <w:t xml:space="preserve"> właścicieli</w:t>
      </w:r>
      <w:r w:rsidR="008E1FF7">
        <w:t xml:space="preserve"> nieruchomości, położonych przy ul. Szosa Bydgoska 76-80</w:t>
      </w:r>
      <w:r w:rsidR="00254030">
        <w:t xml:space="preserve">, oznaczonych geod. jako działki nr: </w:t>
      </w:r>
      <w:r w:rsidR="00254030" w:rsidRPr="00681273">
        <w:rPr>
          <w:lang w:eastAsia="en-US"/>
        </w:rPr>
        <w:t>35/16 (Bp), 44/3 (</w:t>
      </w:r>
      <w:proofErr w:type="spellStart"/>
      <w:r w:rsidR="00254030" w:rsidRPr="00681273">
        <w:rPr>
          <w:lang w:eastAsia="en-US"/>
        </w:rPr>
        <w:t>Lz</w:t>
      </w:r>
      <w:proofErr w:type="spellEnd"/>
      <w:r w:rsidR="00254030" w:rsidRPr="00681273">
        <w:rPr>
          <w:lang w:eastAsia="en-US"/>
        </w:rPr>
        <w:t>), 45/1 (Bp),91/4 (RVI),  102/4 (Bp), obręb 23</w:t>
      </w:r>
      <w:r w:rsidR="0021656B">
        <w:rPr>
          <w:lang w:eastAsia="en-US"/>
        </w:rPr>
        <w:t xml:space="preserve"> – zgodnie z Zarządzeniem Nr 234 Prezydenta Miasta Torunia z dnia 6 lipca 2022r. w sprawie obciążenia służebnością gruntową nieruchomości położonej w Toruniu przy ul. Szosa Bydgoska, stanowiącej własność Gminy Miasta Toruń.</w:t>
      </w:r>
    </w:p>
    <w:p w14:paraId="15BCDBAC" w14:textId="77777777" w:rsidR="00490D91" w:rsidRDefault="00FD7C4C" w:rsidP="00DB66F5">
      <w:pPr>
        <w:pStyle w:val="Tekstpodstawowy"/>
        <w:autoSpaceDN/>
        <w:spacing w:after="0"/>
        <w:jc w:val="both"/>
      </w:pPr>
      <w:r>
        <w:t>Właściciel nieruchomości władnącej winien partycypować</w:t>
      </w:r>
      <w:r w:rsidR="00DB66F5">
        <w:t xml:space="preserve"> </w:t>
      </w:r>
      <w:r>
        <w:t>w k</w:t>
      </w:r>
      <w:r w:rsidR="00681273">
        <w:t>o</w:t>
      </w:r>
      <w:r>
        <w:t>sztach urządzenia i utrzymania drogi</w:t>
      </w:r>
      <w:r w:rsidR="00681273">
        <w:t xml:space="preserve"> dojazdowej na działce nr 101/6</w:t>
      </w:r>
      <w:r>
        <w:t xml:space="preserve"> z właścicielem nieruchomości przy ul. Szosa Bydgoska 70-74, i 78A</w:t>
      </w:r>
      <w:r w:rsidR="00681273">
        <w:t xml:space="preserve"> (dz. geod. nr dz. nr </w:t>
      </w:r>
      <w:r w:rsidR="00681273" w:rsidRPr="000E2C4E">
        <w:t>51/5, 51/6, 87/2, 91/5, 91/6, 91/7, 45/2, 102/5, 102/6, 103/5, 103/6, 44/4, 44/5, 35/17, 35/18</w:t>
      </w:r>
      <w:r w:rsidR="00681273">
        <w:t xml:space="preserve"> o łącznej pow</w:t>
      </w:r>
      <w:r w:rsidR="00681273" w:rsidRPr="000E2C4E">
        <w:t>.</w:t>
      </w:r>
      <w:r w:rsidR="00681273">
        <w:t xml:space="preserve"> 1,1611 ha</w:t>
      </w:r>
      <w:r w:rsidR="005F4D8C">
        <w:t>)</w:t>
      </w:r>
      <w:r w:rsidR="00681273">
        <w:t>.</w:t>
      </w:r>
    </w:p>
    <w:p w14:paraId="09441F4B" w14:textId="77777777" w:rsidR="00490D91" w:rsidRDefault="00DB66F5" w:rsidP="003857D0">
      <w:pPr>
        <w:pStyle w:val="Tekstpodstawowy"/>
        <w:spacing w:after="0"/>
        <w:ind w:firstLine="708"/>
        <w:jc w:val="both"/>
      </w:pPr>
      <w:r>
        <w:t>3</w:t>
      </w:r>
      <w:r w:rsidR="00490D91">
        <w:t xml:space="preserve">. </w:t>
      </w:r>
      <w:r w:rsidR="00254030">
        <w:t>Zbywane</w:t>
      </w:r>
      <w:r w:rsidR="00490D91">
        <w:t xml:space="preserve"> grunty położone są w otoczeniu lotniska i z tego powodu  dla ww. obszaru obowiązują między innymi ograniczenia</w:t>
      </w:r>
      <w:r w:rsidR="00254030">
        <w:t xml:space="preserve"> wysokości obiektów budowlanych </w:t>
      </w:r>
      <w:r w:rsidR="00490D91">
        <w:t>i naturalnych, w tym umieszczonych na nich urządzeń (np. maszty, anteny) określone</w:t>
      </w:r>
      <w:r w:rsidR="00254030">
        <w:t xml:space="preserve"> </w:t>
      </w:r>
      <w:r w:rsidR="00490D91">
        <w:t>w dokumentacji rejestracyjnej lotniska Toruń i przepisach odrębnych.</w:t>
      </w:r>
    </w:p>
    <w:p w14:paraId="15713081" w14:textId="77777777" w:rsidR="0098743B" w:rsidRDefault="0098743B" w:rsidP="003857D0">
      <w:pPr>
        <w:pStyle w:val="Tekstpodstawowy"/>
        <w:spacing w:after="0"/>
        <w:ind w:firstLine="708"/>
        <w:jc w:val="both"/>
      </w:pPr>
    </w:p>
    <w:p w14:paraId="325E7771" w14:textId="77777777" w:rsidR="000B2E9F" w:rsidRDefault="00490D91" w:rsidP="00DB66F5">
      <w:pPr>
        <w:pStyle w:val="Tekstpodstawowy"/>
        <w:spacing w:after="0"/>
        <w:ind w:firstLine="708"/>
        <w:jc w:val="both"/>
      </w:pPr>
      <w:r>
        <w:rPr>
          <w:rFonts w:eastAsia="Times New Roman"/>
        </w:rPr>
        <w:t xml:space="preserve">§4.1. </w:t>
      </w:r>
      <w:r>
        <w:rPr>
          <w:rFonts w:eastAsia="Times New Roman"/>
          <w:lang w:bidi="pl-PL"/>
        </w:rPr>
        <w:t>Zbywan</w:t>
      </w:r>
      <w:r w:rsidR="00B52336">
        <w:rPr>
          <w:rFonts w:eastAsia="Times New Roman"/>
          <w:lang w:bidi="pl-PL"/>
        </w:rPr>
        <w:t>y grunt jest</w:t>
      </w:r>
      <w:r>
        <w:rPr>
          <w:rFonts w:eastAsia="Times New Roman"/>
        </w:rPr>
        <w:t xml:space="preserve"> niezabudowan</w:t>
      </w:r>
      <w:r w:rsidR="00B52336">
        <w:rPr>
          <w:rFonts w:eastAsia="Times New Roman"/>
        </w:rPr>
        <w:t>y</w:t>
      </w:r>
      <w:r>
        <w:rPr>
          <w:rFonts w:eastAsia="Times New Roman"/>
        </w:rPr>
        <w:t>, niezagospodarowan</w:t>
      </w:r>
      <w:r w:rsidR="00B52336">
        <w:rPr>
          <w:rFonts w:eastAsia="Times New Roman"/>
        </w:rPr>
        <w:t>y</w:t>
      </w:r>
      <w:r>
        <w:rPr>
          <w:rFonts w:eastAsia="Times New Roman"/>
        </w:rPr>
        <w:t>, porośnięt</w:t>
      </w:r>
      <w:r w:rsidR="00B52336">
        <w:rPr>
          <w:rFonts w:eastAsia="Times New Roman"/>
        </w:rPr>
        <w:t>y drzewami</w:t>
      </w:r>
      <w:r w:rsidR="00DB66F5">
        <w:rPr>
          <w:rFonts w:eastAsia="Times New Roman"/>
        </w:rPr>
        <w:br/>
      </w:r>
      <w:r>
        <w:rPr>
          <w:rFonts w:eastAsia="Times New Roman"/>
        </w:rPr>
        <w:t>i krzewami, częściowo ogrodzon</w:t>
      </w:r>
      <w:r w:rsidR="00B52336">
        <w:rPr>
          <w:rFonts w:eastAsia="Times New Roman"/>
        </w:rPr>
        <w:t>y</w:t>
      </w:r>
      <w:r>
        <w:rPr>
          <w:rFonts w:eastAsia="Times New Roman"/>
        </w:rPr>
        <w:t>.</w:t>
      </w:r>
      <w:r>
        <w:t xml:space="preserve"> Na terenie działek </w:t>
      </w:r>
      <w:r w:rsidR="00B52336">
        <w:t>z</w:t>
      </w:r>
      <w:r>
        <w:t xml:space="preserve">najdują się </w:t>
      </w:r>
      <w:r w:rsidR="000B2E9F">
        <w:t xml:space="preserve">m.in. nieczynne </w:t>
      </w:r>
      <w:r>
        <w:t>słupy oświetleniowe</w:t>
      </w:r>
      <w:r w:rsidR="00B52336">
        <w:t>,</w:t>
      </w:r>
      <w:r>
        <w:t xml:space="preserve"> </w:t>
      </w:r>
      <w:r w:rsidR="000B2E9F">
        <w:t xml:space="preserve">pozostałości po rozebranej bocznicy kolejowej, </w:t>
      </w:r>
      <w:r>
        <w:t>mogą też znajdować się po</w:t>
      </w:r>
      <w:r w:rsidR="00B52336">
        <w:t xml:space="preserve">zostałości obiektów budowalnych </w:t>
      </w:r>
      <w:r>
        <w:t>i infrastruktury podziemnej</w:t>
      </w:r>
      <w:r w:rsidR="000B2E9F">
        <w:t xml:space="preserve"> tj.:</w:t>
      </w:r>
      <w:r>
        <w:t xml:space="preserve"> sie</w:t>
      </w:r>
      <w:r w:rsidR="00B52336">
        <w:t xml:space="preserve">ci: ciepłownicza, kanalizacyjna </w:t>
      </w:r>
      <w:r>
        <w:t xml:space="preserve">i energetyczna oraz przyłącze energetyczne służące dawniej zasilaniu słupów </w:t>
      </w:r>
      <w:r>
        <w:lastRenderedPageBreak/>
        <w:t>oświetleniowych.</w:t>
      </w:r>
      <w:r w:rsidR="000B2E9F">
        <w:t xml:space="preserve"> </w:t>
      </w:r>
      <w:r>
        <w:t xml:space="preserve">Sieci kabla  elektroenergetycznego oraz odcinek oświetlenia energetycznego, przebiegające po gruntach nie są własnością ENERGA-OPERATOR S.A. Oddział w Toruniu. PGE Toruń SA </w:t>
      </w:r>
      <w:r w:rsidR="000B2E9F">
        <w:t xml:space="preserve">również </w:t>
      </w:r>
      <w:r>
        <w:t xml:space="preserve">nie posiada na terenie </w:t>
      </w:r>
      <w:r w:rsidR="00C51449">
        <w:t>kompleksu</w:t>
      </w:r>
      <w:r>
        <w:t xml:space="preserve"> swojej infrastruktury technicznej. </w:t>
      </w:r>
    </w:p>
    <w:p w14:paraId="6D18F4D4" w14:textId="77777777" w:rsidR="00490D91" w:rsidRDefault="00490D91" w:rsidP="000B2E9F">
      <w:pPr>
        <w:pStyle w:val="Tekstpodstawowy"/>
        <w:spacing w:after="0"/>
        <w:jc w:val="both"/>
      </w:pPr>
      <w:r>
        <w:t xml:space="preserve">Uzbrojenie: w przebiegu ulicy Szosa Bydgoska i Pera </w:t>
      </w:r>
      <w:proofErr w:type="spellStart"/>
      <w:r>
        <w:t>Jonssona</w:t>
      </w:r>
      <w:proofErr w:type="spellEnd"/>
      <w:r>
        <w:t xml:space="preserve">: sieć energetyczna, wodociągowa, kanalizacji deszczowej i sanitarnej, sieć gazowa. </w:t>
      </w:r>
    </w:p>
    <w:p w14:paraId="71754D7E" w14:textId="77777777" w:rsidR="00490D91" w:rsidRDefault="00490D91" w:rsidP="00490D91">
      <w:pPr>
        <w:pStyle w:val="Tekstpodstawowy"/>
        <w:spacing w:after="0"/>
        <w:jc w:val="both"/>
      </w:pPr>
      <w:r>
        <w:t xml:space="preserve">Spółka Toruńskie Wodociągi Sp. z o.o. </w:t>
      </w:r>
      <w:r w:rsidR="00CD3A0A">
        <w:t>wybudowała</w:t>
      </w:r>
      <w:r w:rsidR="000B2E9F">
        <w:t xml:space="preserve"> </w:t>
      </w:r>
      <w:r w:rsidR="00CD3A0A">
        <w:t>sieci:</w:t>
      </w:r>
      <w:r>
        <w:t xml:space="preserve"> wodociągow</w:t>
      </w:r>
      <w:r w:rsidR="00CD3A0A">
        <w:t>ą</w:t>
      </w:r>
      <w:r>
        <w:t xml:space="preserve"> i kanalizacji sanitarnej umożliwiając</w:t>
      </w:r>
      <w:r w:rsidR="00CD3A0A">
        <w:t>e</w:t>
      </w:r>
      <w:r>
        <w:t xml:space="preserve"> zaopatrzenie w wodę i odbiór ścieków sanitarnych z</w:t>
      </w:r>
      <w:r w:rsidR="00CD3A0A">
        <w:t>e zbywanych</w:t>
      </w:r>
      <w:r>
        <w:t xml:space="preserve"> nieruchomości</w:t>
      </w:r>
      <w:r w:rsidR="00CD3A0A">
        <w:t>.</w:t>
      </w:r>
      <w:r>
        <w:t xml:space="preserve"> </w:t>
      </w:r>
    </w:p>
    <w:p w14:paraId="3C2ACAF1" w14:textId="77777777" w:rsidR="00490D91" w:rsidRDefault="00254030" w:rsidP="00490D91">
      <w:pPr>
        <w:ind w:firstLine="578"/>
        <w:jc w:val="both"/>
      </w:pPr>
      <w:r>
        <w:rPr>
          <w:color w:val="000000"/>
        </w:rPr>
        <w:t>3</w:t>
      </w:r>
      <w:r w:rsidR="00490D91">
        <w:rPr>
          <w:color w:val="000000"/>
        </w:rPr>
        <w:t>.</w:t>
      </w:r>
      <w:r w:rsidR="00490D91">
        <w:t xml:space="preserve"> Przed przystąpieniem do przetargu jego uczestnik winien we własnym zakresie ustalić możliwość realizacji na nieruchomości planowanego przedsięwzięcia oraz jego zgodność</w:t>
      </w:r>
      <w:r w:rsidR="00490D91">
        <w:br/>
        <w:t>z przepisami odrębnymi.</w:t>
      </w:r>
    </w:p>
    <w:p w14:paraId="50B8563E" w14:textId="77777777" w:rsidR="00254030" w:rsidRDefault="00254030" w:rsidP="00490D91">
      <w:pPr>
        <w:pStyle w:val="Tekstpodstawowy"/>
        <w:widowControl/>
        <w:tabs>
          <w:tab w:val="left" w:pos="435"/>
        </w:tabs>
        <w:spacing w:after="0" w:line="276" w:lineRule="auto"/>
        <w:ind w:left="11" w:firstLine="567"/>
        <w:jc w:val="both"/>
      </w:pPr>
    </w:p>
    <w:p w14:paraId="4AD1686E" w14:textId="77777777" w:rsidR="00490D91" w:rsidRDefault="00490D91" w:rsidP="00490D91">
      <w:pPr>
        <w:pStyle w:val="Tekstpodstawowy"/>
        <w:tabs>
          <w:tab w:val="left" w:pos="424"/>
        </w:tabs>
        <w:spacing w:after="0" w:line="360" w:lineRule="auto"/>
        <w:ind w:firstLine="567"/>
        <w:rPr>
          <w:rFonts w:eastAsia="Times New Roman"/>
        </w:rPr>
      </w:pPr>
      <w:r>
        <w:rPr>
          <w:rFonts w:eastAsia="Times New Roman"/>
        </w:rPr>
        <w:t>§5.1.Ustala się następujące warunki przetarg</w:t>
      </w:r>
      <w:r w:rsidR="00DB66F5">
        <w:rPr>
          <w:rFonts w:eastAsia="Times New Roman"/>
        </w:rPr>
        <w:t>u</w:t>
      </w:r>
      <w:r>
        <w:rPr>
          <w:rFonts w:eastAsia="Times New Roman"/>
        </w:rPr>
        <w:t>:</w:t>
      </w:r>
    </w:p>
    <w:tbl>
      <w:tblPr>
        <w:tblpPr w:leftFromText="141" w:rightFromText="141" w:vertAnchor="text" w:horzAnchor="margin" w:tblpXSpec="center" w:tblpY="74"/>
        <w:tblW w:w="9210" w:type="dxa"/>
        <w:tblLayout w:type="fixed"/>
        <w:tblCellMar>
          <w:left w:w="70" w:type="dxa"/>
          <w:right w:w="70" w:type="dxa"/>
        </w:tblCellMar>
        <w:tblLook w:val="04A0" w:firstRow="1" w:lastRow="0" w:firstColumn="1" w:lastColumn="0" w:noHBand="0" w:noVBand="1"/>
      </w:tblPr>
      <w:tblGrid>
        <w:gridCol w:w="2337"/>
        <w:gridCol w:w="1418"/>
        <w:gridCol w:w="990"/>
        <w:gridCol w:w="2835"/>
        <w:gridCol w:w="1630"/>
      </w:tblGrid>
      <w:tr w:rsidR="00DB66F5" w14:paraId="4212FFD7" w14:textId="77777777" w:rsidTr="00DB66F5">
        <w:trPr>
          <w:trHeight w:val="423"/>
        </w:trPr>
        <w:tc>
          <w:tcPr>
            <w:tcW w:w="2337" w:type="dxa"/>
            <w:tcBorders>
              <w:top w:val="single" w:sz="4" w:space="0" w:color="000000"/>
              <w:left w:val="single" w:sz="4" w:space="0" w:color="000000"/>
              <w:bottom w:val="single" w:sz="4" w:space="0" w:color="000000"/>
              <w:right w:val="nil"/>
            </w:tcBorders>
          </w:tcPr>
          <w:p w14:paraId="5EA030FB" w14:textId="77777777" w:rsidR="00DB66F5" w:rsidRDefault="00DB66F5" w:rsidP="00254030">
            <w:pPr>
              <w:pStyle w:val="WW-Zawartotabeli11"/>
              <w:snapToGrid w:val="0"/>
              <w:spacing w:before="120" w:line="200" w:lineRule="atLeast"/>
              <w:rPr>
                <w:sz w:val="22"/>
                <w:szCs w:val="22"/>
                <w:lang w:eastAsia="en-US"/>
              </w:rPr>
            </w:pPr>
            <w:r>
              <w:rPr>
                <w:sz w:val="22"/>
                <w:szCs w:val="22"/>
                <w:lang w:eastAsia="en-US"/>
              </w:rPr>
              <w:t>Położenie</w:t>
            </w:r>
          </w:p>
        </w:tc>
        <w:tc>
          <w:tcPr>
            <w:tcW w:w="1418" w:type="dxa"/>
            <w:tcBorders>
              <w:top w:val="single" w:sz="4" w:space="0" w:color="000000"/>
              <w:left w:val="single" w:sz="4" w:space="0" w:color="000000"/>
              <w:bottom w:val="single" w:sz="4" w:space="0" w:color="000000"/>
              <w:right w:val="nil"/>
            </w:tcBorders>
            <w:hideMark/>
          </w:tcPr>
          <w:p w14:paraId="4283F20A" w14:textId="77777777" w:rsidR="00DB66F5" w:rsidRDefault="00DB66F5">
            <w:pPr>
              <w:pStyle w:val="WW-Zawartotabeli11"/>
              <w:snapToGrid w:val="0"/>
              <w:spacing w:before="120" w:line="200" w:lineRule="atLeast"/>
              <w:rPr>
                <w:sz w:val="22"/>
                <w:szCs w:val="22"/>
                <w:lang w:eastAsia="en-US"/>
              </w:rPr>
            </w:pPr>
            <w:r>
              <w:rPr>
                <w:sz w:val="22"/>
                <w:szCs w:val="22"/>
                <w:lang w:eastAsia="en-US"/>
              </w:rPr>
              <w:t>Nr działki</w:t>
            </w:r>
          </w:p>
        </w:tc>
        <w:tc>
          <w:tcPr>
            <w:tcW w:w="990" w:type="dxa"/>
            <w:tcBorders>
              <w:top w:val="single" w:sz="4" w:space="0" w:color="000000"/>
              <w:left w:val="single" w:sz="4" w:space="0" w:color="000000"/>
              <w:bottom w:val="single" w:sz="4" w:space="0" w:color="000000"/>
              <w:right w:val="single" w:sz="4" w:space="0" w:color="000000"/>
            </w:tcBorders>
            <w:hideMark/>
          </w:tcPr>
          <w:p w14:paraId="5AE92FD7" w14:textId="77777777" w:rsidR="00DB66F5" w:rsidRDefault="00DB66F5">
            <w:pPr>
              <w:pStyle w:val="WW-Zawartotabeli11"/>
              <w:snapToGrid w:val="0"/>
              <w:spacing w:before="120" w:line="200" w:lineRule="atLeast"/>
              <w:rPr>
                <w:sz w:val="22"/>
                <w:szCs w:val="22"/>
                <w:lang w:eastAsia="en-US"/>
              </w:rPr>
            </w:pPr>
            <w:r>
              <w:rPr>
                <w:sz w:val="22"/>
                <w:szCs w:val="22"/>
                <w:lang w:eastAsia="en-US"/>
              </w:rPr>
              <w:t>Pow. ha</w:t>
            </w:r>
          </w:p>
        </w:tc>
        <w:tc>
          <w:tcPr>
            <w:tcW w:w="2835" w:type="dxa"/>
            <w:tcBorders>
              <w:top w:val="single" w:sz="4" w:space="0" w:color="000000"/>
              <w:left w:val="single" w:sz="4" w:space="0" w:color="000000"/>
              <w:bottom w:val="single" w:sz="4" w:space="0" w:color="000000"/>
              <w:right w:val="single" w:sz="4" w:space="0" w:color="000000"/>
            </w:tcBorders>
            <w:hideMark/>
          </w:tcPr>
          <w:p w14:paraId="3EDD2C83" w14:textId="77777777" w:rsidR="00DB66F5" w:rsidRPr="00254030" w:rsidRDefault="00DB66F5" w:rsidP="00254030">
            <w:pPr>
              <w:pStyle w:val="Tekstpodstawowy31"/>
              <w:snapToGrid w:val="0"/>
              <w:spacing w:before="120"/>
              <w:jc w:val="center"/>
              <w:rPr>
                <w:sz w:val="22"/>
                <w:szCs w:val="22"/>
                <w:lang w:eastAsia="en-US"/>
              </w:rPr>
            </w:pPr>
            <w:r>
              <w:rPr>
                <w:sz w:val="22"/>
                <w:szCs w:val="22"/>
                <w:lang w:eastAsia="en-US"/>
              </w:rPr>
              <w:t>Cena wywoławcza z VAT (zł)</w:t>
            </w:r>
          </w:p>
        </w:tc>
        <w:tc>
          <w:tcPr>
            <w:tcW w:w="1630" w:type="dxa"/>
            <w:tcBorders>
              <w:top w:val="single" w:sz="4" w:space="0" w:color="000000"/>
              <w:left w:val="single" w:sz="4" w:space="0" w:color="000000"/>
              <w:bottom w:val="single" w:sz="4" w:space="0" w:color="000000"/>
              <w:right w:val="single" w:sz="4" w:space="0" w:color="000000"/>
            </w:tcBorders>
            <w:hideMark/>
          </w:tcPr>
          <w:p w14:paraId="46017C86" w14:textId="77777777" w:rsidR="00DB66F5" w:rsidRDefault="00DB66F5">
            <w:pPr>
              <w:pStyle w:val="Tekstpodstawowy31"/>
              <w:snapToGrid w:val="0"/>
              <w:spacing w:before="120"/>
              <w:jc w:val="center"/>
              <w:rPr>
                <w:sz w:val="22"/>
                <w:szCs w:val="22"/>
                <w:lang w:eastAsia="en-US"/>
              </w:rPr>
            </w:pPr>
            <w:r>
              <w:rPr>
                <w:sz w:val="22"/>
                <w:szCs w:val="22"/>
                <w:lang w:eastAsia="en-US"/>
              </w:rPr>
              <w:t>Wadium (zł)</w:t>
            </w:r>
          </w:p>
        </w:tc>
      </w:tr>
      <w:tr w:rsidR="00DB66F5" w14:paraId="01A6BADC" w14:textId="77777777" w:rsidTr="00DB66F5">
        <w:trPr>
          <w:trHeight w:val="325"/>
        </w:trPr>
        <w:tc>
          <w:tcPr>
            <w:tcW w:w="2337" w:type="dxa"/>
            <w:tcBorders>
              <w:top w:val="single" w:sz="4" w:space="0" w:color="auto"/>
              <w:left w:val="single" w:sz="4" w:space="0" w:color="auto"/>
              <w:bottom w:val="single" w:sz="4" w:space="0" w:color="auto"/>
              <w:right w:val="single" w:sz="4" w:space="0" w:color="auto"/>
            </w:tcBorders>
            <w:hideMark/>
          </w:tcPr>
          <w:p w14:paraId="6DEDA8CE" w14:textId="77777777" w:rsidR="00DB66F5" w:rsidRDefault="00DB66F5" w:rsidP="001A035D">
            <w:pPr>
              <w:suppressAutoHyphens w:val="0"/>
              <w:spacing w:before="120"/>
              <w:rPr>
                <w:sz w:val="22"/>
                <w:szCs w:val="22"/>
                <w:lang w:eastAsia="en-US"/>
              </w:rPr>
            </w:pPr>
            <w:r>
              <w:rPr>
                <w:sz w:val="22"/>
                <w:szCs w:val="22"/>
                <w:lang w:eastAsia="en-US"/>
              </w:rPr>
              <w:t xml:space="preserve">ul. Szosa Bydgoska 76-80 </w:t>
            </w:r>
          </w:p>
          <w:p w14:paraId="5171CE89" w14:textId="77777777" w:rsidR="00DB66F5" w:rsidRPr="00211A88" w:rsidRDefault="00DB66F5" w:rsidP="001A035D">
            <w:pPr>
              <w:suppressAutoHyphens w:val="0"/>
              <w:spacing w:before="120"/>
              <w:rPr>
                <w:b/>
                <w:sz w:val="22"/>
                <w:szCs w:val="22"/>
                <w:lang w:eastAsia="en-US"/>
              </w:rPr>
            </w:pPr>
          </w:p>
        </w:tc>
        <w:tc>
          <w:tcPr>
            <w:tcW w:w="1418" w:type="dxa"/>
            <w:tcBorders>
              <w:top w:val="single" w:sz="4" w:space="0" w:color="auto"/>
              <w:left w:val="single" w:sz="4" w:space="0" w:color="auto"/>
              <w:bottom w:val="single" w:sz="4" w:space="0" w:color="auto"/>
              <w:right w:val="single" w:sz="4" w:space="0" w:color="auto"/>
            </w:tcBorders>
            <w:hideMark/>
          </w:tcPr>
          <w:p w14:paraId="160D4699" w14:textId="77777777" w:rsidR="00DB66F5" w:rsidRDefault="00DB66F5">
            <w:pPr>
              <w:spacing w:before="120"/>
              <w:jc w:val="center"/>
              <w:rPr>
                <w:sz w:val="22"/>
                <w:szCs w:val="22"/>
                <w:lang w:eastAsia="en-US"/>
              </w:rPr>
            </w:pPr>
            <w:r>
              <w:rPr>
                <w:sz w:val="22"/>
                <w:szCs w:val="22"/>
                <w:lang w:eastAsia="en-US"/>
              </w:rPr>
              <w:t>35/16 , 44/3 , 45/1, 91/4 , 102/4</w:t>
            </w:r>
          </w:p>
        </w:tc>
        <w:tc>
          <w:tcPr>
            <w:tcW w:w="990" w:type="dxa"/>
            <w:tcBorders>
              <w:top w:val="single" w:sz="4" w:space="0" w:color="auto"/>
              <w:left w:val="single" w:sz="4" w:space="0" w:color="auto"/>
              <w:bottom w:val="single" w:sz="4" w:space="0" w:color="auto"/>
              <w:right w:val="single" w:sz="4" w:space="0" w:color="auto"/>
            </w:tcBorders>
            <w:hideMark/>
          </w:tcPr>
          <w:p w14:paraId="165A137B" w14:textId="77777777" w:rsidR="00DB66F5" w:rsidRDefault="00DB66F5">
            <w:pPr>
              <w:pStyle w:val="Zawartotabeli"/>
              <w:spacing w:before="120"/>
              <w:jc w:val="right"/>
              <w:rPr>
                <w:sz w:val="22"/>
                <w:szCs w:val="22"/>
                <w:lang w:eastAsia="en-US"/>
              </w:rPr>
            </w:pPr>
            <w:r>
              <w:rPr>
                <w:sz w:val="22"/>
                <w:szCs w:val="22"/>
                <w:lang w:eastAsia="en-US"/>
              </w:rPr>
              <w:t>0,6268</w:t>
            </w:r>
          </w:p>
        </w:tc>
        <w:tc>
          <w:tcPr>
            <w:tcW w:w="2835" w:type="dxa"/>
            <w:tcBorders>
              <w:top w:val="single" w:sz="4" w:space="0" w:color="auto"/>
              <w:left w:val="single" w:sz="4" w:space="0" w:color="auto"/>
              <w:bottom w:val="single" w:sz="4" w:space="0" w:color="auto"/>
              <w:right w:val="single" w:sz="4" w:space="0" w:color="auto"/>
            </w:tcBorders>
            <w:hideMark/>
          </w:tcPr>
          <w:p w14:paraId="18AA1C7E" w14:textId="77777777" w:rsidR="00DB66F5" w:rsidRDefault="00AF1714" w:rsidP="00FD3381">
            <w:pPr>
              <w:spacing w:before="120"/>
              <w:jc w:val="center"/>
              <w:rPr>
                <w:sz w:val="22"/>
                <w:szCs w:val="22"/>
                <w:lang w:eastAsia="en-US"/>
              </w:rPr>
            </w:pPr>
            <w:r>
              <w:rPr>
                <w:sz w:val="22"/>
                <w:szCs w:val="22"/>
                <w:lang w:eastAsia="en-US"/>
              </w:rPr>
              <w:t>2</w:t>
            </w:r>
            <w:r w:rsidR="00DB66F5">
              <w:rPr>
                <w:sz w:val="22"/>
                <w:szCs w:val="22"/>
                <w:lang w:eastAsia="en-US"/>
              </w:rPr>
              <w:t>.</w:t>
            </w:r>
            <w:r w:rsidR="00FD3381">
              <w:rPr>
                <w:sz w:val="22"/>
                <w:szCs w:val="22"/>
                <w:lang w:eastAsia="en-US"/>
              </w:rPr>
              <w:t>400</w:t>
            </w:r>
            <w:r w:rsidR="00DB66F5">
              <w:rPr>
                <w:sz w:val="22"/>
                <w:szCs w:val="22"/>
                <w:lang w:eastAsia="en-US"/>
              </w:rPr>
              <w:t>.000,00</w:t>
            </w:r>
          </w:p>
        </w:tc>
        <w:tc>
          <w:tcPr>
            <w:tcW w:w="1630" w:type="dxa"/>
            <w:tcBorders>
              <w:top w:val="single" w:sz="4" w:space="0" w:color="auto"/>
              <w:left w:val="single" w:sz="4" w:space="0" w:color="auto"/>
              <w:bottom w:val="single" w:sz="4" w:space="0" w:color="auto"/>
              <w:right w:val="single" w:sz="4" w:space="0" w:color="auto"/>
            </w:tcBorders>
            <w:hideMark/>
          </w:tcPr>
          <w:p w14:paraId="5113DA33" w14:textId="77777777" w:rsidR="00DB66F5" w:rsidRDefault="00FD3381" w:rsidP="008019A9">
            <w:pPr>
              <w:pStyle w:val="NormalnyWeb"/>
              <w:spacing w:before="120" w:beforeAutospacing="0" w:after="0" w:line="240" w:lineRule="auto"/>
              <w:jc w:val="center"/>
              <w:rPr>
                <w:sz w:val="22"/>
                <w:szCs w:val="22"/>
                <w:lang w:eastAsia="en-US"/>
              </w:rPr>
            </w:pPr>
            <w:r>
              <w:rPr>
                <w:sz w:val="22"/>
                <w:szCs w:val="22"/>
                <w:lang w:eastAsia="en-US"/>
              </w:rPr>
              <w:t>240</w:t>
            </w:r>
            <w:r w:rsidR="00DB66F5">
              <w:rPr>
                <w:sz w:val="22"/>
                <w:szCs w:val="22"/>
                <w:lang w:eastAsia="en-US"/>
              </w:rPr>
              <w:t>.</w:t>
            </w:r>
            <w:r w:rsidR="008019A9">
              <w:rPr>
                <w:sz w:val="22"/>
                <w:szCs w:val="22"/>
                <w:lang w:eastAsia="en-US"/>
              </w:rPr>
              <w:t>000</w:t>
            </w:r>
            <w:r w:rsidR="00DB66F5">
              <w:rPr>
                <w:sz w:val="22"/>
                <w:szCs w:val="22"/>
                <w:lang w:eastAsia="en-US"/>
              </w:rPr>
              <w:t>,00</w:t>
            </w:r>
          </w:p>
        </w:tc>
      </w:tr>
    </w:tbl>
    <w:p w14:paraId="745B45B6" w14:textId="77777777" w:rsidR="00490D91" w:rsidRDefault="00490D91" w:rsidP="00490D91">
      <w:pPr>
        <w:pStyle w:val="Tekstpodstawowy"/>
        <w:spacing w:after="0" w:line="276" w:lineRule="auto"/>
        <w:ind w:firstLine="567"/>
        <w:jc w:val="both"/>
        <w:rPr>
          <w:rFonts w:eastAsia="Times New Roman"/>
        </w:rPr>
      </w:pPr>
      <w:r>
        <w:rPr>
          <w:rFonts w:eastAsia="Times New Roman"/>
        </w:rPr>
        <w:t>2. Ustalona w przetargu cena stanowi cenę brutto w rozumieniu przepisów o podatku od towarów i usług.</w:t>
      </w:r>
    </w:p>
    <w:p w14:paraId="6C8E555F" w14:textId="77777777" w:rsidR="00490D91" w:rsidRDefault="00490D91" w:rsidP="00490D91">
      <w:pPr>
        <w:pStyle w:val="Tekstpodstawowy"/>
        <w:spacing w:after="0" w:line="276" w:lineRule="auto"/>
        <w:ind w:firstLine="567"/>
        <w:jc w:val="both"/>
        <w:rPr>
          <w:rFonts w:eastAsia="Times New Roman"/>
        </w:rPr>
      </w:pPr>
    </w:p>
    <w:p w14:paraId="2B6E0570" w14:textId="77777777" w:rsidR="00490D91" w:rsidRDefault="00490D91" w:rsidP="00490D91">
      <w:pPr>
        <w:pStyle w:val="Tekstpodstawowy"/>
        <w:tabs>
          <w:tab w:val="left" w:pos="424"/>
        </w:tabs>
        <w:spacing w:after="0"/>
        <w:ind w:firstLine="567"/>
        <w:jc w:val="both"/>
      </w:pPr>
      <w:r>
        <w:rPr>
          <w:rFonts w:eastAsia="Times New Roman"/>
        </w:rPr>
        <w:t>§6.1. W przetargu mogą wziąć udział podmioty, które wpłacą wadium w pieniądzu,</w:t>
      </w:r>
      <w:r>
        <w:rPr>
          <w:rFonts w:eastAsia="Times New Roman"/>
        </w:rPr>
        <w:br/>
        <w:t xml:space="preserve">w formie przelewu, na konto Urzędu Miasta Torunia - BANK MILLENNIUM S.A. O/Toruń nr </w:t>
      </w:r>
      <w:r>
        <w:t xml:space="preserve">62 1160  2202  0000  0003  3943  1400 </w:t>
      </w:r>
      <w:r>
        <w:rPr>
          <w:rFonts w:eastAsia="Times New Roman"/>
        </w:rPr>
        <w:t xml:space="preserve">w terminie do dnia </w:t>
      </w:r>
      <w:r w:rsidR="00FD3381">
        <w:rPr>
          <w:rFonts w:eastAsia="Times New Roman"/>
          <w:b/>
        </w:rPr>
        <w:t>2</w:t>
      </w:r>
      <w:r w:rsidR="00714467">
        <w:rPr>
          <w:rFonts w:eastAsia="Times New Roman"/>
          <w:b/>
        </w:rPr>
        <w:t xml:space="preserve"> </w:t>
      </w:r>
      <w:r w:rsidR="00FD3381">
        <w:rPr>
          <w:rFonts w:eastAsia="Times New Roman"/>
          <w:b/>
        </w:rPr>
        <w:t>października</w:t>
      </w:r>
      <w:r w:rsidR="00EF26D2">
        <w:rPr>
          <w:rFonts w:eastAsia="Times New Roman"/>
          <w:b/>
        </w:rPr>
        <w:t xml:space="preserve"> 202</w:t>
      </w:r>
      <w:r w:rsidR="008019A9">
        <w:rPr>
          <w:rFonts w:eastAsia="Times New Roman"/>
          <w:b/>
        </w:rPr>
        <w:t>4</w:t>
      </w:r>
      <w:r w:rsidR="00EF26D2">
        <w:rPr>
          <w:rFonts w:eastAsia="Times New Roman"/>
          <w:b/>
        </w:rPr>
        <w:t>r.</w:t>
      </w:r>
      <w:r>
        <w:rPr>
          <w:rFonts w:eastAsia="Times New Roman"/>
        </w:rPr>
        <w:t xml:space="preserve"> włącznie. Za datę wpłaty wadium uznaje się dzień wpływu środków pieniężnych na wskazane konto Gminy. Na dowodzie wpłaty należy umieścić dopisek wskazujący oznaczenie działek lub kompleksów, do licytacji których uczestnik zamierza przystąpić. Wpłacone wadium uprawnia do uczestnictwa wyłącznie w przetargu, którego dotyczy.</w:t>
      </w:r>
    </w:p>
    <w:p w14:paraId="36D37121" w14:textId="77777777" w:rsidR="00490D91" w:rsidRDefault="00490D91" w:rsidP="00490D91">
      <w:pPr>
        <w:pStyle w:val="Tekstpodstawowy"/>
        <w:tabs>
          <w:tab w:val="left" w:pos="424"/>
        </w:tabs>
        <w:spacing w:after="0"/>
        <w:ind w:firstLine="567"/>
        <w:jc w:val="both"/>
        <w:rPr>
          <w:rFonts w:eastAsia="Times New Roman"/>
        </w:rPr>
      </w:pPr>
      <w:r>
        <w:rPr>
          <w:rFonts w:eastAsia="Times New Roman"/>
        </w:rPr>
        <w:t xml:space="preserve">2. Podmioty, które wpłacą wadium w sposób niezgodny z postanowieniami ust. 1, </w:t>
      </w:r>
      <w:r>
        <w:rPr>
          <w:rFonts w:eastAsia="Times New Roman"/>
        </w:rPr>
        <w:br/>
        <w:t>w szczególności gdy wadium zostanie wpłacone w gotówce w kasie Urzędu Miasta Torunia, nie zostaną dopuszczone do udziału w przetargu.</w:t>
      </w:r>
    </w:p>
    <w:p w14:paraId="68A7D7DA" w14:textId="77777777" w:rsidR="00490D91" w:rsidRDefault="00490D91" w:rsidP="00490D91">
      <w:pPr>
        <w:pStyle w:val="Tekstpodstawowy"/>
        <w:tabs>
          <w:tab w:val="left" w:pos="554"/>
        </w:tabs>
        <w:spacing w:after="0"/>
        <w:ind w:firstLine="567"/>
        <w:jc w:val="both"/>
        <w:rPr>
          <w:rFonts w:eastAsia="Times New Roman"/>
        </w:rPr>
      </w:pPr>
      <w:r>
        <w:rPr>
          <w:rFonts w:eastAsia="Times New Roman"/>
        </w:rPr>
        <w:t xml:space="preserve">3. Komisja przetargowa w dniu </w:t>
      </w:r>
      <w:r w:rsidR="00FD3381">
        <w:rPr>
          <w:rFonts w:eastAsia="Times New Roman"/>
        </w:rPr>
        <w:t>4 października</w:t>
      </w:r>
      <w:r>
        <w:rPr>
          <w:rFonts w:eastAsia="Times New Roman"/>
        </w:rPr>
        <w:t xml:space="preserve"> 202</w:t>
      </w:r>
      <w:r w:rsidR="008019A9">
        <w:rPr>
          <w:rFonts w:eastAsia="Times New Roman"/>
        </w:rPr>
        <w:t>4</w:t>
      </w:r>
      <w:r>
        <w:rPr>
          <w:rFonts w:eastAsia="Times New Roman"/>
        </w:rPr>
        <w:t>r. stwierdzi dokonanie wpłat wadiów na podstawie wyciągu bankowego z wskazanego konta i sporządzi wykaz osób, które spełniły ten warunek.</w:t>
      </w:r>
    </w:p>
    <w:p w14:paraId="0A10B05F" w14:textId="77777777" w:rsidR="00490D91" w:rsidRDefault="00490D91" w:rsidP="00490D91">
      <w:pPr>
        <w:pStyle w:val="Tekstpodstawowy"/>
        <w:tabs>
          <w:tab w:val="left" w:pos="554"/>
        </w:tabs>
        <w:spacing w:after="0" w:line="276" w:lineRule="auto"/>
        <w:ind w:firstLine="567"/>
        <w:jc w:val="both"/>
        <w:rPr>
          <w:rFonts w:eastAsia="Times New Roman"/>
        </w:rPr>
      </w:pPr>
    </w:p>
    <w:p w14:paraId="3D4AEEC0" w14:textId="77777777" w:rsidR="00490D91" w:rsidRDefault="00490D91" w:rsidP="00490D91">
      <w:pPr>
        <w:ind w:firstLine="567"/>
        <w:jc w:val="both"/>
      </w:pPr>
      <w:r>
        <w:t>§7.1. Uczestnicy przetargu i osoby działające w ich imieniu winni przed przystąpieniem do licytacji przedstawić Komisji Przetargowej:</w:t>
      </w:r>
    </w:p>
    <w:p w14:paraId="7EB6051A" w14:textId="77777777" w:rsidR="00490D91" w:rsidRDefault="00490D91" w:rsidP="00490D91">
      <w:pPr>
        <w:ind w:firstLine="567"/>
        <w:jc w:val="both"/>
      </w:pPr>
      <w:r>
        <w:t>1) wszyscy: dokument potwierdzający tożsamość tj. dowód osobisty lub paszport;</w:t>
      </w:r>
    </w:p>
    <w:p w14:paraId="27EEAFFB" w14:textId="77777777" w:rsidR="00490D91" w:rsidRDefault="00490D91" w:rsidP="00490D91">
      <w:pPr>
        <w:ind w:firstLine="567"/>
        <w:jc w:val="both"/>
      </w:pPr>
      <w:r>
        <w:t>2) osoby prawne i jednostki organizacyjne nie będące osobami prawnymi, którym ustawa przyznała zdolność prawną: aktualny wypis z właściwego rejestru oraz upoważnienie organu uprawnionego do reprezentowania podmiotu;</w:t>
      </w:r>
    </w:p>
    <w:p w14:paraId="0AE1FBA4" w14:textId="77777777" w:rsidR="00490D91" w:rsidRDefault="00490D91" w:rsidP="00490D91">
      <w:pPr>
        <w:ind w:firstLine="567"/>
        <w:jc w:val="both"/>
      </w:pPr>
      <w:r>
        <w:t>3) pełnomocnicy - pełnomocnictwo do uczestnictwa w przetargu (w formie pisemnej) lub pełnomocnictwo do nabycia nieruchomości (w formie aktu notarialnego);</w:t>
      </w:r>
    </w:p>
    <w:p w14:paraId="1A7F72AF" w14:textId="77777777" w:rsidR="00490D91" w:rsidRDefault="00490D91" w:rsidP="00490D91">
      <w:pPr>
        <w:ind w:firstLine="567"/>
        <w:jc w:val="both"/>
      </w:pPr>
      <w:r>
        <w:t>4) małżonek zamierzający samodzielnie licytować nieruchomość nabywaną do majątku wspólnego – pisemną zgodę współmałżonka;</w:t>
      </w:r>
    </w:p>
    <w:p w14:paraId="265F6E94" w14:textId="77777777" w:rsidR="00490D91" w:rsidRDefault="00490D91" w:rsidP="00490D91">
      <w:pPr>
        <w:pStyle w:val="Tekstpodstawowy"/>
        <w:tabs>
          <w:tab w:val="left" w:pos="855"/>
        </w:tabs>
        <w:spacing w:after="0"/>
        <w:ind w:firstLine="567"/>
        <w:jc w:val="both"/>
      </w:pPr>
      <w:r>
        <w:t>2. Nie przedłożenie wymaganych dokumentów wymienionych w ust. 1 skutkować będzie nie dopuszczeniem do uczestnictwa w przetargu.</w:t>
      </w:r>
    </w:p>
    <w:p w14:paraId="3621F6C9" w14:textId="77777777" w:rsidR="00490D91" w:rsidRDefault="00490D91" w:rsidP="00490D91">
      <w:pPr>
        <w:pStyle w:val="Tekstpodstawowy"/>
        <w:tabs>
          <w:tab w:val="left" w:pos="855"/>
        </w:tabs>
        <w:spacing w:after="0"/>
        <w:ind w:firstLine="567"/>
        <w:jc w:val="both"/>
      </w:pPr>
      <w:r>
        <w:t xml:space="preserve">3. W przetargu nie mogą uczestniczyć osoby wchodzące w skład Komisji Przetargowej, osoby im bliskie, lub pozostające w takim stosunku prawnym lub faktycznym, że może budzić </w:t>
      </w:r>
      <w:r>
        <w:lastRenderedPageBreak/>
        <w:t>to uzasadnione wątpliwości co do bezstronności Komisji Przetargowej.</w:t>
      </w:r>
    </w:p>
    <w:p w14:paraId="500560C0" w14:textId="77777777" w:rsidR="00490D91" w:rsidRDefault="00490D91" w:rsidP="00490D91">
      <w:pPr>
        <w:pStyle w:val="Tekstpodstawowy"/>
        <w:tabs>
          <w:tab w:val="left" w:pos="424"/>
        </w:tabs>
        <w:spacing w:after="0" w:line="360" w:lineRule="auto"/>
        <w:ind w:firstLine="567"/>
        <w:jc w:val="both"/>
        <w:rPr>
          <w:rFonts w:eastAsia="Times New Roman"/>
        </w:rPr>
      </w:pPr>
    </w:p>
    <w:p w14:paraId="795D7685" w14:textId="77777777" w:rsidR="00490D91" w:rsidRDefault="00490D91" w:rsidP="00490D91">
      <w:pPr>
        <w:pStyle w:val="Tekstpodstawowy"/>
        <w:tabs>
          <w:tab w:val="left" w:pos="424"/>
        </w:tabs>
        <w:spacing w:after="0"/>
        <w:ind w:firstLine="567"/>
        <w:jc w:val="both"/>
        <w:rPr>
          <w:rFonts w:eastAsia="Times New Roman"/>
        </w:rPr>
      </w:pPr>
      <w:r>
        <w:rPr>
          <w:rFonts w:eastAsia="Times New Roman"/>
        </w:rPr>
        <w:t>§8.1. Licytacja odbywa się przez podniesienie ręki osoby biorącej udział w przetargu oraz głośne podanie oferowanej ceny, będącej powiększeniem ceny wywoławczej o kolejne postąpienia.</w:t>
      </w:r>
    </w:p>
    <w:p w14:paraId="1198C52E" w14:textId="77777777" w:rsidR="00490D91" w:rsidRDefault="00490D91" w:rsidP="00490D91">
      <w:pPr>
        <w:pStyle w:val="Tekstpodstawowy"/>
        <w:spacing w:after="0"/>
        <w:ind w:firstLine="567"/>
        <w:jc w:val="both"/>
      </w:pPr>
      <w:r>
        <w:rPr>
          <w:rFonts w:eastAsia="Times New Roman"/>
        </w:rPr>
        <w:t xml:space="preserve">2. Uczestnicy przetargu zgłaszają kolejne postąpienia w wysokości nie niższej niż 1% ceny wywoławczej z </w:t>
      </w:r>
      <w:r>
        <w:t>zaokrągleniem w górę do pełnych dziesiątek złotych.</w:t>
      </w:r>
    </w:p>
    <w:p w14:paraId="2CD128BD" w14:textId="77777777" w:rsidR="00490D91" w:rsidRDefault="00490D91" w:rsidP="00490D91">
      <w:pPr>
        <w:pStyle w:val="Tekstpodstawowy"/>
        <w:tabs>
          <w:tab w:val="left" w:pos="435"/>
        </w:tabs>
        <w:spacing w:after="0"/>
        <w:ind w:firstLine="567"/>
        <w:jc w:val="both"/>
        <w:rPr>
          <w:rFonts w:eastAsia="Times New Roman"/>
        </w:rPr>
      </w:pPr>
    </w:p>
    <w:p w14:paraId="6F14A8E2" w14:textId="77777777" w:rsidR="00490D91" w:rsidRDefault="00490D91" w:rsidP="00490D91">
      <w:pPr>
        <w:pStyle w:val="Tekstpodstawowy"/>
        <w:tabs>
          <w:tab w:val="left" w:pos="435"/>
        </w:tabs>
        <w:spacing w:after="0"/>
        <w:ind w:firstLine="567"/>
        <w:jc w:val="both"/>
      </w:pPr>
      <w:r>
        <w:rPr>
          <w:rFonts w:eastAsia="Times New Roman"/>
        </w:rPr>
        <w:t>§9.</w:t>
      </w:r>
      <w:r>
        <w:rPr>
          <w:rFonts w:eastAsia="Times New Roman"/>
          <w:b/>
          <w:bCs/>
        </w:rPr>
        <w:t xml:space="preserve">  </w:t>
      </w:r>
      <w:r>
        <w:rPr>
          <w:rFonts w:eastAsia="Times New Roman"/>
        </w:rPr>
        <w:t>O rozstrzygnięciu licytacji decyduje wielkość i kolejność zaoferowanej ceny.</w:t>
      </w:r>
    </w:p>
    <w:p w14:paraId="069FD839" w14:textId="77777777" w:rsidR="00490D91" w:rsidRDefault="00490D91" w:rsidP="00490D91">
      <w:pPr>
        <w:pStyle w:val="Tekstpodstawowy"/>
        <w:tabs>
          <w:tab w:val="left" w:pos="424"/>
        </w:tabs>
        <w:spacing w:after="0"/>
        <w:ind w:firstLine="567"/>
        <w:jc w:val="both"/>
        <w:rPr>
          <w:rFonts w:eastAsia="Times New Roman"/>
        </w:rPr>
      </w:pPr>
    </w:p>
    <w:p w14:paraId="3D36A865" w14:textId="77777777" w:rsidR="00490D91" w:rsidRDefault="00490D91" w:rsidP="00490D91">
      <w:pPr>
        <w:pStyle w:val="Tekstpodstawowy"/>
        <w:tabs>
          <w:tab w:val="left" w:pos="424"/>
        </w:tabs>
        <w:spacing w:after="0"/>
        <w:ind w:firstLine="567"/>
        <w:jc w:val="both"/>
        <w:rPr>
          <w:rFonts w:eastAsia="Times New Roman"/>
        </w:rPr>
      </w:pPr>
      <w:r>
        <w:rPr>
          <w:rFonts w:eastAsia="Times New Roman"/>
        </w:rPr>
        <w:t>§10. Po trzecim wywołaniu najwyższej zaoferowanej ceny dalsze postąpienia nie zostaną przyjęte.</w:t>
      </w:r>
    </w:p>
    <w:p w14:paraId="74E7128A" w14:textId="77777777" w:rsidR="00490D91" w:rsidRDefault="00490D91" w:rsidP="00490D91">
      <w:pPr>
        <w:pStyle w:val="Tekstpodstawowy"/>
        <w:tabs>
          <w:tab w:val="left" w:pos="424"/>
        </w:tabs>
        <w:spacing w:after="0"/>
        <w:ind w:firstLine="567"/>
        <w:jc w:val="both"/>
        <w:rPr>
          <w:rFonts w:eastAsia="Times New Roman"/>
        </w:rPr>
      </w:pPr>
    </w:p>
    <w:p w14:paraId="5FBF2EE4" w14:textId="77777777" w:rsidR="00490D91" w:rsidRDefault="00490D91" w:rsidP="00490D91">
      <w:pPr>
        <w:pStyle w:val="Tekstpodstawowy"/>
        <w:tabs>
          <w:tab w:val="left" w:pos="424"/>
        </w:tabs>
        <w:spacing w:after="0"/>
        <w:ind w:firstLine="567"/>
        <w:jc w:val="both"/>
        <w:rPr>
          <w:rFonts w:eastAsia="Times New Roman"/>
        </w:rPr>
      </w:pPr>
      <w:r>
        <w:rPr>
          <w:rFonts w:eastAsia="Times New Roman"/>
        </w:rPr>
        <w:t>§11. Przetarg jest ważny bez względu na liczbę uczestników przetargu, jeżeli chociaż jeden uczestnik zaoferuje co najmniej jedno postąpienie powyżej ceny wywoławczej.</w:t>
      </w:r>
    </w:p>
    <w:p w14:paraId="4476DD49" w14:textId="77777777" w:rsidR="00490D91" w:rsidRDefault="00490D91" w:rsidP="00490D91">
      <w:pPr>
        <w:pStyle w:val="Tekstpodstawowy"/>
        <w:tabs>
          <w:tab w:val="left" w:pos="424"/>
        </w:tabs>
        <w:spacing w:after="0"/>
        <w:ind w:firstLine="567"/>
        <w:jc w:val="both"/>
        <w:rPr>
          <w:rFonts w:eastAsia="Times New Roman"/>
        </w:rPr>
      </w:pPr>
    </w:p>
    <w:p w14:paraId="1F14080C" w14:textId="77777777" w:rsidR="00490D91" w:rsidRDefault="00490D91" w:rsidP="00490D91">
      <w:pPr>
        <w:ind w:firstLine="567"/>
        <w:jc w:val="both"/>
      </w:pPr>
    </w:p>
    <w:p w14:paraId="5E85759F" w14:textId="77777777" w:rsidR="00490D91" w:rsidRDefault="00490D91" w:rsidP="00490D91">
      <w:pPr>
        <w:ind w:firstLine="567"/>
        <w:jc w:val="both"/>
      </w:pPr>
      <w:r>
        <w:t>§12. Wadium wpłacone przez uczestnika, który przetarg wygrał zalicza się na poczet ceny sprzedaży z chwilą zawarcia umowy przenoszącej własność nieruchomości w formie aktu notarialnego.</w:t>
      </w:r>
    </w:p>
    <w:p w14:paraId="40FE369E" w14:textId="77777777" w:rsidR="00490D91" w:rsidRDefault="00490D91" w:rsidP="00490D91">
      <w:pPr>
        <w:ind w:firstLine="567"/>
        <w:jc w:val="both"/>
      </w:pPr>
    </w:p>
    <w:p w14:paraId="73822DC7" w14:textId="77777777" w:rsidR="00490D91" w:rsidRDefault="00490D91" w:rsidP="00490D91">
      <w:pPr>
        <w:ind w:firstLine="567"/>
        <w:jc w:val="both"/>
      </w:pPr>
      <w:r>
        <w:t>§13. Pozostałym uczestnikom przetargu wadium zostanie niezwłocznie, nie później niż przed upływem 3 dni od dnia odwołania, unieważnienia lub rozstrzygnięcia przetargu, zwrócone przelewem  - w wysokości nominalnej, na wskazane przez nich konto. W przypadku braku pisemnego wskazania - najpóźniej w dniu przetargu - rachunku bankowego, na które ma być dokonany zwrot wadium zostanie ono zwrócone na konto, z którego wpłynęło.</w:t>
      </w:r>
    </w:p>
    <w:p w14:paraId="64231816" w14:textId="77777777" w:rsidR="00490D91" w:rsidRDefault="00490D91" w:rsidP="00490D91">
      <w:pPr>
        <w:ind w:firstLine="567"/>
        <w:jc w:val="both"/>
      </w:pPr>
    </w:p>
    <w:p w14:paraId="315FFA4E" w14:textId="77777777" w:rsidR="00490D91" w:rsidRDefault="00490D91" w:rsidP="00490D91">
      <w:pPr>
        <w:pStyle w:val="Tekstpodstawowy"/>
        <w:tabs>
          <w:tab w:val="left" w:pos="424"/>
        </w:tabs>
        <w:spacing w:after="0"/>
        <w:ind w:firstLine="567"/>
        <w:jc w:val="both"/>
      </w:pPr>
      <w:r>
        <w:rPr>
          <w:rFonts w:eastAsia="Times New Roman"/>
        </w:rPr>
        <w:t>§14.</w:t>
      </w:r>
      <w:r>
        <w:rPr>
          <w:rFonts w:eastAsia="Times New Roman"/>
          <w:b/>
          <w:bCs/>
        </w:rPr>
        <w:t xml:space="preserve"> </w:t>
      </w:r>
      <w:r>
        <w:rPr>
          <w:rFonts w:eastAsia="Times New Roman"/>
        </w:rPr>
        <w:t xml:space="preserve"> 1. Protokół przetargu sporządza się w trzech jednobrzmiących egzemplarzach.</w:t>
      </w:r>
    </w:p>
    <w:p w14:paraId="4A1254E8" w14:textId="77777777" w:rsidR="00490D91" w:rsidRDefault="00490D91" w:rsidP="00490D91">
      <w:pPr>
        <w:pStyle w:val="Tekstpodstawowy"/>
        <w:spacing w:after="0" w:line="276" w:lineRule="auto"/>
        <w:ind w:firstLine="567"/>
        <w:jc w:val="both"/>
        <w:rPr>
          <w:rFonts w:eastAsia="Times New Roman"/>
        </w:rPr>
      </w:pPr>
      <w:r>
        <w:rPr>
          <w:rFonts w:eastAsia="Times New Roman"/>
        </w:rPr>
        <w:t>2. Protokół przetargu stanowi podstawę do zawarcia aktu notarialnego.</w:t>
      </w:r>
    </w:p>
    <w:p w14:paraId="3C502891" w14:textId="77777777" w:rsidR="00490D91" w:rsidRDefault="00490D91" w:rsidP="00490D91">
      <w:pPr>
        <w:pStyle w:val="Tekstpodstawowy"/>
        <w:spacing w:after="0" w:line="276" w:lineRule="auto"/>
        <w:ind w:firstLine="567"/>
        <w:jc w:val="both"/>
        <w:rPr>
          <w:rFonts w:eastAsia="Times New Roman"/>
        </w:rPr>
      </w:pPr>
    </w:p>
    <w:p w14:paraId="6A3105CF" w14:textId="77777777" w:rsidR="00490D91" w:rsidRDefault="00490D91" w:rsidP="00490D91">
      <w:pPr>
        <w:ind w:firstLine="567"/>
        <w:jc w:val="both"/>
        <w:rPr>
          <w:rFonts w:eastAsia="SimSun"/>
          <w:kern w:val="2"/>
        </w:rPr>
      </w:pPr>
      <w:r>
        <w:t xml:space="preserve">§15.1. </w:t>
      </w:r>
      <w:r>
        <w:rPr>
          <w:rStyle w:val="alb"/>
        </w:rPr>
        <w:t xml:space="preserve">Prezydent Miasta Torunia </w:t>
      </w:r>
      <w:r>
        <w:t>zawiadomi osobę ustaloną jako nabywca nieruchomości o miejscu i terminie zawarcia umowy sprzedaży  nieruchomości, najpóźniej w ciągu 21 dni od dnia rozstrzygnięcia przetargu. Wyznaczony termin nie może być krótszy niż 7 dni od dnia doręczenia zawiadomienia.</w:t>
      </w:r>
    </w:p>
    <w:p w14:paraId="75B8CCCF" w14:textId="77777777" w:rsidR="00490D91" w:rsidRDefault="00490D91" w:rsidP="00490D91">
      <w:pPr>
        <w:jc w:val="both"/>
        <w:rPr>
          <w:rStyle w:val="alb"/>
          <w:rFonts w:ascii="Liberation Serif" w:hAnsi="Liberation Serif" w:cs="Mangal"/>
        </w:rPr>
      </w:pPr>
      <w:r>
        <w:t xml:space="preserve">                2. Umowa sprzedaży nieruchomości, w formie aktu notarialnego, winna zostać zawarta najpóźniej w terminie dwóch miesięcy od dnia rozstrzygnięcia przetargu</w:t>
      </w:r>
      <w:r w:rsidR="00C5424A">
        <w:t>.</w:t>
      </w:r>
      <w:r>
        <w:rPr>
          <w:color w:val="000000"/>
        </w:rPr>
        <w:t xml:space="preserve"> </w:t>
      </w:r>
      <w:r>
        <w:t xml:space="preserve">W przypadku wystąpienia wyjątkowych  okoliczności, których osoba ustalona jako nabywca nieruchomości nie mogła przewidzieć w dniu przetargu, Prezydent Miasta Torunia może zadecydować o przesunięciu  terminu zawarcia umowy. </w:t>
      </w:r>
    </w:p>
    <w:p w14:paraId="4D960FA5" w14:textId="77777777" w:rsidR="00490D91" w:rsidRDefault="00490D91" w:rsidP="00490D91">
      <w:pPr>
        <w:jc w:val="both"/>
      </w:pPr>
      <w:r>
        <w:rPr>
          <w:rStyle w:val="alb"/>
        </w:rPr>
        <w:t xml:space="preserve">                3. </w:t>
      </w:r>
      <w:r>
        <w:t>Jeżeli osoba ustalona jako nabywca nieruchomości nie przystąpi bez usprawiedliwienia do zawarcia umowy w miejscu i w terminie podanych w zawiadomieniu,</w:t>
      </w:r>
      <w:r>
        <w:br/>
        <w:t xml:space="preserve">o którym mowa w ust. 1, z zastrzeżeniem ust. 2, Prezydent Miasta Torunia może odstąpić od zawarcia umowy, a wpłacone wadium nie podlega zwrotowi. </w:t>
      </w:r>
    </w:p>
    <w:p w14:paraId="10E2FCE5" w14:textId="77777777" w:rsidR="00490D91" w:rsidRDefault="00490D91" w:rsidP="00490D91">
      <w:pPr>
        <w:pStyle w:val="Textbody"/>
        <w:spacing w:after="0" w:line="240" w:lineRule="auto"/>
        <w:ind w:firstLine="554"/>
        <w:jc w:val="both"/>
        <w:rPr>
          <w:color w:val="000000"/>
          <w:sz w:val="24"/>
          <w:szCs w:val="24"/>
        </w:rPr>
      </w:pPr>
    </w:p>
    <w:p w14:paraId="6F0C8966" w14:textId="77777777" w:rsidR="00490D91" w:rsidRDefault="00490D91" w:rsidP="00490D91">
      <w:pPr>
        <w:pStyle w:val="Textbody"/>
        <w:spacing w:after="0" w:line="240" w:lineRule="auto"/>
        <w:ind w:firstLine="420"/>
        <w:jc w:val="both"/>
        <w:rPr>
          <w:color w:val="000000"/>
          <w:sz w:val="24"/>
          <w:szCs w:val="24"/>
        </w:rPr>
      </w:pPr>
      <w:r>
        <w:rPr>
          <w:color w:val="000000"/>
          <w:sz w:val="24"/>
          <w:szCs w:val="24"/>
        </w:rPr>
        <w:t>§16.  Zwycięzca przetargu zobowiązany jest zapłacić:</w:t>
      </w:r>
    </w:p>
    <w:p w14:paraId="4EFFEE56" w14:textId="77777777" w:rsidR="00490D91" w:rsidRDefault="00490D91" w:rsidP="00490D91">
      <w:pPr>
        <w:pStyle w:val="Textbody"/>
        <w:numPr>
          <w:ilvl w:val="0"/>
          <w:numId w:val="4"/>
        </w:numPr>
        <w:spacing w:after="0" w:line="240" w:lineRule="auto"/>
        <w:jc w:val="both"/>
        <w:rPr>
          <w:color w:val="000000"/>
          <w:sz w:val="24"/>
          <w:szCs w:val="24"/>
        </w:rPr>
      </w:pPr>
      <w:r>
        <w:rPr>
          <w:color w:val="000000"/>
          <w:sz w:val="24"/>
          <w:szCs w:val="24"/>
        </w:rPr>
        <w:t>ustaloną w przetargu cenę sprzedaży nieruchomości pomniejszoną o wpłacone wadium, przelewem na rachunek bankowy Urzędu Miasta Torunia - BANK MILLENNIUM S.A. O/Toruń nr 95 11602202 0000 0000 6171 9127,</w:t>
      </w:r>
    </w:p>
    <w:p w14:paraId="4B6742D1" w14:textId="77777777" w:rsidR="00490D91" w:rsidRDefault="00490D91" w:rsidP="00490D91">
      <w:pPr>
        <w:pStyle w:val="Textbody"/>
        <w:numPr>
          <w:ilvl w:val="0"/>
          <w:numId w:val="4"/>
        </w:numPr>
        <w:spacing w:after="0" w:line="240" w:lineRule="auto"/>
        <w:jc w:val="both"/>
        <w:rPr>
          <w:color w:val="000000"/>
          <w:sz w:val="24"/>
          <w:szCs w:val="24"/>
        </w:rPr>
      </w:pPr>
      <w:r>
        <w:rPr>
          <w:color w:val="000000"/>
          <w:sz w:val="24"/>
          <w:szCs w:val="24"/>
        </w:rPr>
        <w:lastRenderedPageBreak/>
        <w:t>wynagrodzenie z tytułu ustanowienia służebności gruntowej przelewem na rachunek bankowy Urzędu Miasta Torunia - BANK MILLENNIUM S.A. O/Toruń nr 11 1160 2202  0000 0002 7172 9422,</w:t>
      </w:r>
    </w:p>
    <w:p w14:paraId="537B2324" w14:textId="77777777" w:rsidR="00490D91" w:rsidRDefault="00490D91" w:rsidP="00490D91">
      <w:pPr>
        <w:pStyle w:val="Textbody"/>
        <w:spacing w:after="0" w:line="240" w:lineRule="auto"/>
        <w:jc w:val="both"/>
        <w:rPr>
          <w:color w:val="000000"/>
          <w:sz w:val="24"/>
          <w:szCs w:val="24"/>
        </w:rPr>
      </w:pPr>
      <w:r>
        <w:rPr>
          <w:color w:val="000000"/>
          <w:sz w:val="24"/>
          <w:szCs w:val="24"/>
        </w:rPr>
        <w:t>przed zawarciem aktu notarialnego przenoszącego własność nieruchomości w terminie</w:t>
      </w:r>
      <w:r>
        <w:rPr>
          <w:color w:val="000000"/>
          <w:sz w:val="24"/>
          <w:szCs w:val="24"/>
        </w:rPr>
        <w:br/>
        <w:t>i w sposób umożliwiający potwierdzenie wpływu środków pieniężnych na wyżej wskazane konta.</w:t>
      </w:r>
    </w:p>
    <w:p w14:paraId="36000667" w14:textId="77777777" w:rsidR="00490D91" w:rsidRDefault="00490D91" w:rsidP="00490D91">
      <w:pPr>
        <w:pStyle w:val="Textbody"/>
        <w:spacing w:after="0" w:line="240" w:lineRule="auto"/>
        <w:jc w:val="both"/>
        <w:rPr>
          <w:color w:val="000000"/>
          <w:sz w:val="24"/>
          <w:szCs w:val="24"/>
        </w:rPr>
      </w:pPr>
    </w:p>
    <w:p w14:paraId="3A026D98" w14:textId="77777777" w:rsidR="00490D91" w:rsidRDefault="00490D91" w:rsidP="00490D91">
      <w:pPr>
        <w:pStyle w:val="Textbody"/>
        <w:spacing w:after="0" w:line="240" w:lineRule="auto"/>
        <w:jc w:val="both"/>
        <w:rPr>
          <w:color w:val="000000"/>
          <w:sz w:val="24"/>
          <w:szCs w:val="24"/>
        </w:rPr>
      </w:pPr>
      <w:r>
        <w:rPr>
          <w:color w:val="000000"/>
          <w:sz w:val="24"/>
          <w:szCs w:val="24"/>
        </w:rPr>
        <w:t>       §17. Nabycie nieruchomości przez cudzoziemca następuje z uwzględnieniem przepisów ustawy z dnia 24 marca 1920 r. o nabywaniu nieruchomości przez cudzoziemców.</w:t>
      </w:r>
    </w:p>
    <w:p w14:paraId="0A332156" w14:textId="77777777" w:rsidR="00490D91" w:rsidRDefault="00490D91" w:rsidP="00490D91">
      <w:pPr>
        <w:pStyle w:val="Textbody"/>
        <w:spacing w:after="0" w:line="240" w:lineRule="auto"/>
        <w:jc w:val="both"/>
        <w:rPr>
          <w:color w:val="000000"/>
          <w:sz w:val="24"/>
          <w:szCs w:val="24"/>
        </w:rPr>
      </w:pPr>
    </w:p>
    <w:p w14:paraId="66928DCC" w14:textId="77777777" w:rsidR="00490D91" w:rsidRDefault="00490D91" w:rsidP="00490D91">
      <w:pPr>
        <w:pStyle w:val="Textbody"/>
        <w:spacing w:after="0" w:line="240" w:lineRule="auto"/>
        <w:rPr>
          <w:color w:val="000000"/>
          <w:sz w:val="24"/>
          <w:szCs w:val="24"/>
        </w:rPr>
      </w:pPr>
      <w:r>
        <w:rPr>
          <w:color w:val="000000"/>
          <w:sz w:val="24"/>
          <w:szCs w:val="24"/>
        </w:rPr>
        <w:t>       §18. Koszty nabycia nieruchomości ponosi nabywający.</w:t>
      </w:r>
    </w:p>
    <w:p w14:paraId="1F56B5BC" w14:textId="77777777" w:rsidR="00490D91" w:rsidRDefault="00490D91" w:rsidP="00490D91">
      <w:pPr>
        <w:pStyle w:val="Textbody"/>
        <w:spacing w:after="0" w:line="240" w:lineRule="auto"/>
        <w:jc w:val="both"/>
        <w:rPr>
          <w:color w:val="000000"/>
          <w:sz w:val="24"/>
          <w:szCs w:val="24"/>
        </w:rPr>
      </w:pPr>
      <w:r>
        <w:rPr>
          <w:color w:val="000000"/>
          <w:sz w:val="24"/>
          <w:szCs w:val="24"/>
        </w:rPr>
        <w:t>    </w:t>
      </w:r>
    </w:p>
    <w:p w14:paraId="5C86B2FB" w14:textId="77777777" w:rsidR="00490D91" w:rsidRDefault="00490D91" w:rsidP="00490D91">
      <w:pPr>
        <w:pStyle w:val="Textbody"/>
        <w:spacing w:after="0" w:line="240" w:lineRule="auto"/>
        <w:jc w:val="both"/>
        <w:rPr>
          <w:color w:val="000000"/>
          <w:sz w:val="24"/>
          <w:szCs w:val="24"/>
        </w:rPr>
      </w:pPr>
      <w:r>
        <w:rPr>
          <w:color w:val="000000"/>
          <w:sz w:val="24"/>
          <w:szCs w:val="24"/>
        </w:rPr>
        <w:t>      §19. Dane nieruchomości zostały podane  na podstawie informacji z ewidencji gruntów</w:t>
      </w:r>
      <w:r>
        <w:rPr>
          <w:color w:val="000000"/>
          <w:sz w:val="24"/>
          <w:szCs w:val="24"/>
        </w:rPr>
        <w:br/>
        <w:t>i budynków. Geodezyjne okazanie granic sprzedawanej nieruchomości odbyć się może na koszt i wniosek nabywcy.</w:t>
      </w:r>
    </w:p>
    <w:p w14:paraId="368D1E2D" w14:textId="77777777" w:rsidR="00490D91" w:rsidRDefault="00490D91" w:rsidP="00490D91">
      <w:pPr>
        <w:pStyle w:val="Textbody"/>
        <w:spacing w:after="0" w:line="240" w:lineRule="auto"/>
        <w:rPr>
          <w:color w:val="000000"/>
          <w:sz w:val="24"/>
          <w:szCs w:val="24"/>
        </w:rPr>
      </w:pPr>
      <w:r>
        <w:rPr>
          <w:color w:val="000000"/>
          <w:sz w:val="24"/>
          <w:szCs w:val="24"/>
        </w:rPr>
        <w:t>     </w:t>
      </w:r>
    </w:p>
    <w:p w14:paraId="5ECB79C4" w14:textId="77777777" w:rsidR="00490D91" w:rsidRDefault="00490D91" w:rsidP="00490D91">
      <w:pPr>
        <w:pStyle w:val="Textbody"/>
        <w:spacing w:after="0" w:line="240" w:lineRule="auto"/>
        <w:rPr>
          <w:color w:val="000000"/>
          <w:sz w:val="24"/>
          <w:szCs w:val="24"/>
        </w:rPr>
      </w:pPr>
      <w:r>
        <w:rPr>
          <w:color w:val="000000"/>
          <w:sz w:val="24"/>
          <w:szCs w:val="24"/>
        </w:rPr>
        <w:t>       §20. Prezydent Miasta Torunia może z ważnych powodów  odwołać przetarg.</w:t>
      </w:r>
    </w:p>
    <w:p w14:paraId="3F0B30BD" w14:textId="77777777" w:rsidR="00490D91" w:rsidRDefault="00490D91" w:rsidP="00490D91">
      <w:pPr>
        <w:pStyle w:val="Textbody"/>
        <w:spacing w:after="0" w:line="240" w:lineRule="auto"/>
        <w:rPr>
          <w:color w:val="000000"/>
          <w:sz w:val="24"/>
          <w:szCs w:val="24"/>
        </w:rPr>
      </w:pPr>
    </w:p>
    <w:p w14:paraId="2B59A904" w14:textId="77777777" w:rsidR="00490D91" w:rsidRDefault="00490D91" w:rsidP="00490D91">
      <w:pPr>
        <w:pStyle w:val="Textbody"/>
        <w:spacing w:after="0" w:line="240" w:lineRule="auto"/>
        <w:jc w:val="both"/>
        <w:rPr>
          <w:color w:val="000000"/>
          <w:sz w:val="24"/>
          <w:szCs w:val="24"/>
        </w:rPr>
      </w:pPr>
      <w:r>
        <w:rPr>
          <w:color w:val="000000"/>
          <w:sz w:val="24"/>
          <w:szCs w:val="24"/>
        </w:rPr>
        <w:t>       §21. 1. Uczestnik przetargu może zaskarżyć czynności związane z przeprowadzeniem przetargu do Prezydenta Miasta Torunia. Skarga winna być wniesiona w terminie 7 dni od dnia ogłoszenia wyniku przetargu.</w:t>
      </w:r>
    </w:p>
    <w:p w14:paraId="29B5B693" w14:textId="77777777" w:rsidR="00490D91" w:rsidRDefault="00490D91" w:rsidP="00490D91">
      <w:pPr>
        <w:pStyle w:val="Textbody"/>
        <w:spacing w:after="0" w:line="240" w:lineRule="auto"/>
        <w:ind w:firstLine="554"/>
        <w:jc w:val="both"/>
        <w:rPr>
          <w:color w:val="000000"/>
          <w:sz w:val="24"/>
          <w:szCs w:val="24"/>
        </w:rPr>
      </w:pPr>
      <w:r>
        <w:rPr>
          <w:color w:val="000000"/>
          <w:sz w:val="24"/>
          <w:szCs w:val="24"/>
        </w:rPr>
        <w:t>2. Prezydent Miasta Torunia rozpatrzy skargę w terminie 7 dni od dnia jej otrzymania.</w:t>
      </w:r>
    </w:p>
    <w:p w14:paraId="3B2A011D" w14:textId="77777777" w:rsidR="00490D91" w:rsidRDefault="00490D91" w:rsidP="00490D91">
      <w:pPr>
        <w:pStyle w:val="Textbody"/>
        <w:spacing w:after="0" w:line="240" w:lineRule="auto"/>
        <w:ind w:firstLine="576"/>
        <w:jc w:val="both"/>
        <w:rPr>
          <w:color w:val="000000"/>
          <w:sz w:val="24"/>
          <w:szCs w:val="24"/>
        </w:rPr>
      </w:pPr>
      <w:r>
        <w:rPr>
          <w:color w:val="000000"/>
          <w:sz w:val="24"/>
          <w:szCs w:val="24"/>
        </w:rPr>
        <w:t>3. Do czasu rozpatrzenia skargi wstrzymane zostają czynności związane ze zbyciem nieruchomości.</w:t>
      </w:r>
    </w:p>
    <w:p w14:paraId="55799BF6" w14:textId="77777777" w:rsidR="00490D91" w:rsidRDefault="00490D91" w:rsidP="00490D91">
      <w:pPr>
        <w:pStyle w:val="Textbody"/>
        <w:spacing w:after="0" w:line="276" w:lineRule="auto"/>
        <w:ind w:firstLine="567"/>
        <w:jc w:val="both"/>
      </w:pPr>
    </w:p>
    <w:p w14:paraId="356111D2" w14:textId="77777777" w:rsidR="00490D91" w:rsidRDefault="00490D91" w:rsidP="00490D91">
      <w:r>
        <w:t>IW</w:t>
      </w:r>
    </w:p>
    <w:p w14:paraId="67F57CE1" w14:textId="77777777" w:rsidR="00490D91" w:rsidRDefault="00490D91" w:rsidP="00490D91"/>
    <w:p w14:paraId="4FC4AA8A" w14:textId="77777777" w:rsidR="00322989" w:rsidRPr="00322989" w:rsidRDefault="00322989" w:rsidP="00FD3381">
      <w:pPr>
        <w:spacing w:line="276" w:lineRule="auto"/>
        <w:rPr>
          <w:rFonts w:eastAsia="Times New Roman"/>
          <w:sz w:val="22"/>
          <w:szCs w:val="22"/>
        </w:rPr>
      </w:pPr>
      <w:r>
        <w:rPr>
          <w:rFonts w:eastAsia="Times New Roman"/>
        </w:rPr>
        <w:t xml:space="preserve">                                                                                </w:t>
      </w:r>
      <w:r>
        <w:rPr>
          <w:rFonts w:eastAsia="Times New Roman"/>
        </w:rPr>
        <w:tab/>
      </w:r>
    </w:p>
    <w:p w14:paraId="46CF5210" w14:textId="77777777" w:rsidR="00490D91" w:rsidRDefault="00490D91"/>
    <w:sectPr w:rsidR="00490D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HG Mincho Light J">
    <w:altName w:val="Times New Roman"/>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multilevel"/>
    <w:tmpl w:val="00000003"/>
    <w:name w:val="WWNum2"/>
    <w:lvl w:ilvl="0">
      <w:start w:val="1"/>
      <w:numFmt w:val="decimal"/>
      <w:lvlText w:val="%1)"/>
      <w:lvlJc w:val="left"/>
      <w:pPr>
        <w:tabs>
          <w:tab w:val="num" w:pos="0"/>
        </w:tabs>
        <w:ind w:left="786" w:hanging="360"/>
      </w:pPr>
      <w:rPr>
        <w:vertAlign w:val="superscript"/>
      </w:rPr>
    </w:lvl>
    <w:lvl w:ilvl="1">
      <w:start w:val="1"/>
      <w:numFmt w:val="lowerLetter"/>
      <w:lvlText w:val="%2."/>
      <w:lvlJc w:val="left"/>
      <w:pPr>
        <w:tabs>
          <w:tab w:val="num" w:pos="0"/>
        </w:tabs>
        <w:ind w:left="1506" w:hanging="360"/>
      </w:pPr>
    </w:lvl>
    <w:lvl w:ilvl="2">
      <w:start w:val="1"/>
      <w:numFmt w:val="lowerRoman"/>
      <w:lvlText w:val="%2.%3."/>
      <w:lvlJc w:val="right"/>
      <w:pPr>
        <w:tabs>
          <w:tab w:val="num" w:pos="0"/>
        </w:tabs>
        <w:ind w:left="2226" w:hanging="180"/>
      </w:pPr>
    </w:lvl>
    <w:lvl w:ilvl="3">
      <w:start w:val="1"/>
      <w:numFmt w:val="decimal"/>
      <w:lvlText w:val="%2.%3.%4."/>
      <w:lvlJc w:val="left"/>
      <w:pPr>
        <w:tabs>
          <w:tab w:val="num" w:pos="0"/>
        </w:tabs>
        <w:ind w:left="2946" w:hanging="360"/>
      </w:pPr>
    </w:lvl>
    <w:lvl w:ilvl="4">
      <w:start w:val="1"/>
      <w:numFmt w:val="lowerLetter"/>
      <w:lvlText w:val="%2.%3.%4.%5."/>
      <w:lvlJc w:val="left"/>
      <w:pPr>
        <w:tabs>
          <w:tab w:val="num" w:pos="0"/>
        </w:tabs>
        <w:ind w:left="3666" w:hanging="360"/>
      </w:pPr>
    </w:lvl>
    <w:lvl w:ilvl="5">
      <w:start w:val="1"/>
      <w:numFmt w:val="lowerRoman"/>
      <w:lvlText w:val="%2.%3.%4.%5.%6."/>
      <w:lvlJc w:val="right"/>
      <w:pPr>
        <w:tabs>
          <w:tab w:val="num" w:pos="0"/>
        </w:tabs>
        <w:ind w:left="4386" w:hanging="180"/>
      </w:pPr>
    </w:lvl>
    <w:lvl w:ilvl="6">
      <w:start w:val="1"/>
      <w:numFmt w:val="decimal"/>
      <w:lvlText w:val="%2.%3.%4.%5.%6.%7."/>
      <w:lvlJc w:val="left"/>
      <w:pPr>
        <w:tabs>
          <w:tab w:val="num" w:pos="0"/>
        </w:tabs>
        <w:ind w:left="5106" w:hanging="360"/>
      </w:pPr>
    </w:lvl>
    <w:lvl w:ilvl="7">
      <w:start w:val="1"/>
      <w:numFmt w:val="lowerLetter"/>
      <w:lvlText w:val="%2.%3.%4.%5.%6.%7.%8."/>
      <w:lvlJc w:val="left"/>
      <w:pPr>
        <w:tabs>
          <w:tab w:val="num" w:pos="0"/>
        </w:tabs>
        <w:ind w:left="5826" w:hanging="360"/>
      </w:pPr>
    </w:lvl>
    <w:lvl w:ilvl="8">
      <w:start w:val="1"/>
      <w:numFmt w:val="lowerRoman"/>
      <w:lvlText w:val="%2.%3.%4.%5.%6.%7.%8.%9."/>
      <w:lvlJc w:val="right"/>
      <w:pPr>
        <w:tabs>
          <w:tab w:val="num" w:pos="0"/>
        </w:tabs>
        <w:ind w:left="6546" w:hanging="180"/>
      </w:pPr>
    </w:lvl>
  </w:abstractNum>
  <w:abstractNum w:abstractNumId="2" w15:restartNumberingAfterBreak="0">
    <w:nsid w:val="24FB6CE0"/>
    <w:multiLevelType w:val="hybridMultilevel"/>
    <w:tmpl w:val="34DAF120"/>
    <w:lvl w:ilvl="0" w:tplc="E90067A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46805EC1"/>
    <w:multiLevelType w:val="hybridMultilevel"/>
    <w:tmpl w:val="3D020004"/>
    <w:lvl w:ilvl="0" w:tplc="F1CCC994">
      <w:start w:val="1"/>
      <w:numFmt w:val="decimal"/>
      <w:lvlText w:val="%1)"/>
      <w:lvlJc w:val="left"/>
      <w:pPr>
        <w:ind w:left="786" w:hanging="360"/>
      </w:pPr>
      <w:rPr>
        <w:vertAlign w:val="superscrip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 w15:restartNumberingAfterBreak="0">
    <w:nsid w:val="511273D0"/>
    <w:multiLevelType w:val="hybridMultilevel"/>
    <w:tmpl w:val="5A920202"/>
    <w:lvl w:ilvl="0" w:tplc="BD669F44">
      <w:start w:val="1"/>
      <w:numFmt w:val="decimal"/>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5" w15:restartNumberingAfterBreak="0">
    <w:nsid w:val="64113EC5"/>
    <w:multiLevelType w:val="hybridMultilevel"/>
    <w:tmpl w:val="77BE17E4"/>
    <w:lvl w:ilvl="0" w:tplc="E90067A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312"/>
    <w:rsid w:val="00001996"/>
    <w:rsid w:val="0002251C"/>
    <w:rsid w:val="0008161A"/>
    <w:rsid w:val="000875C3"/>
    <w:rsid w:val="000A0C53"/>
    <w:rsid w:val="000A62E9"/>
    <w:rsid w:val="000B2E9F"/>
    <w:rsid w:val="000B5DAF"/>
    <w:rsid w:val="000D01B8"/>
    <w:rsid w:val="000D49B2"/>
    <w:rsid w:val="000E0954"/>
    <w:rsid w:val="000F5C6F"/>
    <w:rsid w:val="00124D1A"/>
    <w:rsid w:val="00131AC4"/>
    <w:rsid w:val="001557C7"/>
    <w:rsid w:val="001A035D"/>
    <w:rsid w:val="001B05C0"/>
    <w:rsid w:val="001E5A87"/>
    <w:rsid w:val="001F5C0C"/>
    <w:rsid w:val="00211A88"/>
    <w:rsid w:val="0021656B"/>
    <w:rsid w:val="002326A2"/>
    <w:rsid w:val="00254030"/>
    <w:rsid w:val="00276386"/>
    <w:rsid w:val="00301C35"/>
    <w:rsid w:val="00322989"/>
    <w:rsid w:val="003813EF"/>
    <w:rsid w:val="003825EF"/>
    <w:rsid w:val="003857D0"/>
    <w:rsid w:val="003B50E8"/>
    <w:rsid w:val="003C28C0"/>
    <w:rsid w:val="004029EE"/>
    <w:rsid w:val="00417312"/>
    <w:rsid w:val="00457479"/>
    <w:rsid w:val="0048088B"/>
    <w:rsid w:val="004824D2"/>
    <w:rsid w:val="00490D91"/>
    <w:rsid w:val="004A795B"/>
    <w:rsid w:val="004B4E36"/>
    <w:rsid w:val="004B7975"/>
    <w:rsid w:val="004F16FC"/>
    <w:rsid w:val="005267F5"/>
    <w:rsid w:val="005F4D8C"/>
    <w:rsid w:val="00681273"/>
    <w:rsid w:val="006E7A86"/>
    <w:rsid w:val="00700044"/>
    <w:rsid w:val="0070724A"/>
    <w:rsid w:val="00714467"/>
    <w:rsid w:val="0079455F"/>
    <w:rsid w:val="007F4072"/>
    <w:rsid w:val="008019A9"/>
    <w:rsid w:val="00821A44"/>
    <w:rsid w:val="008B207A"/>
    <w:rsid w:val="008C7445"/>
    <w:rsid w:val="008E1FF7"/>
    <w:rsid w:val="008F0D5C"/>
    <w:rsid w:val="009464D3"/>
    <w:rsid w:val="00947329"/>
    <w:rsid w:val="0094772F"/>
    <w:rsid w:val="00963809"/>
    <w:rsid w:val="0098743B"/>
    <w:rsid w:val="009C6534"/>
    <w:rsid w:val="009E5F99"/>
    <w:rsid w:val="00A06257"/>
    <w:rsid w:val="00A13B1F"/>
    <w:rsid w:val="00A36F53"/>
    <w:rsid w:val="00A411C2"/>
    <w:rsid w:val="00A86D02"/>
    <w:rsid w:val="00AB66A9"/>
    <w:rsid w:val="00AD0A84"/>
    <w:rsid w:val="00AF1714"/>
    <w:rsid w:val="00B070FC"/>
    <w:rsid w:val="00B52336"/>
    <w:rsid w:val="00BA47C1"/>
    <w:rsid w:val="00C51449"/>
    <w:rsid w:val="00C5424A"/>
    <w:rsid w:val="00C72492"/>
    <w:rsid w:val="00C97579"/>
    <w:rsid w:val="00CB2196"/>
    <w:rsid w:val="00CB2C5F"/>
    <w:rsid w:val="00CC366C"/>
    <w:rsid w:val="00CD3A0A"/>
    <w:rsid w:val="00CD5283"/>
    <w:rsid w:val="00D05F30"/>
    <w:rsid w:val="00DB66F5"/>
    <w:rsid w:val="00E06681"/>
    <w:rsid w:val="00E25CE0"/>
    <w:rsid w:val="00E52B93"/>
    <w:rsid w:val="00ED0E07"/>
    <w:rsid w:val="00ED7125"/>
    <w:rsid w:val="00EE02E3"/>
    <w:rsid w:val="00EF26D2"/>
    <w:rsid w:val="00F43B4E"/>
    <w:rsid w:val="00F6129D"/>
    <w:rsid w:val="00F774DC"/>
    <w:rsid w:val="00FA200A"/>
    <w:rsid w:val="00FA56DA"/>
    <w:rsid w:val="00FB2709"/>
    <w:rsid w:val="00FD3381"/>
    <w:rsid w:val="00FD7C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E2293"/>
  <w15:chartTrackingRefBased/>
  <w15:docId w15:val="{5F4D5B7F-B3FA-4DF2-B5FD-57986E0E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7479"/>
    <w:pPr>
      <w:widowControl w:val="0"/>
      <w:suppressAutoHyphens/>
      <w:autoSpaceDN w:val="0"/>
      <w:spacing w:after="0" w:line="240" w:lineRule="auto"/>
    </w:pPr>
    <w:rPr>
      <w:rFonts w:ascii="Times New Roman" w:eastAsia="Lucida Sans Unicode" w:hAnsi="Times New Roman" w:cs="Times New Roman"/>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57479"/>
    <w:pPr>
      <w:widowControl/>
      <w:suppressAutoHyphens w:val="0"/>
      <w:autoSpaceDN/>
      <w:spacing w:before="100" w:beforeAutospacing="1" w:after="142" w:line="288" w:lineRule="auto"/>
    </w:pPr>
    <w:rPr>
      <w:rFonts w:eastAsia="Times New Roman"/>
      <w:kern w:val="0"/>
    </w:rPr>
  </w:style>
  <w:style w:type="paragraph" w:styleId="Tekstpodstawowy">
    <w:name w:val="Body Text"/>
    <w:basedOn w:val="Normalny"/>
    <w:link w:val="TekstpodstawowyZnak"/>
    <w:uiPriority w:val="99"/>
    <w:unhideWhenUsed/>
    <w:rsid w:val="00457479"/>
    <w:pPr>
      <w:spacing w:after="120"/>
    </w:pPr>
  </w:style>
  <w:style w:type="character" w:customStyle="1" w:styleId="TekstpodstawowyZnak">
    <w:name w:val="Tekst podstawowy Znak"/>
    <w:basedOn w:val="Domylnaczcionkaakapitu"/>
    <w:link w:val="Tekstpodstawowy"/>
    <w:uiPriority w:val="99"/>
    <w:rsid w:val="00457479"/>
    <w:rPr>
      <w:rFonts w:ascii="Times New Roman" w:eastAsia="Lucida Sans Unicode" w:hAnsi="Times New Roman" w:cs="Times New Roman"/>
      <w:kern w:val="3"/>
      <w:sz w:val="24"/>
      <w:szCs w:val="24"/>
      <w:lang w:eastAsia="pl-PL"/>
    </w:rPr>
  </w:style>
  <w:style w:type="paragraph" w:styleId="Tekstpodstawowy2">
    <w:name w:val="Body Text 2"/>
    <w:basedOn w:val="Normalny"/>
    <w:link w:val="Tekstpodstawowy2Znak"/>
    <w:uiPriority w:val="99"/>
    <w:semiHidden/>
    <w:unhideWhenUsed/>
    <w:rsid w:val="00457479"/>
  </w:style>
  <w:style w:type="character" w:customStyle="1" w:styleId="Tekstpodstawowy2Znak">
    <w:name w:val="Tekst podstawowy 2 Znak"/>
    <w:basedOn w:val="Domylnaczcionkaakapitu"/>
    <w:link w:val="Tekstpodstawowy2"/>
    <w:uiPriority w:val="99"/>
    <w:semiHidden/>
    <w:rsid w:val="00457479"/>
    <w:rPr>
      <w:rFonts w:ascii="Times New Roman" w:eastAsia="Lucida Sans Unicode" w:hAnsi="Times New Roman" w:cs="Times New Roman"/>
      <w:kern w:val="3"/>
      <w:sz w:val="24"/>
      <w:szCs w:val="24"/>
      <w:lang w:eastAsia="pl-PL"/>
    </w:rPr>
  </w:style>
  <w:style w:type="paragraph" w:styleId="Akapitzlist">
    <w:name w:val="List Paragraph"/>
    <w:basedOn w:val="Normalny"/>
    <w:uiPriority w:val="34"/>
    <w:qFormat/>
    <w:rsid w:val="00457479"/>
    <w:pPr>
      <w:widowControl/>
      <w:suppressAutoHyphens w:val="0"/>
      <w:autoSpaceDN/>
      <w:ind w:left="720"/>
      <w:contextualSpacing/>
    </w:pPr>
    <w:rPr>
      <w:rFonts w:eastAsia="Times New Roman"/>
      <w:kern w:val="0"/>
      <w:sz w:val="20"/>
      <w:szCs w:val="20"/>
    </w:rPr>
  </w:style>
  <w:style w:type="paragraph" w:customStyle="1" w:styleId="Textbody">
    <w:name w:val="Text body"/>
    <w:basedOn w:val="Normalny"/>
    <w:uiPriority w:val="99"/>
    <w:rsid w:val="00457479"/>
    <w:pPr>
      <w:widowControl/>
      <w:suppressAutoHyphens w:val="0"/>
      <w:spacing w:after="140" w:line="288" w:lineRule="auto"/>
    </w:pPr>
    <w:rPr>
      <w:rFonts w:eastAsia="Times New Roman"/>
      <w:kern w:val="0"/>
      <w:sz w:val="20"/>
      <w:szCs w:val="20"/>
    </w:rPr>
  </w:style>
  <w:style w:type="paragraph" w:customStyle="1" w:styleId="Nagwek11">
    <w:name w:val="Nagłówek 11"/>
    <w:basedOn w:val="Normalny"/>
    <w:next w:val="Normalny"/>
    <w:uiPriority w:val="99"/>
    <w:rsid w:val="00457479"/>
    <w:pPr>
      <w:keepNext/>
      <w:jc w:val="both"/>
      <w:outlineLvl w:val="0"/>
    </w:pPr>
  </w:style>
  <w:style w:type="paragraph" w:customStyle="1" w:styleId="Tekstpodstawowy31">
    <w:name w:val="Tekst podstawowy 31"/>
    <w:basedOn w:val="Normalny"/>
    <w:uiPriority w:val="99"/>
    <w:rsid w:val="00457479"/>
    <w:pPr>
      <w:ind w:right="-69"/>
      <w:jc w:val="both"/>
    </w:pPr>
    <w:rPr>
      <w:b/>
    </w:rPr>
  </w:style>
  <w:style w:type="paragraph" w:customStyle="1" w:styleId="Zawartotabeli">
    <w:name w:val="Zawarto?? tabeli"/>
    <w:basedOn w:val="Normalny"/>
    <w:uiPriority w:val="99"/>
    <w:rsid w:val="00457479"/>
    <w:pPr>
      <w:suppressLineNumbers/>
      <w:overflowPunct w:val="0"/>
      <w:autoSpaceDE w:val="0"/>
    </w:pPr>
    <w:rPr>
      <w:rFonts w:eastAsia="Times New Roman"/>
      <w:kern w:val="0"/>
      <w:szCs w:val="20"/>
    </w:rPr>
  </w:style>
  <w:style w:type="paragraph" w:customStyle="1" w:styleId="Tekstpodstawowy21">
    <w:name w:val="Tekst podstawowy 21"/>
    <w:basedOn w:val="Normalny"/>
    <w:uiPriority w:val="99"/>
    <w:rsid w:val="00457479"/>
    <w:pPr>
      <w:autoSpaceDN/>
    </w:pPr>
    <w:rPr>
      <w:kern w:val="2"/>
    </w:rPr>
  </w:style>
  <w:style w:type="paragraph" w:customStyle="1" w:styleId="WW-Zawartotabeli11">
    <w:name w:val="WW-Zawartość tabeli11"/>
    <w:basedOn w:val="Tekstpodstawowy"/>
    <w:uiPriority w:val="99"/>
    <w:rsid w:val="00457479"/>
    <w:pPr>
      <w:widowControl/>
      <w:suppressLineNumbers/>
      <w:autoSpaceDN/>
      <w:spacing w:after="0" w:line="360" w:lineRule="auto"/>
      <w:jc w:val="center"/>
    </w:pPr>
    <w:rPr>
      <w:rFonts w:eastAsia="Times New Roman"/>
      <w:b/>
      <w:kern w:val="0"/>
      <w:szCs w:val="20"/>
      <w:lang w:bidi="pl-PL"/>
    </w:rPr>
  </w:style>
  <w:style w:type="paragraph" w:customStyle="1" w:styleId="Tretekstu">
    <w:name w:val="Treść tekstu"/>
    <w:basedOn w:val="Normalny"/>
    <w:uiPriority w:val="99"/>
    <w:semiHidden/>
    <w:rsid w:val="00457479"/>
    <w:pPr>
      <w:widowControl/>
      <w:suppressAutoHyphens w:val="0"/>
      <w:autoSpaceDN/>
      <w:jc w:val="both"/>
    </w:pPr>
    <w:rPr>
      <w:rFonts w:asciiTheme="minorHAnsi" w:eastAsiaTheme="minorHAnsi" w:hAnsiTheme="minorHAnsi" w:cstheme="minorBidi"/>
      <w:kern w:val="0"/>
      <w:szCs w:val="22"/>
      <w:lang w:eastAsia="en-US"/>
    </w:rPr>
  </w:style>
  <w:style w:type="character" w:customStyle="1" w:styleId="alb">
    <w:name w:val="a_lb"/>
    <w:basedOn w:val="Domylnaczcionkaakapitu"/>
    <w:rsid w:val="00457479"/>
  </w:style>
  <w:style w:type="paragraph" w:customStyle="1" w:styleId="Akapitzlist1">
    <w:name w:val="Akapit z listą1"/>
    <w:basedOn w:val="Normalny"/>
    <w:rsid w:val="0079455F"/>
    <w:pPr>
      <w:widowControl/>
      <w:suppressAutoHyphens w:val="0"/>
      <w:autoSpaceDN/>
      <w:ind w:left="720"/>
    </w:pPr>
    <w:rPr>
      <w:rFonts w:eastAsia="Times New Roman"/>
      <w:kern w:val="1"/>
      <w:sz w:val="20"/>
      <w:szCs w:val="20"/>
    </w:rPr>
  </w:style>
  <w:style w:type="paragraph" w:styleId="Tekstdymka">
    <w:name w:val="Balloon Text"/>
    <w:basedOn w:val="Normalny"/>
    <w:link w:val="TekstdymkaZnak"/>
    <w:uiPriority w:val="99"/>
    <w:semiHidden/>
    <w:unhideWhenUsed/>
    <w:rsid w:val="0079455F"/>
    <w:rPr>
      <w:rFonts w:ascii="Segoe UI" w:hAnsi="Segoe UI" w:cs="Segoe UI"/>
      <w:sz w:val="18"/>
      <w:szCs w:val="18"/>
    </w:rPr>
  </w:style>
  <w:style w:type="character" w:customStyle="1" w:styleId="TekstdymkaZnak">
    <w:name w:val="Tekst dymka Znak"/>
    <w:basedOn w:val="Domylnaczcionkaakapitu"/>
    <w:link w:val="Tekstdymka"/>
    <w:uiPriority w:val="99"/>
    <w:semiHidden/>
    <w:rsid w:val="0079455F"/>
    <w:rPr>
      <w:rFonts w:ascii="Segoe UI" w:eastAsia="Lucida Sans Unicode" w:hAnsi="Segoe UI" w:cs="Segoe UI"/>
      <w:kern w:val="3"/>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6798291">
      <w:bodyDiv w:val="1"/>
      <w:marLeft w:val="0"/>
      <w:marRight w:val="0"/>
      <w:marTop w:val="0"/>
      <w:marBottom w:val="0"/>
      <w:divBdr>
        <w:top w:val="none" w:sz="0" w:space="0" w:color="auto"/>
        <w:left w:val="none" w:sz="0" w:space="0" w:color="auto"/>
        <w:bottom w:val="none" w:sz="0" w:space="0" w:color="auto"/>
        <w:right w:val="none" w:sz="0" w:space="0" w:color="auto"/>
      </w:divBdr>
    </w:div>
    <w:div w:id="144507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4F028-B43D-44FD-A928-C638AE34E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2473</Words>
  <Characters>14843</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i.wieckowska</dc:creator>
  <cp:keywords/>
  <dc:description/>
  <cp:lastModifiedBy>Sekretariat_2</cp:lastModifiedBy>
  <cp:revision>5</cp:revision>
  <cp:lastPrinted>2024-07-17T10:36:00Z</cp:lastPrinted>
  <dcterms:created xsi:type="dcterms:W3CDTF">2024-07-17T10:21:00Z</dcterms:created>
  <dcterms:modified xsi:type="dcterms:W3CDTF">2024-07-31T10:53:00Z</dcterms:modified>
</cp:coreProperties>
</file>