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46C" w14:textId="1DDCFE45" w:rsidR="00237AF1" w:rsidRPr="00237AF1" w:rsidRDefault="00237AF1" w:rsidP="00237AF1">
      <w:pPr>
        <w:spacing w:line="24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ab/>
      </w:r>
      <w:r w:rsidR="006450BC">
        <w:rPr>
          <w:rFonts w:ascii="Times New Roman" w:hAnsi="Times New Roman" w:cs="Times New Roman"/>
        </w:rPr>
        <w:tab/>
      </w:r>
      <w:r w:rsidR="006450BC">
        <w:rPr>
          <w:rFonts w:ascii="Times New Roman" w:hAnsi="Times New Roman" w:cs="Times New Roman"/>
        </w:rPr>
        <w:tab/>
      </w:r>
      <w:r w:rsidRPr="00237AF1">
        <w:rPr>
          <w:rFonts w:ascii="Times New Roman" w:hAnsi="Times New Roman" w:cs="Times New Roman"/>
        </w:rPr>
        <w:t xml:space="preserve">Toruń, </w:t>
      </w:r>
      <w:r w:rsidR="006450BC">
        <w:rPr>
          <w:rFonts w:ascii="Times New Roman" w:hAnsi="Times New Roman" w:cs="Times New Roman"/>
        </w:rPr>
        <w:t>3</w:t>
      </w:r>
      <w:r w:rsidR="00E35052">
        <w:rPr>
          <w:rFonts w:ascii="Times New Roman" w:hAnsi="Times New Roman" w:cs="Times New Roman"/>
        </w:rPr>
        <w:t>0</w:t>
      </w:r>
      <w:r w:rsidR="006450BC">
        <w:rPr>
          <w:rFonts w:ascii="Times New Roman" w:hAnsi="Times New Roman" w:cs="Times New Roman"/>
        </w:rPr>
        <w:t xml:space="preserve"> lipca </w:t>
      </w:r>
      <w:r w:rsidRPr="00237AF1">
        <w:rPr>
          <w:rFonts w:ascii="Times New Roman" w:hAnsi="Times New Roman" w:cs="Times New Roman"/>
        </w:rPr>
        <w:t xml:space="preserve"> 2024 r.</w:t>
      </w:r>
    </w:p>
    <w:p w14:paraId="42E95416" w14:textId="77777777" w:rsidR="00237AF1" w:rsidRPr="00237AF1" w:rsidRDefault="00237AF1" w:rsidP="00237AF1">
      <w:pPr>
        <w:spacing w:line="24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WZiPS.0056.3.2.</w:t>
      </w:r>
      <w:r w:rsidR="0070438E">
        <w:rPr>
          <w:rFonts w:ascii="Times New Roman" w:hAnsi="Times New Roman" w:cs="Times New Roman"/>
        </w:rPr>
        <w:t>2</w:t>
      </w:r>
      <w:r w:rsidRPr="00237AF1">
        <w:rPr>
          <w:rFonts w:ascii="Times New Roman" w:hAnsi="Times New Roman" w:cs="Times New Roman"/>
        </w:rPr>
        <w:t>.2024</w:t>
      </w:r>
    </w:p>
    <w:p w14:paraId="0C4BBA52" w14:textId="77777777" w:rsidR="00237AF1" w:rsidRPr="00237AF1" w:rsidRDefault="00237AF1" w:rsidP="00237AF1">
      <w:pPr>
        <w:spacing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r w:rsidRPr="00237AF1">
        <w:rPr>
          <w:rFonts w:ascii="Times New Roman" w:hAnsi="Times New Roman" w:cs="Times New Roman"/>
          <w:b/>
          <w:u w:val="single"/>
        </w:rPr>
        <w:t>Zapytanie ofertowe</w:t>
      </w:r>
    </w:p>
    <w:p w14:paraId="50378599" w14:textId="77777777" w:rsidR="00237AF1" w:rsidRPr="00237AF1" w:rsidRDefault="00237AF1" w:rsidP="00237AF1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37AF1">
        <w:rPr>
          <w:rFonts w:ascii="Times New Roman" w:hAnsi="Times New Roman" w:cs="Times New Roman"/>
        </w:rPr>
        <w:tab/>
      </w:r>
      <w:r w:rsidRPr="00237AF1">
        <w:rPr>
          <w:rFonts w:ascii="Times New Roman" w:eastAsia="Times New Roman" w:hAnsi="Times New Roman" w:cs="Times New Roman"/>
          <w:lang w:eastAsia="zh-CN"/>
        </w:rPr>
        <w:t>Wydział Zdrowia i Polityki Społecznej Urzędu Miasta Torunia zaprasza do składania ofert</w:t>
      </w:r>
      <w:r w:rsidRPr="00237AF1">
        <w:rPr>
          <w:rFonts w:ascii="Times New Roman" w:eastAsia="Times New Roman" w:hAnsi="Times New Roman" w:cs="Times New Roman"/>
          <w:bCs/>
          <w:lang w:eastAsia="zh-CN"/>
        </w:rPr>
        <w:t xml:space="preserve"> na dostawę z montażem zewnętrznego wolnostojącego defibrylatora AED wraz z szafką lub kapsułą do jego przechowywania.</w:t>
      </w:r>
    </w:p>
    <w:p w14:paraId="7D0D260E" w14:textId="77777777" w:rsidR="00237AF1" w:rsidRPr="00237AF1" w:rsidRDefault="00237AF1" w:rsidP="00237A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lang w:eastAsia="zh-CN"/>
        </w:rPr>
        <w:t>Postępowanie prowadzone na podstawie Zarządzenia nr</w:t>
      </w:r>
      <w:r w:rsidRPr="00237AF1">
        <w:rPr>
          <w:rFonts w:ascii="Times New Roman" w:eastAsia="Times New Roman" w:hAnsi="Times New Roman" w:cs="Times New Roman"/>
          <w:lang w:eastAsia="pl-PL"/>
        </w:rPr>
        <w:t xml:space="preserve"> 92/2024 Prezydenta Miasta Torunia </w:t>
      </w:r>
      <w:r w:rsidRPr="00237AF1">
        <w:rPr>
          <w:rFonts w:ascii="Times New Roman" w:eastAsia="Times New Roman" w:hAnsi="Times New Roman" w:cs="Times New Roman"/>
          <w:lang w:eastAsia="pl-PL"/>
        </w:rPr>
        <w:br/>
        <w:t>z dnia 23.05.2024 r., w sprawie zasad udzielania zamówień publicznych w Urzędzie Miasta Torunia, których wartość nie przekracza 130 000,00 zł netto.</w:t>
      </w:r>
    </w:p>
    <w:p w14:paraId="7C79E15E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CEL I PRZEDMIOT ZAMÓWIENIA</w:t>
      </w:r>
    </w:p>
    <w:p w14:paraId="6AC7BDC5" w14:textId="77777777" w:rsidR="00237AF1" w:rsidRPr="00237AF1" w:rsidRDefault="00237AF1" w:rsidP="00237AF1">
      <w:pPr>
        <w:widowControl w:val="0"/>
        <w:spacing w:after="20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Celem zamówienia będzie wykonanie usługi polegającej na dostawie z montażem defibrylatora AED  z szafką zewnętrzną lub kapsułą i stojakiem/standem </w:t>
      </w:r>
      <w:r w:rsidRPr="00237AF1">
        <w:rPr>
          <w:rFonts w:ascii="Times New Roman" w:eastAsia="Times New Roman" w:hAnsi="Times New Roman" w:cs="Times New Roman"/>
          <w:bCs/>
          <w:lang w:eastAsia="zh-CN"/>
        </w:rPr>
        <w:t xml:space="preserve">zgodnie z obowiązującymi przepisami prawa i wytycznymi, szczegółowy opis przedmiotu zamówienia stanowi załącznik nr 1.  </w:t>
      </w:r>
    </w:p>
    <w:p w14:paraId="0BC81AB1" w14:textId="77777777" w:rsidR="00237AF1" w:rsidRPr="00237AF1" w:rsidRDefault="00237AF1" w:rsidP="00237AF1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 w:rsidRPr="00237AF1">
        <w:rPr>
          <w:rFonts w:ascii="Times New Roman" w:eastAsiaTheme="majorEastAsia" w:hAnsi="Times New Roman" w:cs="Times New Roman"/>
          <w:b/>
          <w:i/>
        </w:rPr>
        <w:t>Kod CPV 33182100-0</w:t>
      </w:r>
    </w:p>
    <w:p w14:paraId="16B4AFFA" w14:textId="77777777" w:rsidR="00237AF1" w:rsidRPr="00237AF1" w:rsidRDefault="00237AF1" w:rsidP="00237AF1">
      <w:pPr>
        <w:numPr>
          <w:ilvl w:val="0"/>
          <w:numId w:val="3"/>
        </w:numPr>
        <w:tabs>
          <w:tab w:val="left" w:pos="440"/>
          <w:tab w:val="right" w:leader="dot" w:pos="90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SPECYFIKACJA PRZEDMIOTU ZAMÓWIENIA</w:t>
      </w:r>
    </w:p>
    <w:p w14:paraId="2CCFBBB9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Automatyczny defibrylator AED.</w:t>
      </w:r>
    </w:p>
    <w:p w14:paraId="386180FF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Uniwersalne elektrody (dla dzieci i dorosłych).</w:t>
      </w:r>
    </w:p>
    <w:p w14:paraId="0F9E99D8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Bateria o wydłużonej trwałości (min. 48 miesięcy).</w:t>
      </w:r>
    </w:p>
    <w:p w14:paraId="5280B9D3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Torba transportowa.</w:t>
      </w:r>
    </w:p>
    <w:p w14:paraId="2F65C2FF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Instrukcja użytkowania w języku polskim.</w:t>
      </w:r>
    </w:p>
    <w:p w14:paraId="6DF68754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Szafka zewnętrzna lub kapsuła zewnętrzna, zamykana, wyposażona w alarm, odporna na warunki atmosferyczne.</w:t>
      </w:r>
    </w:p>
    <w:p w14:paraId="25B2816D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Worek </w:t>
      </w:r>
      <w:proofErr w:type="spellStart"/>
      <w:r w:rsidRPr="00237AF1">
        <w:rPr>
          <w:rFonts w:ascii="Times New Roman" w:hAnsi="Times New Roman" w:cs="Times New Roman"/>
        </w:rPr>
        <w:t>ambu</w:t>
      </w:r>
      <w:proofErr w:type="spellEnd"/>
      <w:r w:rsidRPr="00237AF1">
        <w:rPr>
          <w:rFonts w:ascii="Times New Roman" w:hAnsi="Times New Roman" w:cs="Times New Roman"/>
        </w:rPr>
        <w:t xml:space="preserve"> do resuscytacji.</w:t>
      </w:r>
    </w:p>
    <w:p w14:paraId="4C1BF941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eastAsia="Times New Roman" w:hAnsi="Times New Roman" w:cs="Times New Roman"/>
          <w:lang w:eastAsia="pl-PL"/>
        </w:rPr>
        <w:t xml:space="preserve">Zestaw ochronny stanowiący zabezpieczenie osoby udzielającej pierwszej pomocy </w:t>
      </w:r>
      <w:r w:rsidRPr="00237AF1">
        <w:rPr>
          <w:rFonts w:ascii="Times New Roman" w:eastAsia="Times New Roman" w:hAnsi="Times New Roman" w:cs="Times New Roman"/>
          <w:lang w:eastAsia="pl-PL"/>
        </w:rPr>
        <w:br/>
        <w:t>wg najnowszych wytycznych ERC. Zawierający maski, nożyczki, golarkę i rękawiczki</w:t>
      </w:r>
    </w:p>
    <w:p w14:paraId="68361777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237AF1">
        <w:rPr>
          <w:rFonts w:ascii="Times New Roman" w:eastAsia="Times New Roman" w:hAnsi="Times New Roman" w:cs="Times New Roman"/>
          <w:iCs/>
          <w:lang w:eastAsia="pl-PL"/>
        </w:rPr>
        <w:t>Autoryzowany serwis producenta na terenie Polski.</w:t>
      </w:r>
    </w:p>
    <w:p w14:paraId="7E2F1CCC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Stand/stojak.</w:t>
      </w:r>
    </w:p>
    <w:p w14:paraId="7070C5E0" w14:textId="77777777" w:rsidR="00237AF1" w:rsidRPr="00237AF1" w:rsidRDefault="00237AF1" w:rsidP="00237A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Tablica informacyjna z instrukcją obsługi.</w:t>
      </w:r>
    </w:p>
    <w:p w14:paraId="316427AC" w14:textId="77777777" w:rsidR="00237AF1" w:rsidRPr="00237AF1" w:rsidRDefault="00237AF1" w:rsidP="00237AF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A52D0B7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SPECYFIKACJA OBLIGATORYJNA</w:t>
      </w:r>
    </w:p>
    <w:p w14:paraId="061DF784" w14:textId="77777777"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Defibrylator AED musi:</w:t>
      </w:r>
    </w:p>
    <w:p w14:paraId="46AD402B" w14:textId="77777777"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fabrycznie nowy;</w:t>
      </w:r>
    </w:p>
    <w:p w14:paraId="7F839AD1" w14:textId="77777777" w:rsidR="00237AF1" w:rsidRPr="00237AF1" w:rsidRDefault="00237AF1" w:rsidP="00237A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F1">
        <w:rPr>
          <w:rFonts w:ascii="Times New Roman" w:eastAsia="Times New Roman" w:hAnsi="Times New Roman" w:cs="Times New Roman"/>
          <w:lang w:eastAsia="pl-PL"/>
        </w:rPr>
        <w:t xml:space="preserve">prosty w obsłudze, </w:t>
      </w:r>
      <w:r w:rsidRPr="00237AF1">
        <w:rPr>
          <w:rFonts w:ascii="Times New Roman" w:hAnsi="Times New Roman" w:cs="Times New Roman"/>
        </w:rPr>
        <w:t>pozbawiony blokad serwisowych z unikatowym numerem seryjnym ułatwiającym jego namierzenie w razie kradzieży,</w:t>
      </w:r>
      <w:r w:rsidRPr="00237AF1">
        <w:rPr>
          <w:rFonts w:ascii="Times New Roman" w:eastAsia="Times New Roman" w:hAnsi="Times New Roman" w:cs="Times New Roman"/>
          <w:lang w:eastAsia="pl-PL"/>
        </w:rPr>
        <w:t xml:space="preserve"> umożliwiający w sytuacji zagrożenia życia szybką i zdecydowaną reakcję;</w:t>
      </w:r>
    </w:p>
    <w:p w14:paraId="76D74506" w14:textId="77777777"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pl-PL"/>
        </w:rPr>
        <w:t>posiadać deklarację zgodności CE zgodną z dyrektywą medyczną 93/42/EEC, PN-EN 60601 lub równoważne;</w:t>
      </w:r>
    </w:p>
    <w:p w14:paraId="3B7FF62F" w14:textId="77777777"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pl-PL"/>
        </w:rPr>
        <w:t>mieć możliwość stosowania zarówno u dorosłych jak i u dzieci;</w:t>
      </w:r>
    </w:p>
    <w:p w14:paraId="37143E6B" w14:textId="77777777"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pl-PL"/>
        </w:rPr>
        <w:t xml:space="preserve">być wyposażony w nową </w:t>
      </w:r>
      <w:r w:rsidRPr="00237AF1">
        <w:rPr>
          <w:rFonts w:ascii="Times New Roman" w:eastAsia="Times New Roman" w:hAnsi="Times New Roman" w:cs="Times New Roman"/>
          <w:iCs/>
          <w:lang w:eastAsia="pl-PL"/>
        </w:rPr>
        <w:t>oryginalną baterię producenta; nieładowalną, o okresie żywotności po podłączeniu do urządzenia min. 48 miesięcy w stanie spoczynku;</w:t>
      </w:r>
    </w:p>
    <w:p w14:paraId="1EAB6471" w14:textId="77777777" w:rsidR="00237AF1" w:rsidRPr="00237AF1" w:rsidRDefault="00237AF1" w:rsidP="00237AF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być wyposażony w elektrody dla dorosłych i dla dzieci,</w:t>
      </w:r>
      <w:r w:rsidR="00CD2EFA">
        <w:rPr>
          <w:rFonts w:ascii="Times New Roman" w:eastAsia="Times New Roman" w:hAnsi="Times New Roman" w:cs="Times New Roman"/>
          <w:lang w:eastAsia="zh-CN"/>
        </w:rPr>
        <w:t xml:space="preserve"> lub elementy uniwersalne</w:t>
      </w:r>
      <w:r w:rsidR="00CD2EFA">
        <w:rPr>
          <w:rFonts w:ascii="Times New Roman" w:eastAsia="Times New Roman" w:hAnsi="Times New Roman" w:cs="Times New Roman"/>
          <w:lang w:eastAsia="zh-CN"/>
        </w:rPr>
        <w:br/>
      </w:r>
      <w:r w:rsidRPr="00237AF1">
        <w:rPr>
          <w:rFonts w:ascii="Times New Roman" w:eastAsia="Times New Roman" w:hAnsi="Times New Roman" w:cs="Times New Roman"/>
          <w:lang w:eastAsia="zh-CN"/>
        </w:rPr>
        <w:t xml:space="preserve"> o okresie przydatności min. 24 miesiące.</w:t>
      </w:r>
    </w:p>
    <w:p w14:paraId="30390729" w14:textId="77777777"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Szafka/kapsuła musi:</w:t>
      </w:r>
    </w:p>
    <w:p w14:paraId="16D48E02" w14:textId="77777777" w:rsidR="00237AF1" w:rsidRPr="00237AF1" w:rsidRDefault="00237AF1" w:rsidP="00237AF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być odporna na warunki atmosferyczne;</w:t>
      </w:r>
    </w:p>
    <w:p w14:paraId="73589B98" w14:textId="77777777" w:rsidR="00237AF1" w:rsidRPr="00237AF1" w:rsidRDefault="00237AF1" w:rsidP="00237AF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posiadać system ogrzewania i chłodzenia.</w:t>
      </w:r>
    </w:p>
    <w:p w14:paraId="29561141" w14:textId="77777777"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Defibrylator AED z szafką/kapsułą i stojakiem muszą wyglądać estetycznie i spójnie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z otoczeniem.</w:t>
      </w:r>
    </w:p>
    <w:p w14:paraId="65E0A7FA" w14:textId="77777777"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Montaż urządzenia nie może wpłynąć negatywnie wygląd miejsca wskazanego, jako miejsce montażu.</w:t>
      </w:r>
    </w:p>
    <w:p w14:paraId="769918F4" w14:textId="77777777" w:rsidR="00237AF1" w:rsidRPr="00237AF1" w:rsidRDefault="00237AF1" w:rsidP="00237AF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Tablice informacyjne muszą zawierać herb miasta Torunia i zostać zatwierdzone przez Zamawiającego.</w:t>
      </w:r>
    </w:p>
    <w:p w14:paraId="6A5F417F" w14:textId="77777777" w:rsidR="00237AF1" w:rsidRPr="00237AF1" w:rsidRDefault="00237AF1" w:rsidP="00237AF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6360A4E3" w14:textId="77777777" w:rsidR="00237AF1" w:rsidRPr="00237AF1" w:rsidRDefault="00237AF1" w:rsidP="00237AF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0DA28D0F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>INFORMACJE DODATKOWE</w:t>
      </w:r>
    </w:p>
    <w:p w14:paraId="300A1DD7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Wymagania dotyczące Wykonawcy:</w:t>
      </w:r>
    </w:p>
    <w:p w14:paraId="0F278D16" w14:textId="77777777"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Wykonawca, odpowiedzialny będzie za należyte, w szczególności terminowe wykonanie zamówienia, a także zapewnienie ochrony gwarancyjnej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i serwisowej;</w:t>
      </w:r>
    </w:p>
    <w:p w14:paraId="7B5C3F82" w14:textId="77777777"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 odpowiedzialny jest za jakość, zgodność z warunkami technicznymi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i jakościowymi określonymi dla przedmiotu zamówienia do czasu wygaśnięcia zobowiązań Wykonawcy wobec Zamawiającego;</w:t>
      </w:r>
    </w:p>
    <w:p w14:paraId="1CFD591D" w14:textId="77777777" w:rsidR="00237AF1" w:rsidRPr="00237AF1" w:rsidRDefault="00237AF1" w:rsidP="00237A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Wykonawca zobowiązuje się, że numer rachunku podany na fakturze VAT będzie rachunkiem ujawnionym w wykazie podmiotów prowadzonych przez Szefa Krajowej Administracji Skarbowej (na tzw. białej liście);</w:t>
      </w:r>
    </w:p>
    <w:p w14:paraId="3E505CD1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zastrzega sobie prawo unieważnienia postępowania oraz zastrzega sobie prawo do nie wybrania żadnego Wykonawcy, bez podania przyczyny. </w:t>
      </w:r>
    </w:p>
    <w:p w14:paraId="2C058901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Wykonawcy, których oferty nie zostaną wybrane, nie mogą zgłaszać żadnych roszczeń względem Zamawiającego z tytułu złożenia swojej oferty cenowej. </w:t>
      </w:r>
    </w:p>
    <w:p w14:paraId="6B65C55A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nie dokonuje zwrotu jakichkolwiek należności z tytułu kosztów sporządzenia oferty. </w:t>
      </w:r>
    </w:p>
    <w:p w14:paraId="3A50ED4E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Zamawiający zastrzega sobie prawo, że przypadku, gdy nie można będzie dokonać wyboru oferty najkorzystniejszej ze względu na to, że złożone oferty przedstawiają taki sam bilans </w:t>
      </w:r>
      <w:r w:rsidR="00453A39">
        <w:rPr>
          <w:rFonts w:ascii="Times New Roman" w:eastAsia="Times New Roman" w:hAnsi="Times New Roman" w:cs="Times New Roman"/>
          <w:lang w:eastAsia="zh-CN"/>
        </w:rPr>
        <w:t>punktowy</w:t>
      </w:r>
      <w:r w:rsidRPr="00237AF1">
        <w:rPr>
          <w:rFonts w:ascii="Times New Roman" w:eastAsia="Times New Roman" w:hAnsi="Times New Roman" w:cs="Times New Roman"/>
          <w:lang w:eastAsia="zh-CN"/>
        </w:rPr>
        <w:t xml:space="preserve">, Zamawiający wezwie Wykonawców, którzy złożyli te oferty, do złożenia </w:t>
      </w:r>
      <w:r w:rsidRPr="00237AF1">
        <w:rPr>
          <w:rFonts w:ascii="Times New Roman" w:eastAsia="Times New Roman" w:hAnsi="Times New Roman" w:cs="Times New Roman"/>
          <w:lang w:eastAsia="zh-CN"/>
        </w:rPr>
        <w:br/>
        <w:t>w terminie określonym przez Zamawiającego ofert dodatkowych.</w:t>
      </w:r>
    </w:p>
    <w:p w14:paraId="4DAC9A7C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71AF5605" w14:textId="77777777" w:rsidR="00237AF1" w:rsidRPr="00237AF1" w:rsidRDefault="00237AF1" w:rsidP="00237AF1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F1">
        <w:rPr>
          <w:rFonts w:ascii="Times New Roman" w:eastAsia="Times New Roman" w:hAnsi="Times New Roman" w:cs="Times New Roman"/>
          <w:lang w:eastAsia="pl-PL"/>
        </w:rPr>
        <w:t>Zamawiaj</w:t>
      </w:r>
      <w:r w:rsidRPr="00237AF1">
        <w:rPr>
          <w:rFonts w:ascii="Times New Roman" w:eastAsia="TimesNewRoman" w:hAnsi="Times New Roman" w:cs="Times New Roman"/>
          <w:lang w:eastAsia="pl-PL"/>
        </w:rPr>
        <w:t>ą</w:t>
      </w:r>
      <w:r w:rsidRPr="00237AF1">
        <w:rPr>
          <w:rFonts w:ascii="Times New Roman" w:eastAsia="Times New Roman" w:hAnsi="Times New Roman" w:cs="Times New Roman"/>
          <w:lang w:eastAsia="pl-PL"/>
        </w:rPr>
        <w:t>cy nie dopuszcza możliwości składania ofert częściowych.</w:t>
      </w:r>
    </w:p>
    <w:p w14:paraId="6E83E8E3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Theme="majorEastAsia" w:hAnsi="Times New Roman" w:cs="Times New Roman"/>
        </w:rPr>
        <w:t>Zamawiający nie dopuszcza możliwości składania ofert wariantowych.</w:t>
      </w:r>
    </w:p>
    <w:p w14:paraId="558A3C08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Wskazanie w Formularzu ofertowym czasu przydatności baterii lub elektrod musi być wyrażone w miesiącach.</w:t>
      </w:r>
    </w:p>
    <w:p w14:paraId="332DEA94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 xml:space="preserve">Wykonawca zobowiązany jest do uzasadnienia rozwiązań równoważnych z podaniem parametrów i opisu. </w:t>
      </w:r>
    </w:p>
    <w:p w14:paraId="038D0A48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TE17FFBD0t00" w:hAnsi="Times New Roman" w:cs="Times New Roman"/>
        </w:rPr>
        <w:t>W postępowaniu o udzielenie zamówienia komunikacja między Zamawiającym a Wykonawcą odbywa się przy użyciu poczty elektronicznej (</w:t>
      </w:r>
      <w:hyperlink r:id="rId7" w:history="1">
        <w:r w:rsidRPr="00237AF1">
          <w:rPr>
            <w:rFonts w:ascii="Times New Roman" w:eastAsia="TTE17FFBD0t00" w:hAnsi="Times New Roman" w:cs="Times New Roman"/>
            <w:color w:val="0563C1" w:themeColor="hyperlink"/>
            <w:u w:val="single"/>
          </w:rPr>
          <w:t>wzips@um.torun.pl</w:t>
        </w:r>
      </w:hyperlink>
      <w:r w:rsidRPr="00237AF1">
        <w:rPr>
          <w:rFonts w:ascii="Times New Roman" w:eastAsia="TTE17FFBD0t00" w:hAnsi="Times New Roman" w:cs="Times New Roman"/>
        </w:rPr>
        <w:t>).</w:t>
      </w:r>
    </w:p>
    <w:p w14:paraId="54D02FD1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Wykonawca może przed upływem terminu do składania ofert zmienić lub wycofać złożoną przez siebie ofertę.</w:t>
      </w:r>
    </w:p>
    <w:p w14:paraId="51C73F97" w14:textId="77777777" w:rsidR="00237AF1" w:rsidRPr="00237AF1" w:rsidRDefault="00237AF1" w:rsidP="00237AF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Wykonawca ma prawo złożyć tylko jedną ofertę. Oferty wykonawcy, który przedłoży więcej niż jedną ofertę, zostaną odrzucone.</w:t>
      </w:r>
    </w:p>
    <w:p w14:paraId="63DF5573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9DE1591" w14:textId="77777777" w:rsidR="00237AF1" w:rsidRPr="00237AF1" w:rsidRDefault="00237AF1" w:rsidP="00237AF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t xml:space="preserve">KRYTERIA WYBORU NAJKORZYSTNIEJSZEJ OFERTY </w:t>
      </w:r>
    </w:p>
    <w:p w14:paraId="27EE07A9" w14:textId="77777777" w:rsidR="00237AF1" w:rsidRPr="00237AF1" w:rsidRDefault="00237AF1" w:rsidP="00237A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lang w:eastAsia="zh-CN"/>
        </w:rPr>
      </w:pPr>
    </w:p>
    <w:p w14:paraId="71A8A9C5" w14:textId="77777777" w:rsidR="00237AF1" w:rsidRPr="00237AF1" w:rsidRDefault="00237AF1" w:rsidP="00237A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Lucida Sans Unicode" w:hAnsi="Times New Roman" w:cs="Times New Roman"/>
          <w:lang w:eastAsia="zh-CN"/>
        </w:rPr>
        <w:t>Przy wyborze oferty Zamawiający będzie kierował się następującymi kryteriami i ich wagą:</w:t>
      </w:r>
    </w:p>
    <w:p w14:paraId="6E85E06D" w14:textId="77777777" w:rsidR="00237AF1" w:rsidRPr="00237AF1" w:rsidRDefault="00237AF1" w:rsidP="00237AF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Kryteria:</w:t>
      </w:r>
    </w:p>
    <w:p w14:paraId="20FFAB2A" w14:textId="77777777"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37AF1">
        <w:rPr>
          <w:rFonts w:ascii="Times New Roman" w:eastAsia="Calibri" w:hAnsi="Times New Roman" w:cs="Times New Roman"/>
          <w:lang w:eastAsia="zh-CN"/>
        </w:rPr>
        <w:t>cena – 50% punktów:</w:t>
      </w:r>
    </w:p>
    <w:p w14:paraId="0B561D96" w14:textId="77777777"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01B9C73B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najniższa oferowana cena spośród</w:t>
      </w:r>
    </w:p>
    <w:p w14:paraId="4F1CDDB4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                złożonych ofert</w:t>
      </w:r>
    </w:p>
    <w:p w14:paraId="21720FDF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cena oferty = ----------------------------------------------------  x  100 pkt x znaczenie kryterium tj. 50 %</w:t>
      </w:r>
    </w:p>
    <w:p w14:paraId="2FD7A173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            cena oferty badanej</w:t>
      </w:r>
    </w:p>
    <w:p w14:paraId="7E597E88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4A582BBB" w14:textId="77777777" w:rsidR="00237AF1" w:rsidRPr="00237AF1" w:rsidRDefault="00237AF1" w:rsidP="00237AF1">
      <w:pPr>
        <w:tabs>
          <w:tab w:val="center" w:pos="4536"/>
          <w:tab w:val="right" w:pos="9072"/>
        </w:tabs>
        <w:spacing w:after="0" w:line="360" w:lineRule="auto"/>
        <w:rPr>
          <w:rFonts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50 punktów</w:t>
      </w:r>
      <w:r w:rsidRPr="00237AF1">
        <w:rPr>
          <w:rFonts w:cs="Times New Roman"/>
        </w:rPr>
        <w:t>.</w:t>
      </w:r>
    </w:p>
    <w:p w14:paraId="33927662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14D45217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05DF095" w14:textId="77777777"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37AF1">
        <w:rPr>
          <w:rFonts w:ascii="Times New Roman" w:eastAsia="Calibri" w:hAnsi="Times New Roman" w:cs="Times New Roman"/>
          <w:lang w:eastAsia="zh-CN"/>
        </w:rPr>
        <w:t>okres gwarancyjny defibrylatora – min. 60 miesięcy;</w:t>
      </w:r>
    </w:p>
    <w:p w14:paraId="1EE34EC3" w14:textId="77777777"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11513F06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      najkrótszy oferowany okres gwarancyjny</w:t>
      </w:r>
    </w:p>
    <w:p w14:paraId="74EB74C9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            spośród</w:t>
      </w: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złożonych ofert</w:t>
      </w:r>
    </w:p>
    <w:p w14:paraId="07EC3849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>okres gwarancyjny  = -----------------------------------------------  x  100 pkt x znaczenie kryterium tj. 10 %</w:t>
      </w:r>
    </w:p>
    <w:p w14:paraId="0C380657" w14:textId="77777777" w:rsidR="00237AF1" w:rsidRPr="00237AF1" w:rsidRDefault="00237AF1" w:rsidP="00237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</w:rPr>
      </w:pPr>
      <w:r w:rsidRPr="00237AF1">
        <w:rPr>
          <w:rFonts w:ascii="Times New Roman" w:eastAsia="Times New Roman" w:hAnsi="Times New Roman" w:cs="Times New Roman"/>
          <w:bCs/>
          <w:i/>
          <w:iCs/>
          <w:kern w:val="3"/>
        </w:rPr>
        <w:t xml:space="preserve">                                     okres gwarancyjny oferty badanej</w:t>
      </w:r>
    </w:p>
    <w:p w14:paraId="5C57E576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30AC000" w14:textId="77777777" w:rsidR="00237AF1" w:rsidRPr="00237AF1" w:rsidRDefault="00237AF1" w:rsidP="00237AF1">
      <w:pPr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10 punktów.</w:t>
      </w:r>
    </w:p>
    <w:p w14:paraId="3E749B90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1A80BBCE" w14:textId="77777777"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37AF1">
        <w:rPr>
          <w:rFonts w:ascii="Times New Roman" w:eastAsia="Calibri" w:hAnsi="Times New Roman" w:cs="Times New Roman"/>
          <w:lang w:eastAsia="zh-CN"/>
        </w:rPr>
        <w:t>okres gwarancyjny szafki/kapsuły – min. 24 miesiące;</w:t>
      </w:r>
    </w:p>
    <w:p w14:paraId="57B1952B" w14:textId="77777777"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52B46976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6E3EC1B6" w14:textId="77777777"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najkrótszy okres oferowany czas gwarancyjny</w:t>
      </w:r>
    </w:p>
    <w:p w14:paraId="789A47E5" w14:textId="77777777"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          spośród  złożonych ofert</w:t>
      </w:r>
    </w:p>
    <w:p w14:paraId="51C501DE" w14:textId="77777777" w:rsidR="00237AF1" w:rsidRPr="00237AF1" w:rsidRDefault="00237AF1" w:rsidP="00237AF1">
      <w:pPr>
        <w:spacing w:line="240" w:lineRule="auto"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>okres gwarancyjny  = --------------------------------------------  x  100 pkt x znaczenie kryterium tj. 5 %</w:t>
      </w:r>
    </w:p>
    <w:p w14:paraId="0DE58E39" w14:textId="77777777" w:rsidR="00237AF1" w:rsidRPr="00237AF1" w:rsidRDefault="00237AF1" w:rsidP="00237AF1">
      <w:pPr>
        <w:spacing w:line="240" w:lineRule="auto"/>
        <w:ind w:left="1440"/>
        <w:contextualSpacing/>
        <w:rPr>
          <w:rFonts w:ascii="Times New Roman" w:eastAsia="Calibri" w:hAnsi="Times New Roman" w:cs="Times New Roman"/>
          <w:bCs/>
          <w:i/>
          <w:iCs/>
          <w:lang w:eastAsia="zh-CN"/>
        </w:rPr>
      </w:pPr>
      <w:r w:rsidRPr="00237AF1">
        <w:rPr>
          <w:rFonts w:ascii="Times New Roman" w:eastAsia="Calibri" w:hAnsi="Times New Roman" w:cs="Times New Roman"/>
          <w:bCs/>
          <w:i/>
          <w:iCs/>
          <w:lang w:eastAsia="zh-CN"/>
        </w:rPr>
        <w:t xml:space="preserve">           okres gwarancyjny oferty badanej</w:t>
      </w:r>
    </w:p>
    <w:p w14:paraId="3A8DDBC0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 punktów.</w:t>
      </w:r>
    </w:p>
    <w:p w14:paraId="6F3433AE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40AF9FBC" w14:textId="77777777"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37AF1">
        <w:rPr>
          <w:rFonts w:ascii="Times New Roman" w:eastAsia="Calibri" w:hAnsi="Times New Roman" w:cs="Times New Roman"/>
          <w:lang w:eastAsia="zh-CN"/>
        </w:rPr>
        <w:t>okres gwarancyjny baterii - długość czasu gwarancji baterii w stanie spoczynku – 10% punktów;</w:t>
      </w:r>
    </w:p>
    <w:p w14:paraId="2C8FBD26" w14:textId="77777777"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eastAsia="Calibri" w:hAnsi="Times New Roman" w:cs="Times New Roman"/>
          <w:lang w:eastAsia="zh-CN"/>
        </w:rPr>
      </w:pPr>
    </w:p>
    <w:p w14:paraId="21582A15" w14:textId="77777777"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okres gwarancji w ofercie badanej </w:t>
      </w:r>
    </w:p>
    <w:p w14:paraId="4E5321D9" w14:textId="77777777"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okres gwarancyjny = </w:t>
      </w:r>
      <w:r w:rsidRPr="00237AF1">
        <w:rPr>
          <w:rFonts w:ascii="Times New Roman" w:hAnsi="Times New Roman" w:cs="Times New Roman"/>
          <w:i/>
          <w:iCs/>
        </w:rPr>
        <w:t>------------------------------------------------</w:t>
      </w:r>
      <w:r w:rsidRPr="00237AF1">
        <w:rPr>
          <w:rFonts w:ascii="Times New Roman" w:hAnsi="Times New Roman" w:cs="Times New Roman"/>
          <w:bCs/>
          <w:i/>
          <w:iCs/>
        </w:rPr>
        <w:t xml:space="preserve"> x 100 pkt x </w:t>
      </w:r>
      <w:r w:rsidRPr="00237AF1">
        <w:rPr>
          <w:rFonts w:ascii="Times New Roman" w:hAnsi="Times New Roman" w:cs="Times New Roman"/>
          <w:bCs/>
        </w:rPr>
        <w:t xml:space="preserve">znaczenie kryterium tj. 10% </w:t>
      </w:r>
      <w:r w:rsidRPr="00237AF1">
        <w:rPr>
          <w:rFonts w:ascii="Times New Roman" w:hAnsi="Times New Roman" w:cs="Times New Roman"/>
          <w:bCs/>
        </w:rPr>
        <w:br/>
      </w: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 najdłuższy  oferowany okres gwarancyjny</w:t>
      </w:r>
    </w:p>
    <w:p w14:paraId="664660D7" w14:textId="77777777" w:rsidR="00237AF1" w:rsidRPr="00237AF1" w:rsidRDefault="00237AF1" w:rsidP="00237AF1">
      <w:pPr>
        <w:autoSpaceDE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spośród złożonych ofert </w:t>
      </w:r>
    </w:p>
    <w:p w14:paraId="34FDFE3C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F0F0D61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10 punktów.</w:t>
      </w:r>
    </w:p>
    <w:p w14:paraId="4F8103F3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23816695" w14:textId="77777777" w:rsidR="00237AF1" w:rsidRPr="00237AF1" w:rsidRDefault="00237AF1" w:rsidP="00237A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37AF1">
        <w:rPr>
          <w:rFonts w:ascii="Times New Roman" w:eastAsia="Calibri" w:hAnsi="Times New Roman" w:cs="Times New Roman"/>
          <w:lang w:eastAsia="zh-CN"/>
        </w:rPr>
        <w:t>okres gwarancyjny elektrod – długość czasu przydatności – 5% punktów;</w:t>
      </w:r>
    </w:p>
    <w:p w14:paraId="36492BC9" w14:textId="77777777" w:rsidR="00237AF1" w:rsidRPr="00237AF1" w:rsidRDefault="00237AF1" w:rsidP="00237AF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302186B4" w14:textId="77777777"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okres gwarancji w ofercie badanej </w:t>
      </w:r>
    </w:p>
    <w:p w14:paraId="11396236" w14:textId="77777777" w:rsidR="00237AF1" w:rsidRPr="00237AF1" w:rsidRDefault="00237AF1" w:rsidP="00237AF1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okres gwarancyjny    = </w:t>
      </w:r>
      <w:r w:rsidRPr="00237AF1">
        <w:rPr>
          <w:rFonts w:ascii="Times New Roman" w:hAnsi="Times New Roman" w:cs="Times New Roman"/>
          <w:i/>
          <w:iCs/>
        </w:rPr>
        <w:t>----------------------------------</w:t>
      </w:r>
      <w:r w:rsidRPr="00237AF1">
        <w:rPr>
          <w:rFonts w:ascii="Times New Roman" w:hAnsi="Times New Roman" w:cs="Times New Roman"/>
          <w:bCs/>
          <w:i/>
          <w:iCs/>
        </w:rPr>
        <w:t xml:space="preserve"> x 100 pkt x </w:t>
      </w:r>
      <w:r w:rsidRPr="00237AF1">
        <w:rPr>
          <w:rFonts w:ascii="Times New Roman" w:hAnsi="Times New Roman" w:cs="Times New Roman"/>
          <w:bCs/>
        </w:rPr>
        <w:t xml:space="preserve">znaczenie kryterium tj. 5 % </w:t>
      </w:r>
      <w:r w:rsidRPr="00237AF1">
        <w:rPr>
          <w:rFonts w:ascii="Times New Roman" w:hAnsi="Times New Roman" w:cs="Times New Roman"/>
          <w:bCs/>
        </w:rPr>
        <w:br/>
      </w:r>
      <w:r w:rsidRPr="00237AF1">
        <w:rPr>
          <w:rFonts w:ascii="Times New Roman" w:hAnsi="Times New Roman" w:cs="Times New Roman"/>
          <w:bCs/>
          <w:i/>
          <w:iCs/>
        </w:rPr>
        <w:t xml:space="preserve">                                     najdłuższy  oferowany okres gwarancji</w:t>
      </w:r>
    </w:p>
    <w:p w14:paraId="61797BA5" w14:textId="77777777" w:rsidR="00237AF1" w:rsidRPr="00237AF1" w:rsidRDefault="00237AF1" w:rsidP="00237AF1">
      <w:pPr>
        <w:autoSpaceDE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i/>
          <w:iCs/>
        </w:rPr>
      </w:pPr>
      <w:r w:rsidRPr="00237AF1">
        <w:rPr>
          <w:rFonts w:ascii="Times New Roman" w:hAnsi="Times New Roman" w:cs="Times New Roman"/>
          <w:bCs/>
          <w:i/>
          <w:iCs/>
        </w:rPr>
        <w:t xml:space="preserve">      spośród złożonych ofert </w:t>
      </w:r>
    </w:p>
    <w:p w14:paraId="0C895478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B7A25D0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Maksymalnie w tym kryterium można otrzymać 5 punktów.</w:t>
      </w:r>
    </w:p>
    <w:p w14:paraId="68094219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639B95C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37AF1">
        <w:rPr>
          <w:rFonts w:ascii="Times New Roman" w:hAnsi="Times New Roman" w:cs="Times New Roman"/>
          <w:u w:val="single"/>
        </w:rPr>
        <w:t>Ważne:</w:t>
      </w:r>
    </w:p>
    <w:p w14:paraId="2F88D710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Wydłużony okres gwarancyjny określony w cz. V ust 1 pkt. 2-5 zaokrąglony będzie do 12 miesięcy, </w:t>
      </w:r>
      <w:r w:rsidRPr="00237AF1">
        <w:rPr>
          <w:rFonts w:ascii="Times New Roman" w:hAnsi="Times New Roman" w:cs="Times New Roman"/>
        </w:rPr>
        <w:br/>
        <w:t xml:space="preserve">tj., jeżeli Wnioskodawca złoży ofertę na wydłużony okres gwarancyjny krótszy niż 12 miesięcy oferta będzie liczona w zaokrągleniu do dołu. </w:t>
      </w:r>
    </w:p>
    <w:p w14:paraId="2FAF5615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486323A" w14:textId="77777777" w:rsidR="00237AF1" w:rsidRPr="00237AF1" w:rsidRDefault="00237AF1" w:rsidP="00237AF1">
      <w:pPr>
        <w:numPr>
          <w:ilvl w:val="0"/>
          <w:numId w:val="10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237AF1">
        <w:rPr>
          <w:rFonts w:ascii="Times New Roman" w:hAnsi="Times New Roman" w:cs="Times New Roman"/>
          <w:bCs/>
          <w:iCs/>
        </w:rPr>
        <w:t>dodatkowa punktacja – dodatkowe punkty można uzyskać za deklarację wymiany elektrod i baterii z podziałem na:</w:t>
      </w:r>
    </w:p>
    <w:p w14:paraId="5B41C9AA" w14:textId="77777777" w:rsidR="00237AF1" w:rsidRPr="00237AF1" w:rsidRDefault="00237AF1" w:rsidP="00237AF1">
      <w:pPr>
        <w:numPr>
          <w:ilvl w:val="0"/>
          <w:numId w:val="16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237AF1">
        <w:rPr>
          <w:rFonts w:ascii="Times New Roman" w:hAnsi="Times New Roman" w:cs="Times New Roman"/>
          <w:bCs/>
          <w:iCs/>
        </w:rPr>
        <w:t>wymiana baterii w przypadku użycia lub po upływie terminu przydatności – 10 punktów;</w:t>
      </w:r>
    </w:p>
    <w:p w14:paraId="05E25C7F" w14:textId="77777777" w:rsidR="00237AF1" w:rsidRPr="00237AF1" w:rsidRDefault="00237AF1" w:rsidP="00237AF1">
      <w:pPr>
        <w:numPr>
          <w:ilvl w:val="0"/>
          <w:numId w:val="16"/>
        </w:numPr>
        <w:autoSpaceDE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237AF1">
        <w:rPr>
          <w:rFonts w:ascii="Times New Roman" w:hAnsi="Times New Roman" w:cs="Times New Roman"/>
          <w:bCs/>
          <w:iCs/>
        </w:rPr>
        <w:t>wymiana elektrod w przypadku użycia lub po upływie terminu przydatności – 10 punktów;</w:t>
      </w:r>
    </w:p>
    <w:p w14:paraId="58033087" w14:textId="77777777" w:rsidR="00237AF1" w:rsidRPr="00237AF1" w:rsidRDefault="00237AF1" w:rsidP="00237AF1">
      <w:pPr>
        <w:autoSpaceDE w:val="0"/>
        <w:adjustRightInd w:val="0"/>
        <w:spacing w:after="0" w:line="240" w:lineRule="auto"/>
        <w:ind w:left="2160"/>
        <w:contextualSpacing/>
        <w:rPr>
          <w:rFonts w:ascii="Times New Roman" w:hAnsi="Times New Roman" w:cs="Times New Roman"/>
          <w:bCs/>
          <w:iCs/>
        </w:rPr>
      </w:pPr>
    </w:p>
    <w:p w14:paraId="0D699452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Maksymalna ilość punktów, która stanowi sumę ww. kryteriów wynosi 100 pkt. </w:t>
      </w:r>
    </w:p>
    <w:p w14:paraId="266BC922" w14:textId="7A990B11" w:rsid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C4A7798" w14:textId="2FDAFC21" w:rsidR="00E35052" w:rsidRDefault="00E35052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F0745C4" w14:textId="550C70DB" w:rsidR="00E35052" w:rsidRDefault="00E35052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95256C0" w14:textId="46D6F1BF" w:rsidR="00E35052" w:rsidRDefault="00E35052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04F8BD" w14:textId="77777777" w:rsidR="00E35052" w:rsidRPr="00237AF1" w:rsidRDefault="00E35052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00FF1CD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37AF1">
        <w:rPr>
          <w:rFonts w:ascii="Times New Roman" w:eastAsia="Times New Roman" w:hAnsi="Times New Roman" w:cs="Times New Roman"/>
          <w:b/>
          <w:lang w:eastAsia="zh-CN"/>
        </w:rPr>
        <w:lastRenderedPageBreak/>
        <w:t>INFORMACJE DOTYCZACE WYBORU NAJKORZYSTNIEJSZEJ OFERTY</w:t>
      </w:r>
    </w:p>
    <w:p w14:paraId="4EBBEDC9" w14:textId="77777777" w:rsidR="00237AF1" w:rsidRPr="00237AF1" w:rsidRDefault="00237AF1" w:rsidP="00237AF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14:paraId="1A9E0739" w14:textId="77777777"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Zamawiający wybierze ofertę, która uzyska największą liczbę punktów będącą sumą punktów uzyskanych za kryteria „Cena”, „Okres gwarancyjny defibrylatora”, „Okres gwarancyjny elektrod”, „Okres gwarancyjny szafki/kapsuły”, „dodatkowa punktacja”.</w:t>
      </w:r>
    </w:p>
    <w:p w14:paraId="3B87C8F5" w14:textId="77777777"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Wybrana przez Zamawiającego oferta musi uzyskać pozytywną opinię Miejskiego Konserwatora Zabytków. Jeżeli najwyżej oceniona oferta nie uzyska pozytywnej opinii Miejskiego Konserwatora Zabytków, Zamawiający zastrzega sobie prawo do wyboru kolejnej oferty z najwyższa ilością punktów.</w:t>
      </w:r>
    </w:p>
    <w:p w14:paraId="63354222" w14:textId="77777777"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lang w:eastAsia="zh-CN"/>
        </w:rPr>
        <w:t>Oferta musi być złożona na Formularzu ofertowym, który stanowi załącznik nr 2 do niniejszego zapytania ofertowego.</w:t>
      </w:r>
    </w:p>
    <w:p w14:paraId="0D36F81C" w14:textId="77777777" w:rsidR="00237AF1" w:rsidRPr="00237AF1" w:rsidRDefault="00237AF1" w:rsidP="00237AF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Oferta musi zawierać:</w:t>
      </w:r>
    </w:p>
    <w:p w14:paraId="10D8F0EA" w14:textId="77777777"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nazwę i adres Oferenta;</w:t>
      </w:r>
    </w:p>
    <w:p w14:paraId="6D9EF0F6" w14:textId="77777777"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oferowaną cenę netto plus VAT na realizację całości zamówienia;</w:t>
      </w:r>
    </w:p>
    <w:p w14:paraId="058EF0CD" w14:textId="77777777"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oświadczenie, że powyższe ceny zawierają wszystkie koszty, jakie ponosi Wykonawca w przypadku wyboru jego oferty;</w:t>
      </w:r>
    </w:p>
    <w:p w14:paraId="57B89D72" w14:textId="77777777" w:rsidR="00237AF1" w:rsidRPr="00237AF1" w:rsidRDefault="00237AF1" w:rsidP="00237AF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niezbędne dokumenty;</w:t>
      </w:r>
    </w:p>
    <w:p w14:paraId="607D085C" w14:textId="77777777" w:rsidR="00237AF1" w:rsidRPr="00237AF1" w:rsidRDefault="00237AF1" w:rsidP="00237AF1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polisa ubezpieczeniowa;</w:t>
      </w:r>
    </w:p>
    <w:p w14:paraId="37B6AB7B" w14:textId="77777777" w:rsidR="00237AF1" w:rsidRPr="00237AF1" w:rsidRDefault="00237AF1" w:rsidP="00237AF1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Theme="majorEastAsia" w:hAnsi="Times New Roman" w:cs="Times New Roman"/>
          <w:u w:val="single"/>
        </w:rPr>
        <w:t>karta katalogowa urządzenia</w:t>
      </w:r>
      <w:r w:rsidRPr="00237AF1">
        <w:rPr>
          <w:rFonts w:ascii="Times New Roman" w:eastAsiaTheme="majorEastAsia" w:hAnsi="Times New Roman" w:cs="Times New Roman"/>
        </w:rPr>
        <w:t xml:space="preserve">, która będzie potwierdzała </w:t>
      </w:r>
      <w:r w:rsidRPr="00237AF1">
        <w:rPr>
          <w:rFonts w:ascii="Times New Roman" w:hAnsi="Times New Roman" w:cs="Times New Roman"/>
        </w:rPr>
        <w:t>zgodność oferowanych urządzeń z określonymi przez Zamawiającego wymaganiami.</w:t>
      </w:r>
    </w:p>
    <w:p w14:paraId="75DD6366" w14:textId="77777777" w:rsidR="00237AF1" w:rsidRPr="00237AF1" w:rsidRDefault="00237AF1" w:rsidP="00237AF1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hAnsi="Times New Roman" w:cs="Times New Roman"/>
        </w:rPr>
        <w:t>Termin składania ofert:</w:t>
      </w:r>
    </w:p>
    <w:p w14:paraId="493B3877" w14:textId="3CC74805" w:rsidR="00237AF1" w:rsidRPr="00237AF1" w:rsidRDefault="00237AF1" w:rsidP="00237A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35052">
        <w:rPr>
          <w:rFonts w:ascii="Times New Roman" w:hAnsi="Times New Roman" w:cs="Times New Roman"/>
          <w:b/>
          <w:bCs/>
        </w:rPr>
        <w:t xml:space="preserve">ofertę należy złożyć do </w:t>
      </w:r>
      <w:r w:rsidR="00CD2EFA" w:rsidRPr="00E35052">
        <w:rPr>
          <w:rFonts w:ascii="Times New Roman" w:hAnsi="Times New Roman" w:cs="Times New Roman"/>
          <w:b/>
          <w:bCs/>
        </w:rPr>
        <w:t>13</w:t>
      </w:r>
      <w:r w:rsidRPr="00E35052">
        <w:rPr>
          <w:rFonts w:ascii="Times New Roman" w:hAnsi="Times New Roman" w:cs="Times New Roman"/>
          <w:b/>
          <w:bCs/>
        </w:rPr>
        <w:t xml:space="preserve"> </w:t>
      </w:r>
      <w:r w:rsidR="00CD2EFA" w:rsidRPr="00E35052">
        <w:rPr>
          <w:rFonts w:ascii="Times New Roman" w:hAnsi="Times New Roman" w:cs="Times New Roman"/>
          <w:b/>
          <w:bCs/>
        </w:rPr>
        <w:t>sierpnia</w:t>
      </w:r>
      <w:r w:rsidRPr="00E35052">
        <w:rPr>
          <w:rFonts w:ascii="Times New Roman" w:hAnsi="Times New Roman" w:cs="Times New Roman"/>
          <w:b/>
          <w:bCs/>
        </w:rPr>
        <w:t xml:space="preserve"> 2024 r., do godziny</w:t>
      </w:r>
      <w:r w:rsidRPr="00237AF1">
        <w:rPr>
          <w:rFonts w:ascii="Times New Roman" w:hAnsi="Times New Roman" w:cs="Times New Roman"/>
        </w:rPr>
        <w:t xml:space="preserve"> </w:t>
      </w:r>
      <w:r w:rsidRPr="00237AF1">
        <w:rPr>
          <w:rFonts w:ascii="Times New Roman" w:hAnsi="Times New Roman" w:cs="Times New Roman"/>
          <w:b/>
        </w:rPr>
        <w:t xml:space="preserve">15.30 </w:t>
      </w:r>
      <w:r w:rsidRPr="00237AF1">
        <w:rPr>
          <w:rFonts w:ascii="Times New Roman" w:hAnsi="Times New Roman" w:cs="Times New Roman"/>
        </w:rPr>
        <w:t>(decyduje data wpływu), w zamkniętej kopercie opatrzonej nazwą Oferenta i Zamawiającego oraz nazwą zamówienia „Dostawa i montaż defibrylatora AED” – osobiście, za pośrednictwem poczty lub gońca na adres:</w:t>
      </w:r>
    </w:p>
    <w:p w14:paraId="7FF2032B" w14:textId="77777777" w:rsidR="00237AF1" w:rsidRPr="00237AF1" w:rsidRDefault="00237AF1" w:rsidP="00237AF1">
      <w:pPr>
        <w:spacing w:line="240" w:lineRule="auto"/>
        <w:ind w:left="720" w:firstLine="696"/>
        <w:contextualSpacing/>
        <w:jc w:val="both"/>
        <w:rPr>
          <w:rFonts w:ascii="Times New Roman" w:hAnsi="Times New Roman" w:cs="Times New Roman"/>
          <w:b/>
        </w:rPr>
      </w:pPr>
      <w:r w:rsidRPr="00237AF1">
        <w:rPr>
          <w:rFonts w:ascii="Times New Roman" w:hAnsi="Times New Roman" w:cs="Times New Roman"/>
          <w:b/>
        </w:rPr>
        <w:t xml:space="preserve">Wydział Zdrowia i Polityki Społecznej Urzędu Miasta Torunia, </w:t>
      </w:r>
    </w:p>
    <w:p w14:paraId="3434E1D8" w14:textId="44184BA1" w:rsidR="00237AF1" w:rsidRPr="00237AF1" w:rsidRDefault="00237AF1" w:rsidP="00237AF1">
      <w:pPr>
        <w:spacing w:line="240" w:lineRule="auto"/>
        <w:ind w:left="720" w:firstLine="696"/>
        <w:contextualSpacing/>
        <w:jc w:val="both"/>
        <w:rPr>
          <w:rFonts w:ascii="Times New Roman" w:hAnsi="Times New Roman" w:cs="Times New Roman"/>
          <w:b/>
        </w:rPr>
      </w:pPr>
      <w:r w:rsidRPr="00237AF1">
        <w:rPr>
          <w:rFonts w:ascii="Times New Roman" w:hAnsi="Times New Roman" w:cs="Times New Roman"/>
          <w:b/>
        </w:rPr>
        <w:t>ul. Fałata 39</w:t>
      </w:r>
      <w:r w:rsidR="00E35052">
        <w:rPr>
          <w:rFonts w:ascii="Times New Roman" w:hAnsi="Times New Roman" w:cs="Times New Roman"/>
          <w:b/>
        </w:rPr>
        <w:t xml:space="preserve">, </w:t>
      </w:r>
      <w:r w:rsidRPr="00237AF1">
        <w:rPr>
          <w:rFonts w:ascii="Times New Roman" w:hAnsi="Times New Roman" w:cs="Times New Roman"/>
          <w:b/>
        </w:rPr>
        <w:t xml:space="preserve"> 87-100 Toruń.</w:t>
      </w:r>
    </w:p>
    <w:p w14:paraId="6BC8E426" w14:textId="77777777" w:rsidR="00237AF1" w:rsidRPr="00237AF1" w:rsidRDefault="00237AF1" w:rsidP="00237A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>Zamawiający nie odpowiada na oferty złożone w innym miejscu i terminie niż wskazany;</w:t>
      </w:r>
    </w:p>
    <w:p w14:paraId="14E57DFE" w14:textId="77777777" w:rsidR="00237AF1" w:rsidRPr="00237AF1" w:rsidRDefault="00237AF1" w:rsidP="00237AF1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37AF1">
        <w:rPr>
          <w:rFonts w:ascii="Times New Roman" w:hAnsi="Times New Roman" w:cs="Times New Roman"/>
        </w:rPr>
        <w:t xml:space="preserve">Wybrany Wykonawca zostanie powiadomiony o wyborze jego oferty drogą elektroniczna na adres wskazany w formularzu ofertowym niezwłocznie </w:t>
      </w:r>
      <w:r w:rsidRPr="00237AF1">
        <w:rPr>
          <w:rFonts w:ascii="Times New Roman" w:hAnsi="Times New Roman" w:cs="Times New Roman"/>
          <w:u w:val="single"/>
        </w:rPr>
        <w:t>po akceptacji</w:t>
      </w:r>
      <w:r w:rsidRPr="00237AF1">
        <w:rPr>
          <w:rFonts w:ascii="Times New Roman" w:hAnsi="Times New Roman" w:cs="Times New Roman"/>
        </w:rPr>
        <w:t xml:space="preserve"> Prezydenta Miasta Torunia.</w:t>
      </w:r>
    </w:p>
    <w:p w14:paraId="431F3A3D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2009FC25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color w:val="00000A"/>
          <w:lang w:eastAsia="zh-CN"/>
        </w:rPr>
        <w:t>INFORMACJE DOTYCZĄCE ROZLICZENIA</w:t>
      </w:r>
    </w:p>
    <w:p w14:paraId="3A1AE3F2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Rozliczenie transakcji nastąpi przelewem na konto wskazane na fakturze w ciągu 21 dni od dnia </w:t>
      </w:r>
      <w:r w:rsidRPr="00237AF1">
        <w:rPr>
          <w:rFonts w:ascii="Times New Roman" w:eastAsia="Times New Roman" w:hAnsi="Times New Roman" w:cs="Times New Roman"/>
          <w:color w:val="00000A"/>
          <w:u w:val="single"/>
          <w:lang w:eastAsia="zh-CN"/>
        </w:rPr>
        <w:t>prawidłowo wystawionej faktury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, zgodnie z wykonanym zadaniem i podpisanym protokołem odebrania przedmiotu zamówienia.</w:t>
      </w:r>
    </w:p>
    <w:p w14:paraId="34A77FD9" w14:textId="77777777" w:rsidR="00237AF1" w:rsidRPr="00237AF1" w:rsidRDefault="00237AF1" w:rsidP="00237AF1">
      <w:pPr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18E085DF" w14:textId="77777777" w:rsidR="00237AF1" w:rsidRPr="00237AF1" w:rsidRDefault="00237AF1" w:rsidP="00237AF1">
      <w:pPr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Dane do wystawienia Faktury VAT:</w:t>
      </w:r>
    </w:p>
    <w:p w14:paraId="787C6DE9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i/>
          <w:color w:val="00000A"/>
          <w:u w:val="single"/>
          <w:lang w:eastAsia="zh-CN"/>
        </w:rPr>
        <w:t>Nabywca:</w:t>
      </w:r>
      <w:r w:rsidRPr="00237AF1">
        <w:rPr>
          <w:rFonts w:ascii="Times New Roman" w:eastAsia="Times New Roman" w:hAnsi="Times New Roman" w:cs="Times New Roman"/>
          <w:i/>
          <w:color w:val="00000A"/>
          <w:lang w:eastAsia="zh-CN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 xml:space="preserve">Gmina Miasta Toruń, ul. Wały gen. Sikorskiego 8, 87-100 Toruń,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br/>
        <w:t>NIP: 879-000-10-14;</w:t>
      </w:r>
    </w:p>
    <w:p w14:paraId="589182CC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i/>
          <w:color w:val="00000A"/>
          <w:u w:val="single"/>
          <w:lang w:eastAsia="zh-CN"/>
        </w:rPr>
        <w:t>Odbiorca:</w:t>
      </w:r>
      <w:r w:rsidRPr="00237AF1">
        <w:rPr>
          <w:rFonts w:ascii="Times New Roman" w:eastAsia="Times New Roman" w:hAnsi="Times New Roman" w:cs="Times New Roman"/>
          <w:i/>
          <w:color w:val="00000A"/>
          <w:lang w:eastAsia="zh-CN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Urząd Miasta Torunia, ul. Wały gen. Sikorskiego 8, 87-100 Toruń.</w:t>
      </w:r>
    </w:p>
    <w:p w14:paraId="6153AF63" w14:textId="77777777" w:rsidR="00237AF1" w:rsidRPr="00237AF1" w:rsidRDefault="00237AF1" w:rsidP="00237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627C5CA7" w14:textId="77777777" w:rsidR="00237AF1" w:rsidRPr="00237AF1" w:rsidRDefault="00237AF1" w:rsidP="00237AF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b/>
          <w:color w:val="00000A"/>
          <w:lang w:eastAsia="zh-CN"/>
        </w:rPr>
        <w:t>ZAŁĄCZNIKI DO ZAPYTANIA OFERTOWEGO</w:t>
      </w:r>
    </w:p>
    <w:p w14:paraId="57FB5DE4" w14:textId="77777777" w:rsidR="00237AF1" w:rsidRPr="00237AF1" w:rsidRDefault="00237AF1" w:rsidP="00237AF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Szczegółowy opis przedmiotu zamówienia.</w:t>
      </w:r>
    </w:p>
    <w:p w14:paraId="614DCAE5" w14:textId="77777777" w:rsidR="00237AF1" w:rsidRPr="00237AF1" w:rsidRDefault="00237AF1" w:rsidP="00237AF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37AF1">
        <w:rPr>
          <w:rFonts w:ascii="Times New Roman" w:eastAsia="Times New Roman" w:hAnsi="Times New Roman" w:cs="Times New Roman"/>
          <w:color w:val="00000A"/>
          <w:lang w:eastAsia="zh-CN"/>
        </w:rPr>
        <w:t>Formularz ofertowy.</w:t>
      </w:r>
    </w:p>
    <w:p w14:paraId="006D8F95" w14:textId="32400015" w:rsidR="00173249" w:rsidRDefault="00173249"/>
    <w:p w14:paraId="5C4FEB29" w14:textId="557211FF" w:rsidR="00E35052" w:rsidRDefault="00E35052">
      <w:r>
        <w:t>/-/</w:t>
      </w:r>
    </w:p>
    <w:sectPr w:rsidR="00E350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DB98" w14:textId="77777777" w:rsidR="005C6660" w:rsidRDefault="005C6660">
      <w:pPr>
        <w:spacing w:after="0" w:line="240" w:lineRule="auto"/>
      </w:pPr>
      <w:r>
        <w:separator/>
      </w:r>
    </w:p>
  </w:endnote>
  <w:endnote w:type="continuationSeparator" w:id="0">
    <w:p w14:paraId="7B2E0CE7" w14:textId="77777777" w:rsidR="005C6660" w:rsidRDefault="005C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457057"/>
      <w:docPartObj>
        <w:docPartGallery w:val="Page Numbers (Bottom of Page)"/>
        <w:docPartUnique/>
      </w:docPartObj>
    </w:sdtPr>
    <w:sdtEndPr/>
    <w:sdtContent>
      <w:p w14:paraId="0B509F79" w14:textId="77777777" w:rsidR="00955210" w:rsidRDefault="007043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029EF4" w14:textId="77777777" w:rsidR="00955210" w:rsidRDefault="005C6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53BE" w14:textId="77777777" w:rsidR="005C6660" w:rsidRDefault="005C6660">
      <w:pPr>
        <w:spacing w:after="0" w:line="240" w:lineRule="auto"/>
      </w:pPr>
      <w:r>
        <w:separator/>
      </w:r>
    </w:p>
  </w:footnote>
  <w:footnote w:type="continuationSeparator" w:id="0">
    <w:p w14:paraId="1148AAE9" w14:textId="77777777" w:rsidR="005C6660" w:rsidRDefault="005C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432"/>
    <w:multiLevelType w:val="hybridMultilevel"/>
    <w:tmpl w:val="EE1076A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FD9"/>
    <w:multiLevelType w:val="hybridMultilevel"/>
    <w:tmpl w:val="0978AF3A"/>
    <w:lvl w:ilvl="0" w:tplc="F44C8F4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94CCD"/>
    <w:multiLevelType w:val="hybridMultilevel"/>
    <w:tmpl w:val="1A9E85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2323"/>
    <w:multiLevelType w:val="hybridMultilevel"/>
    <w:tmpl w:val="4A842EE6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12D39"/>
    <w:multiLevelType w:val="hybridMultilevel"/>
    <w:tmpl w:val="3152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74C5"/>
    <w:multiLevelType w:val="hybridMultilevel"/>
    <w:tmpl w:val="B4BAC7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9511679"/>
    <w:multiLevelType w:val="hybridMultilevel"/>
    <w:tmpl w:val="CC0470BE"/>
    <w:lvl w:ilvl="0" w:tplc="15CED9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C364A"/>
    <w:multiLevelType w:val="hybridMultilevel"/>
    <w:tmpl w:val="63261E2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F722C"/>
    <w:multiLevelType w:val="hybridMultilevel"/>
    <w:tmpl w:val="395E2158"/>
    <w:lvl w:ilvl="0" w:tplc="A04604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429E"/>
    <w:multiLevelType w:val="hybridMultilevel"/>
    <w:tmpl w:val="EE1076AC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55B1"/>
    <w:multiLevelType w:val="hybridMultilevel"/>
    <w:tmpl w:val="2A707A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F013C0"/>
    <w:multiLevelType w:val="hybridMultilevel"/>
    <w:tmpl w:val="E9CCFDA6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67B"/>
    <w:multiLevelType w:val="hybridMultilevel"/>
    <w:tmpl w:val="C2B2D62A"/>
    <w:lvl w:ilvl="0" w:tplc="04150011">
      <w:start w:val="1"/>
      <w:numFmt w:val="decimal"/>
      <w:lvlText w:val="%1)"/>
      <w:lvlJc w:val="left"/>
      <w:pPr>
        <w:ind w:left="14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 w15:restartNumberingAfterBreak="0">
    <w:nsid w:val="59C47070"/>
    <w:multiLevelType w:val="hybridMultilevel"/>
    <w:tmpl w:val="DDB616C8"/>
    <w:lvl w:ilvl="0" w:tplc="7F98755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B1E"/>
    <w:multiLevelType w:val="hybridMultilevel"/>
    <w:tmpl w:val="254C535C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73531"/>
    <w:multiLevelType w:val="hybridMultilevel"/>
    <w:tmpl w:val="6CE63A44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E14B2B"/>
    <w:multiLevelType w:val="hybridMultilevel"/>
    <w:tmpl w:val="F710CCB4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1"/>
    <w:rsid w:val="00173249"/>
    <w:rsid w:val="00237AF1"/>
    <w:rsid w:val="003E2202"/>
    <w:rsid w:val="00453A39"/>
    <w:rsid w:val="005C6660"/>
    <w:rsid w:val="006450BC"/>
    <w:rsid w:val="0070438E"/>
    <w:rsid w:val="008B009E"/>
    <w:rsid w:val="00CD2EFA"/>
    <w:rsid w:val="00E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9B6B"/>
  <w15:chartTrackingRefBased/>
  <w15:docId w15:val="{9EA8E6FC-8A45-43D6-B651-999943E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37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23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zips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Kobrzak</dc:creator>
  <cp:keywords/>
  <dc:description/>
  <cp:lastModifiedBy>Paweł Piotrowicz</cp:lastModifiedBy>
  <cp:revision>2</cp:revision>
  <cp:lastPrinted>2024-07-29T11:49:00Z</cp:lastPrinted>
  <dcterms:created xsi:type="dcterms:W3CDTF">2024-07-31T15:14:00Z</dcterms:created>
  <dcterms:modified xsi:type="dcterms:W3CDTF">2024-07-31T15:14:00Z</dcterms:modified>
</cp:coreProperties>
</file>