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4EB35" w14:textId="1A7F03E0" w:rsidR="00CF5DB5" w:rsidRPr="004A5210" w:rsidRDefault="00CF5DB5" w:rsidP="005D30A8">
      <w:pPr>
        <w:jc w:val="both"/>
        <w:rPr>
          <w:b/>
          <w:sz w:val="24"/>
          <w:szCs w:val="24"/>
        </w:rPr>
      </w:pPr>
      <w:r w:rsidRPr="004A5210">
        <w:rPr>
          <w:b/>
          <w:sz w:val="24"/>
          <w:szCs w:val="24"/>
        </w:rPr>
        <w:t>Załącznik nr 2b do decyzji</w:t>
      </w:r>
      <w:r w:rsidR="00134D7D">
        <w:rPr>
          <w:b/>
          <w:sz w:val="24"/>
          <w:szCs w:val="24"/>
        </w:rPr>
        <w:t xml:space="preserve"> nr 78</w:t>
      </w:r>
      <w:r w:rsidR="005115C0">
        <w:rPr>
          <w:b/>
          <w:sz w:val="24"/>
          <w:szCs w:val="24"/>
        </w:rPr>
        <w:t>.2024</w:t>
      </w:r>
      <w:r w:rsidRPr="004A5210">
        <w:rPr>
          <w:b/>
          <w:sz w:val="24"/>
          <w:szCs w:val="24"/>
        </w:rPr>
        <w:t xml:space="preserve"> z dnia</w:t>
      </w:r>
      <w:r w:rsidR="00134D7D">
        <w:rPr>
          <w:b/>
          <w:sz w:val="24"/>
          <w:szCs w:val="24"/>
        </w:rPr>
        <w:t xml:space="preserve">  17</w:t>
      </w:r>
      <w:r w:rsidR="00A56C6B">
        <w:rPr>
          <w:b/>
          <w:sz w:val="24"/>
          <w:szCs w:val="24"/>
        </w:rPr>
        <w:t>.07.2024 r.</w:t>
      </w:r>
      <w:r w:rsidRPr="004A5210">
        <w:rPr>
          <w:b/>
          <w:sz w:val="24"/>
          <w:szCs w:val="24"/>
        </w:rPr>
        <w:t xml:space="preserve"> </w:t>
      </w:r>
      <w:r w:rsidR="00F44364">
        <w:rPr>
          <w:b/>
          <w:sz w:val="24"/>
          <w:szCs w:val="24"/>
        </w:rPr>
        <w:t xml:space="preserve"> </w:t>
      </w:r>
      <w:r w:rsidRPr="004A5210">
        <w:rPr>
          <w:b/>
          <w:sz w:val="24"/>
          <w:szCs w:val="24"/>
        </w:rPr>
        <w:t xml:space="preserve"> </w:t>
      </w:r>
      <w:r w:rsidR="005115C0">
        <w:rPr>
          <w:b/>
          <w:sz w:val="24"/>
          <w:szCs w:val="24"/>
        </w:rPr>
        <w:t xml:space="preserve">   </w:t>
      </w:r>
    </w:p>
    <w:p w14:paraId="7A7FFDF5" w14:textId="0FCA0110" w:rsidR="00CF5DB5" w:rsidRPr="004A5210" w:rsidRDefault="00CF5DB5" w:rsidP="005D30A8">
      <w:pPr>
        <w:jc w:val="both"/>
        <w:rPr>
          <w:b/>
          <w:sz w:val="24"/>
          <w:szCs w:val="24"/>
        </w:rPr>
      </w:pPr>
      <w:r w:rsidRPr="004A5210">
        <w:rPr>
          <w:b/>
          <w:sz w:val="24"/>
          <w:szCs w:val="24"/>
        </w:rPr>
        <w:t>znak WAiB.6730.</w:t>
      </w:r>
      <w:r w:rsidR="00315E72" w:rsidRPr="004A5210">
        <w:rPr>
          <w:b/>
          <w:sz w:val="24"/>
          <w:szCs w:val="24"/>
        </w:rPr>
        <w:t>1</w:t>
      </w:r>
      <w:r w:rsidR="00913D9C" w:rsidRPr="004A5210">
        <w:rPr>
          <w:b/>
          <w:sz w:val="24"/>
          <w:szCs w:val="24"/>
        </w:rPr>
        <w:t>1</w:t>
      </w:r>
      <w:r w:rsidRPr="004A5210">
        <w:rPr>
          <w:b/>
          <w:sz w:val="24"/>
          <w:szCs w:val="24"/>
        </w:rPr>
        <w:t>.</w:t>
      </w:r>
      <w:r w:rsidR="0088448C">
        <w:rPr>
          <w:b/>
          <w:sz w:val="24"/>
          <w:szCs w:val="24"/>
        </w:rPr>
        <w:t>16</w:t>
      </w:r>
      <w:r w:rsidRPr="004A5210">
        <w:rPr>
          <w:b/>
          <w:sz w:val="24"/>
          <w:szCs w:val="24"/>
        </w:rPr>
        <w:t>.20</w:t>
      </w:r>
      <w:r w:rsidR="00433EAD" w:rsidRPr="004A5210">
        <w:rPr>
          <w:b/>
          <w:sz w:val="24"/>
          <w:szCs w:val="24"/>
        </w:rPr>
        <w:t>2</w:t>
      </w:r>
      <w:r w:rsidR="004431A3">
        <w:rPr>
          <w:b/>
          <w:sz w:val="24"/>
          <w:szCs w:val="24"/>
        </w:rPr>
        <w:t>4</w:t>
      </w:r>
      <w:r w:rsidR="00315E72" w:rsidRPr="004A5210">
        <w:rPr>
          <w:b/>
          <w:sz w:val="24"/>
          <w:szCs w:val="24"/>
        </w:rPr>
        <w:t xml:space="preserve"> </w:t>
      </w:r>
      <w:r w:rsidR="0088448C">
        <w:rPr>
          <w:b/>
          <w:sz w:val="24"/>
          <w:szCs w:val="24"/>
        </w:rPr>
        <w:t>AM</w:t>
      </w:r>
      <w:r w:rsidR="000D45E2" w:rsidRPr="004A5210">
        <w:rPr>
          <w:b/>
          <w:sz w:val="24"/>
          <w:szCs w:val="24"/>
        </w:rPr>
        <w:t xml:space="preserve"> </w:t>
      </w:r>
      <w:r w:rsidRPr="004A5210">
        <w:rPr>
          <w:b/>
          <w:sz w:val="24"/>
          <w:szCs w:val="24"/>
        </w:rPr>
        <w:t>KZ</w:t>
      </w:r>
    </w:p>
    <w:p w14:paraId="1B3E9892" w14:textId="77777777" w:rsidR="00CF5DB5" w:rsidRPr="004A5210" w:rsidRDefault="00CF5DB5" w:rsidP="005D30A8">
      <w:pPr>
        <w:jc w:val="both"/>
        <w:rPr>
          <w:b/>
          <w:sz w:val="24"/>
          <w:szCs w:val="24"/>
        </w:rPr>
      </w:pPr>
      <w:r w:rsidRPr="004A5210">
        <w:rPr>
          <w:b/>
          <w:sz w:val="24"/>
          <w:szCs w:val="24"/>
        </w:rPr>
        <w:t>wyniki analizy – część tekstowa</w:t>
      </w:r>
    </w:p>
    <w:p w14:paraId="4B6FC71F" w14:textId="77777777" w:rsidR="00CF5DB5" w:rsidRPr="00F44364" w:rsidRDefault="00CF5DB5" w:rsidP="008559B3">
      <w:pPr>
        <w:jc w:val="both"/>
        <w:rPr>
          <w:sz w:val="10"/>
          <w:szCs w:val="10"/>
        </w:rPr>
      </w:pPr>
    </w:p>
    <w:p w14:paraId="1A36BEF0" w14:textId="1AD3A81B" w:rsidR="00CF5DB5" w:rsidRPr="004A5210" w:rsidRDefault="00BC115A" w:rsidP="008559B3">
      <w:pPr>
        <w:pStyle w:val="WW-Domylnie1"/>
        <w:jc w:val="both"/>
        <w:rPr>
          <w:szCs w:val="24"/>
        </w:rPr>
      </w:pPr>
      <w:r w:rsidRPr="004A5210">
        <w:rPr>
          <w:szCs w:val="24"/>
        </w:rPr>
        <w:t>Wyniki analizy obszaru wyznaczonego na podstawie art. 61 ust. 5a ustawy z dnia 27 marca 2003 r. o planowaniu i zagospodarowaniu przestrzennym</w:t>
      </w:r>
      <w:r w:rsidR="00ED78C0" w:rsidRPr="004A5210">
        <w:rPr>
          <w:szCs w:val="24"/>
        </w:rPr>
        <w:t xml:space="preserve"> </w:t>
      </w:r>
      <w:r w:rsidRPr="004A5210">
        <w:rPr>
          <w:szCs w:val="24"/>
        </w:rPr>
        <w:t>– w zakresie spełnienia warunków, o których mowa w art. 61 ust. 1 pkt 1-6 ww. ustawy</w:t>
      </w:r>
      <w:r w:rsidR="00CF5DB5" w:rsidRPr="004A5210">
        <w:rPr>
          <w:szCs w:val="24"/>
        </w:rPr>
        <w:t>.</w:t>
      </w:r>
    </w:p>
    <w:p w14:paraId="4147CC63" w14:textId="77777777" w:rsidR="00CF5DB5" w:rsidRPr="00F44364" w:rsidRDefault="00CF5DB5" w:rsidP="008559B3">
      <w:pPr>
        <w:pStyle w:val="Tekstpodstawowy"/>
        <w:jc w:val="both"/>
        <w:rPr>
          <w:rFonts w:ascii="Times New Roman" w:hAnsi="Times New Roman"/>
          <w:sz w:val="16"/>
          <w:szCs w:val="16"/>
        </w:rPr>
      </w:pPr>
    </w:p>
    <w:p w14:paraId="7A78CB93" w14:textId="6D8065A6" w:rsidR="00CF5DB5" w:rsidRPr="004A5210" w:rsidRDefault="00CF5DB5" w:rsidP="008D3FD9">
      <w:pPr>
        <w:pStyle w:val="Tekstpodstawowy"/>
        <w:jc w:val="both"/>
        <w:rPr>
          <w:rFonts w:ascii="Times New Roman" w:hAnsi="Times New Roman"/>
          <w:sz w:val="24"/>
          <w:szCs w:val="24"/>
        </w:rPr>
      </w:pPr>
      <w:r w:rsidRPr="004A5210">
        <w:rPr>
          <w:rFonts w:ascii="Times New Roman" w:hAnsi="Times New Roman"/>
          <w:sz w:val="24"/>
          <w:szCs w:val="24"/>
        </w:rPr>
        <w:t>Analizy dokonano dla terenu</w:t>
      </w:r>
      <w:r w:rsidR="00B64FFA" w:rsidRPr="004A5210">
        <w:rPr>
          <w:rFonts w:ascii="Times New Roman" w:hAnsi="Times New Roman"/>
          <w:sz w:val="24"/>
          <w:szCs w:val="24"/>
        </w:rPr>
        <w:t xml:space="preserve"> </w:t>
      </w:r>
      <w:r w:rsidRPr="004A5210">
        <w:rPr>
          <w:rFonts w:ascii="Times New Roman" w:hAnsi="Times New Roman"/>
          <w:sz w:val="24"/>
          <w:szCs w:val="24"/>
        </w:rPr>
        <w:t xml:space="preserve">położonego </w:t>
      </w:r>
      <w:r w:rsidR="0088448C" w:rsidRPr="0088448C">
        <w:rPr>
          <w:rFonts w:ascii="Times New Roman" w:hAnsi="Times New Roman"/>
          <w:sz w:val="24"/>
          <w:szCs w:val="24"/>
        </w:rPr>
        <w:t>przy ul. Płaskiej 22a w Toruniu (działki nr 32/36, 32/41, 199/10, obręb 45)</w:t>
      </w:r>
      <w:r w:rsidRPr="004A5210">
        <w:rPr>
          <w:rFonts w:ascii="Times New Roman" w:hAnsi="Times New Roman"/>
          <w:sz w:val="24"/>
          <w:szCs w:val="24"/>
        </w:rPr>
        <w:t xml:space="preserve"> z terenami przyległymi – przedmiotow</w:t>
      </w:r>
      <w:r w:rsidR="00B64FFA" w:rsidRPr="004A5210">
        <w:rPr>
          <w:rFonts w:ascii="Times New Roman" w:hAnsi="Times New Roman"/>
          <w:sz w:val="24"/>
          <w:szCs w:val="24"/>
        </w:rPr>
        <w:t>y</w:t>
      </w:r>
      <w:r w:rsidRPr="004A5210">
        <w:rPr>
          <w:rFonts w:ascii="Times New Roman" w:hAnsi="Times New Roman"/>
          <w:sz w:val="24"/>
          <w:szCs w:val="24"/>
        </w:rPr>
        <w:t xml:space="preserve"> </w:t>
      </w:r>
      <w:r w:rsidR="00B64FFA" w:rsidRPr="004A5210">
        <w:rPr>
          <w:rFonts w:ascii="Times New Roman" w:hAnsi="Times New Roman"/>
          <w:sz w:val="24"/>
          <w:szCs w:val="24"/>
        </w:rPr>
        <w:t>teren</w:t>
      </w:r>
      <w:r w:rsidRPr="004A5210">
        <w:rPr>
          <w:rFonts w:ascii="Times New Roman" w:hAnsi="Times New Roman"/>
          <w:sz w:val="24"/>
          <w:szCs w:val="24"/>
        </w:rPr>
        <w:t xml:space="preserve"> oraz obszar analizowany przedstawiono na załączniku graficznym 2a.</w:t>
      </w:r>
    </w:p>
    <w:p w14:paraId="0726CFE6" w14:textId="77777777" w:rsidR="00937D89" w:rsidRPr="00F44364" w:rsidRDefault="00937D89" w:rsidP="008559B3">
      <w:pPr>
        <w:pStyle w:val="Tekstpodstawowy"/>
        <w:jc w:val="both"/>
        <w:rPr>
          <w:rFonts w:ascii="Times New Roman" w:hAnsi="Times New Roman"/>
          <w:sz w:val="10"/>
          <w:szCs w:val="10"/>
        </w:rPr>
      </w:pPr>
    </w:p>
    <w:p w14:paraId="77026A04" w14:textId="6C315C1B" w:rsidR="00CF5DB5" w:rsidRPr="008071C5" w:rsidRDefault="00CF5DB5" w:rsidP="008071C5">
      <w:pPr>
        <w:pStyle w:val="Tekstpodstawowy2"/>
        <w:rPr>
          <w:rFonts w:ascii="Times New Roman" w:hAnsi="Times New Roman"/>
          <w:sz w:val="24"/>
          <w:szCs w:val="24"/>
        </w:rPr>
      </w:pPr>
      <w:r w:rsidRPr="008071C5">
        <w:rPr>
          <w:rFonts w:ascii="Times New Roman" w:hAnsi="Times New Roman"/>
          <w:sz w:val="24"/>
          <w:szCs w:val="24"/>
        </w:rPr>
        <w:t xml:space="preserve">Planowana inwestycja </w:t>
      </w:r>
      <w:r w:rsidRPr="008071C5">
        <w:rPr>
          <w:rFonts w:ascii="Times New Roman" w:hAnsi="Times New Roman"/>
          <w:bCs/>
          <w:sz w:val="24"/>
          <w:szCs w:val="24"/>
        </w:rPr>
        <w:t>polega</w:t>
      </w:r>
      <w:r w:rsidR="00B64FFA" w:rsidRPr="008071C5">
        <w:rPr>
          <w:rFonts w:ascii="Times New Roman" w:hAnsi="Times New Roman"/>
          <w:bCs/>
          <w:sz w:val="24"/>
          <w:szCs w:val="24"/>
        </w:rPr>
        <w:t xml:space="preserve"> </w:t>
      </w:r>
      <w:r w:rsidR="00937D89" w:rsidRPr="008071C5">
        <w:rPr>
          <w:rFonts w:ascii="Times New Roman" w:hAnsi="Times New Roman"/>
          <w:sz w:val="24"/>
          <w:szCs w:val="24"/>
        </w:rPr>
        <w:t xml:space="preserve">na </w:t>
      </w:r>
      <w:r w:rsidR="008071C5" w:rsidRPr="008071C5">
        <w:rPr>
          <w:rFonts w:ascii="Times New Roman" w:hAnsi="Times New Roman"/>
          <w:sz w:val="24"/>
          <w:szCs w:val="24"/>
        </w:rPr>
        <w:t>budowie stacji paliw płynnych z budynkiem biurowo-socjalnym i warsztatowym wraz z niezbędną infrastrukturą techniczną oraz ele</w:t>
      </w:r>
      <w:r w:rsidR="008071C5">
        <w:rPr>
          <w:rFonts w:ascii="Times New Roman" w:hAnsi="Times New Roman"/>
          <w:sz w:val="24"/>
          <w:szCs w:val="24"/>
        </w:rPr>
        <w:t>mentami zagospodarowania terenu.</w:t>
      </w:r>
    </w:p>
    <w:p w14:paraId="32AA15E3" w14:textId="77777777" w:rsidR="00937D89" w:rsidRPr="00F44364" w:rsidRDefault="00937D89" w:rsidP="008559B3">
      <w:pPr>
        <w:tabs>
          <w:tab w:val="left" w:pos="-15"/>
        </w:tabs>
        <w:jc w:val="both"/>
        <w:rPr>
          <w:sz w:val="14"/>
          <w:szCs w:val="14"/>
        </w:rPr>
      </w:pPr>
    </w:p>
    <w:p w14:paraId="05DB3AB9" w14:textId="76A81F2F" w:rsidR="00BC115A" w:rsidRPr="004A5210" w:rsidRDefault="00BC115A" w:rsidP="008559B3">
      <w:pPr>
        <w:ind w:firstLine="284"/>
        <w:jc w:val="both"/>
        <w:rPr>
          <w:sz w:val="24"/>
          <w:szCs w:val="24"/>
        </w:rPr>
      </w:pPr>
      <w:r w:rsidRPr="004A5210">
        <w:rPr>
          <w:sz w:val="24"/>
          <w:szCs w:val="24"/>
        </w:rPr>
        <w:t>Zgodnie z art. 61 ust. 5a ustawy z dnia 27 marca 2003 r. o planowaniu i zagospodarowaniu przestrzennym granicę obszaru analizowanego wyznacza się wokół granic terenu objętego wnioskiem w odległości nie mniejszej niż trzykrotna szerokość frontu tego terenu,</w:t>
      </w:r>
      <w:r w:rsidR="006659E4">
        <w:rPr>
          <w:sz w:val="24"/>
          <w:szCs w:val="24"/>
        </w:rPr>
        <w:br/>
      </w:r>
      <w:r w:rsidRPr="004A5210">
        <w:rPr>
          <w:sz w:val="24"/>
          <w:szCs w:val="24"/>
        </w:rPr>
        <w:t>nie mniejszej jednak niż 50 metrów.</w:t>
      </w:r>
    </w:p>
    <w:p w14:paraId="46688E58" w14:textId="77777777" w:rsidR="00BC115A" w:rsidRPr="004A5210" w:rsidRDefault="00BC115A" w:rsidP="008559B3">
      <w:pPr>
        <w:ind w:firstLine="284"/>
        <w:jc w:val="both"/>
        <w:rPr>
          <w:sz w:val="24"/>
          <w:szCs w:val="24"/>
        </w:rPr>
      </w:pPr>
      <w:r w:rsidRPr="004A5210">
        <w:rPr>
          <w:sz w:val="24"/>
          <w:szCs w:val="24"/>
        </w:rPr>
        <w:t>Ww. ustawa definiuje front terenu jako tę część granicy działki budowlanej, która przylega do drogi publicznej lub wewnętrznej, z której odbywa się główny wjazd na działkę.</w:t>
      </w:r>
    </w:p>
    <w:p w14:paraId="37A83CF4" w14:textId="77777777" w:rsidR="007E7FA7" w:rsidRPr="002715E9" w:rsidRDefault="007E7FA7" w:rsidP="007E7FA7">
      <w:pPr>
        <w:ind w:firstLine="284"/>
        <w:jc w:val="both"/>
        <w:rPr>
          <w:sz w:val="24"/>
          <w:szCs w:val="24"/>
        </w:rPr>
      </w:pPr>
      <w:r w:rsidRPr="002715E9">
        <w:rPr>
          <w:sz w:val="24"/>
          <w:szCs w:val="24"/>
        </w:rPr>
        <w:t>W omawianym przypadku teren objęty wnioskiem</w:t>
      </w:r>
      <w:r w:rsidRPr="002715E9">
        <w:rPr>
          <w:rStyle w:val="FontStyle21"/>
          <w:sz w:val="24"/>
          <w:szCs w:val="24"/>
        </w:rPr>
        <w:t xml:space="preserve"> </w:t>
      </w:r>
      <w:r w:rsidRPr="002715E9">
        <w:rPr>
          <w:rStyle w:val="FontStyle25"/>
          <w:sz w:val="24"/>
          <w:szCs w:val="24"/>
        </w:rPr>
        <w:t>(</w:t>
      </w:r>
      <w:r w:rsidRPr="002715E9">
        <w:rPr>
          <w:sz w:val="24"/>
          <w:szCs w:val="24"/>
          <w:lang w:bidi="pl-PL"/>
        </w:rPr>
        <w:t>działki nr 32/36, 32/41, 199/10, obręb</w:t>
      </w:r>
      <w:r>
        <w:rPr>
          <w:sz w:val="24"/>
          <w:szCs w:val="24"/>
          <w:lang w:bidi="pl-PL"/>
        </w:rPr>
        <w:t> </w:t>
      </w:r>
      <w:r w:rsidRPr="002715E9">
        <w:rPr>
          <w:sz w:val="24"/>
          <w:szCs w:val="24"/>
          <w:lang w:bidi="pl-PL"/>
        </w:rPr>
        <w:t>45</w:t>
      </w:r>
      <w:r w:rsidRPr="002715E9">
        <w:rPr>
          <w:rStyle w:val="FontStyle25"/>
          <w:sz w:val="24"/>
          <w:szCs w:val="24"/>
        </w:rPr>
        <w:t>)</w:t>
      </w:r>
      <w:r w:rsidRPr="002715E9">
        <w:rPr>
          <w:rStyle w:val="FontStyle12"/>
          <w:sz w:val="24"/>
          <w:szCs w:val="24"/>
        </w:rPr>
        <w:t xml:space="preserve"> </w:t>
      </w:r>
      <w:r w:rsidRPr="002715E9">
        <w:rPr>
          <w:sz w:val="24"/>
          <w:szCs w:val="24"/>
        </w:rPr>
        <w:t>przylega bezpośrednio do drogi publicznej – ul. Płaskiej. Obsługa komunikacyjna terenu objętego wnioskiem odbywa się z ul. Płaskiej. Za front terenu objętego wnioskiem przyjęto zatem część tego terenu przylegającą do tej ulicy.</w:t>
      </w:r>
    </w:p>
    <w:p w14:paraId="4C37356E" w14:textId="77777777" w:rsidR="007E7FA7" w:rsidRPr="002715E9" w:rsidRDefault="007E7FA7" w:rsidP="007E7FA7">
      <w:pPr>
        <w:ind w:firstLine="284"/>
        <w:jc w:val="both"/>
        <w:rPr>
          <w:sz w:val="24"/>
          <w:szCs w:val="24"/>
        </w:rPr>
      </w:pPr>
      <w:r w:rsidRPr="002715E9">
        <w:rPr>
          <w:sz w:val="24"/>
          <w:szCs w:val="24"/>
        </w:rPr>
        <w:t xml:space="preserve">Szerokość frontu terenu objętego wnioskiem od strony ul. Płaskiej wynosi ok. 44 m, </w:t>
      </w:r>
      <w:r w:rsidRPr="002715E9">
        <w:rPr>
          <w:sz w:val="24"/>
          <w:szCs w:val="24"/>
        </w:rPr>
        <w:br/>
        <w:t>w związku z tym obszar analizowany wokół terenu objętego wnioskiem należało wyznaczyć w odległości nie mniejszej niż 132 m od granic tego terenu. W przypadkach, gdy nieruchomości zabudowane tylko częściowo znalazły się w odległości do 132 m</w:t>
      </w:r>
      <w:r>
        <w:rPr>
          <w:sz w:val="24"/>
          <w:szCs w:val="24"/>
        </w:rPr>
        <w:t xml:space="preserve"> </w:t>
      </w:r>
      <w:r w:rsidRPr="002715E9">
        <w:rPr>
          <w:sz w:val="24"/>
          <w:szCs w:val="24"/>
        </w:rPr>
        <w:t>od granicy terenu objętego wnioskiem, do analizy włączono całe te nieruchomości</w:t>
      </w:r>
    </w:p>
    <w:p w14:paraId="00764ED2" w14:textId="7D09A02A" w:rsidR="001B7793" w:rsidRPr="004A5210" w:rsidRDefault="007E7FA7" w:rsidP="007E7FA7">
      <w:pPr>
        <w:ind w:firstLine="284"/>
        <w:jc w:val="both"/>
        <w:rPr>
          <w:rStyle w:val="FontStyle21"/>
          <w:color w:val="auto"/>
          <w:sz w:val="24"/>
          <w:szCs w:val="24"/>
        </w:rPr>
      </w:pPr>
      <w:r w:rsidRPr="002715E9">
        <w:rPr>
          <w:sz w:val="24"/>
          <w:szCs w:val="24"/>
        </w:rPr>
        <w:t>W ten sposób wyznaczono obszar, na którym znajdują się nieruchomości dostępne z ulicy</w:t>
      </w:r>
      <w:r w:rsidRPr="002715E9">
        <w:rPr>
          <w:rStyle w:val="FontStyle21"/>
          <w:sz w:val="24"/>
          <w:szCs w:val="24"/>
        </w:rPr>
        <w:t xml:space="preserve"> Płaskiej, Marii Skłodowskiej-Curie i dróg dojazdowych do tych ulic</w:t>
      </w:r>
      <w:r w:rsidR="001B7793" w:rsidRPr="004A5210">
        <w:rPr>
          <w:rStyle w:val="FontStyle21"/>
          <w:color w:val="auto"/>
          <w:sz w:val="24"/>
          <w:szCs w:val="24"/>
        </w:rPr>
        <w:t xml:space="preserve">. </w:t>
      </w:r>
    </w:p>
    <w:p w14:paraId="44677C3B" w14:textId="55BA740D" w:rsidR="001867E8" w:rsidRPr="004A5210" w:rsidRDefault="001B7793" w:rsidP="001B7793">
      <w:pPr>
        <w:pStyle w:val="WW-Domylnie0"/>
        <w:jc w:val="both"/>
        <w:rPr>
          <w:szCs w:val="24"/>
        </w:rPr>
      </w:pPr>
      <w:r w:rsidRPr="004A5210">
        <w:rPr>
          <w:szCs w:val="24"/>
        </w:rPr>
        <w:t>Jednocześnie nie znaleziono przesłanek do innego wyznaczenia obszaru analizowanego</w:t>
      </w:r>
      <w:r w:rsidR="001867E8" w:rsidRPr="004A5210">
        <w:rPr>
          <w:szCs w:val="24"/>
        </w:rPr>
        <w:t>.</w:t>
      </w:r>
    </w:p>
    <w:p w14:paraId="222C17B2" w14:textId="77777777" w:rsidR="00A027CE" w:rsidRPr="00F44364" w:rsidRDefault="00A027CE" w:rsidP="008559B3">
      <w:pPr>
        <w:widowControl w:val="0"/>
        <w:suppressAutoHyphens/>
        <w:jc w:val="both"/>
        <w:rPr>
          <w:rFonts w:eastAsia="Arial"/>
          <w:sz w:val="10"/>
          <w:szCs w:val="10"/>
          <w:lang w:eastAsia="ar-SA"/>
        </w:rPr>
      </w:pPr>
    </w:p>
    <w:p w14:paraId="1095DBBD" w14:textId="77777777" w:rsidR="00CF5DB5" w:rsidRPr="004A5210" w:rsidRDefault="00CF5DB5" w:rsidP="008559B3">
      <w:pPr>
        <w:pStyle w:val="Tekstpodstawowy"/>
        <w:jc w:val="both"/>
        <w:rPr>
          <w:rFonts w:ascii="Times New Roman" w:hAnsi="Times New Roman"/>
          <w:sz w:val="24"/>
          <w:szCs w:val="24"/>
        </w:rPr>
      </w:pPr>
      <w:r w:rsidRPr="004A5210">
        <w:rPr>
          <w:rFonts w:ascii="Times New Roman" w:hAnsi="Times New Roman"/>
          <w:sz w:val="24"/>
          <w:szCs w:val="24"/>
        </w:rPr>
        <w:t>W wyniku przeprowadzonej analizy stwierdzono:</w:t>
      </w:r>
    </w:p>
    <w:p w14:paraId="7C4F1BCC" w14:textId="477D83E2" w:rsidR="0088448C" w:rsidRPr="00BD032D" w:rsidRDefault="0027110E" w:rsidP="0008402A">
      <w:pPr>
        <w:pStyle w:val="Domylnie"/>
        <w:numPr>
          <w:ilvl w:val="0"/>
          <w:numId w:val="1"/>
        </w:numPr>
        <w:tabs>
          <w:tab w:val="num" w:pos="360"/>
        </w:tabs>
        <w:snapToGrid w:val="0"/>
        <w:spacing w:after="120"/>
        <w:ind w:left="357" w:hanging="357"/>
        <w:jc w:val="both"/>
        <w:rPr>
          <w:szCs w:val="24"/>
        </w:rPr>
      </w:pPr>
      <w:r w:rsidRPr="00BD032D">
        <w:rPr>
          <w:szCs w:val="24"/>
        </w:rPr>
        <w:t>Działki sąsiednie dostępne z tej samej drogi publicznej są zabudowane w sposób pozwalający na określenie wymagań dotyczących nowej zabudowy w zakresie kontynuacji funkcji, parametrów, cech i wskaźników kształtowania zabudowy</w:t>
      </w:r>
      <w:r w:rsidR="006659E4" w:rsidRPr="00BD032D">
        <w:rPr>
          <w:szCs w:val="24"/>
        </w:rPr>
        <w:br/>
      </w:r>
      <w:r w:rsidRPr="00BD032D">
        <w:rPr>
          <w:szCs w:val="24"/>
        </w:rPr>
        <w:t>oraz zagospodarowania terenu:</w:t>
      </w:r>
    </w:p>
    <w:p w14:paraId="4C485866" w14:textId="77777777" w:rsidR="007E7FA7" w:rsidRPr="002715E9" w:rsidRDefault="007E7FA7" w:rsidP="007E7FA7">
      <w:pPr>
        <w:pStyle w:val="Domylnie"/>
        <w:numPr>
          <w:ilvl w:val="0"/>
          <w:numId w:val="8"/>
        </w:numPr>
        <w:tabs>
          <w:tab w:val="left" w:pos="426"/>
        </w:tabs>
        <w:jc w:val="both"/>
        <w:rPr>
          <w:szCs w:val="24"/>
        </w:rPr>
      </w:pPr>
      <w:r w:rsidRPr="002715E9">
        <w:rPr>
          <w:szCs w:val="24"/>
        </w:rPr>
        <w:t xml:space="preserve">linia zabudowy: </w:t>
      </w:r>
    </w:p>
    <w:p w14:paraId="0E742370" w14:textId="77777777" w:rsidR="007E7FA7" w:rsidRPr="002F273F" w:rsidRDefault="007E7FA7" w:rsidP="007E7FA7">
      <w:pPr>
        <w:widowControl w:val="0"/>
        <w:ind w:left="720"/>
        <w:jc w:val="both"/>
        <w:rPr>
          <w:rFonts w:eastAsia="Arial"/>
          <w:sz w:val="24"/>
          <w:szCs w:val="24"/>
        </w:rPr>
      </w:pPr>
      <w:r w:rsidRPr="002F273F">
        <w:rPr>
          <w:rFonts w:eastAsia="Arial"/>
          <w:sz w:val="24"/>
          <w:szCs w:val="24"/>
        </w:rPr>
        <w:t xml:space="preserve">Zgodnie z § 4 rozporządzenia </w:t>
      </w:r>
      <w:r w:rsidRPr="002F273F">
        <w:rPr>
          <w:bCs/>
          <w:sz w:val="24"/>
          <w:szCs w:val="24"/>
        </w:rPr>
        <w:t>Ministra Infrastruktury z dnia 26.08.2003 r. w sprawie sposobu ustalania wymagań dotyczących nowej zabudowy i zagospodarowania terenu w przypadku braku miejscowego planu z</w:t>
      </w:r>
      <w:r>
        <w:rPr>
          <w:bCs/>
          <w:sz w:val="24"/>
          <w:szCs w:val="24"/>
        </w:rPr>
        <w:t xml:space="preserve">agospodarowania przestrzennego </w:t>
      </w:r>
      <w:r w:rsidRPr="002F273F">
        <w:rPr>
          <w:bCs/>
          <w:sz w:val="24"/>
          <w:szCs w:val="24"/>
        </w:rPr>
        <w:t>(Dz. U. nr 164, poz. 1588</w:t>
      </w:r>
      <w:r>
        <w:rPr>
          <w:bCs/>
          <w:sz w:val="24"/>
          <w:szCs w:val="24"/>
        </w:rPr>
        <w:t xml:space="preserve"> </w:t>
      </w:r>
      <w:r w:rsidRPr="002F273F">
        <w:rPr>
          <w:bCs/>
          <w:sz w:val="24"/>
          <w:szCs w:val="24"/>
        </w:rPr>
        <w:t>ze zm.)</w:t>
      </w:r>
      <w:r w:rsidRPr="002F273F">
        <w:rPr>
          <w:rFonts w:eastAsia="Arial"/>
          <w:sz w:val="24"/>
          <w:szCs w:val="24"/>
        </w:rPr>
        <w:t xml:space="preserve"> obowiązującą linię nowej zabudowy na terenie objętym wnioskiem wyznacza się, jako przedłuż</w:t>
      </w:r>
      <w:r>
        <w:rPr>
          <w:rFonts w:eastAsia="Arial"/>
          <w:sz w:val="24"/>
          <w:szCs w:val="24"/>
        </w:rPr>
        <w:t xml:space="preserve">enie linii istniejącej zabudowy </w:t>
      </w:r>
      <w:r w:rsidRPr="002F273F">
        <w:rPr>
          <w:rFonts w:eastAsia="Arial"/>
          <w:sz w:val="24"/>
          <w:szCs w:val="24"/>
        </w:rPr>
        <w:t>na działkach sąsiednich. W przypadku niezgodn</w:t>
      </w:r>
      <w:r>
        <w:rPr>
          <w:rFonts w:eastAsia="Arial"/>
          <w:sz w:val="24"/>
          <w:szCs w:val="24"/>
        </w:rPr>
        <w:t xml:space="preserve">ości linii istniejącej zabudowy </w:t>
      </w:r>
      <w:r w:rsidRPr="002F273F">
        <w:rPr>
          <w:rFonts w:eastAsia="Arial"/>
          <w:sz w:val="24"/>
          <w:szCs w:val="24"/>
        </w:rPr>
        <w:t>na działce sąsiedniej z przepisami odrębnymi, obowiązującą linię nowej zabudowy należy ustalić zgodnie z tymi przepisami. Je</w:t>
      </w:r>
      <w:r>
        <w:rPr>
          <w:rFonts w:eastAsia="Arial"/>
          <w:sz w:val="24"/>
          <w:szCs w:val="24"/>
        </w:rPr>
        <w:t xml:space="preserve">żeli linia istniejącej zabudowy </w:t>
      </w:r>
      <w:r w:rsidRPr="002F273F">
        <w:rPr>
          <w:rFonts w:eastAsia="Arial"/>
          <w:sz w:val="24"/>
          <w:szCs w:val="24"/>
        </w:rPr>
        <w:t>na działkach sąsiednich przebiega tworząc uskok, wówczas obowiązującą linię nowej zabudowy ustala się, jako kontynuację linii zabudowy tego budynku, który znajduje się w większej odległości od pasa drogowego. Dopuszcza się inne wyznaczenie obowiązującej linii nowej zabudowy, jeżeli wynika to z analizy, o której mowa powyżej.</w:t>
      </w:r>
    </w:p>
    <w:p w14:paraId="1880461F" w14:textId="77777777" w:rsidR="007E7FA7" w:rsidRPr="002F273F" w:rsidRDefault="007E7FA7" w:rsidP="007E7FA7">
      <w:pPr>
        <w:widowControl w:val="0"/>
        <w:ind w:left="720"/>
        <w:jc w:val="both"/>
        <w:rPr>
          <w:rFonts w:eastAsia="Arial"/>
          <w:sz w:val="24"/>
          <w:szCs w:val="24"/>
        </w:rPr>
      </w:pPr>
      <w:r w:rsidRPr="002F273F">
        <w:rPr>
          <w:rFonts w:eastAsia="Arial"/>
          <w:sz w:val="24"/>
          <w:szCs w:val="24"/>
        </w:rPr>
        <w:t xml:space="preserve">Teren objęty wnioskiem zlokalizowany </w:t>
      </w:r>
      <w:r>
        <w:rPr>
          <w:rFonts w:eastAsia="Arial"/>
          <w:sz w:val="24"/>
          <w:szCs w:val="24"/>
        </w:rPr>
        <w:t xml:space="preserve">jest </w:t>
      </w:r>
      <w:r w:rsidRPr="002F273F">
        <w:rPr>
          <w:rFonts w:eastAsia="Arial"/>
          <w:sz w:val="24"/>
          <w:szCs w:val="24"/>
        </w:rPr>
        <w:t>po południowej stronie drogi publicznej</w:t>
      </w:r>
      <w:r w:rsidRPr="002F273F">
        <w:rPr>
          <w:rFonts w:eastAsia="Arial"/>
          <w:sz w:val="24"/>
          <w:szCs w:val="24"/>
        </w:rPr>
        <w:br/>
        <w:t xml:space="preserve">ul. Płaskiej. Teren objęty wnioskiem zlokalizowany jest również po północnej stronie </w:t>
      </w:r>
      <w:r w:rsidRPr="002F273F">
        <w:rPr>
          <w:rFonts w:eastAsia="Arial"/>
          <w:sz w:val="24"/>
          <w:szCs w:val="24"/>
        </w:rPr>
        <w:lastRenderedPageBreak/>
        <w:t xml:space="preserve">drogi wewnętrznej zlokalizowanej na działkach nr 32/43, 212/7 - </w:t>
      </w:r>
      <w:r w:rsidRPr="002F273F">
        <w:rPr>
          <w:color w:val="000000"/>
          <w:sz w:val="24"/>
          <w:szCs w:val="24"/>
        </w:rPr>
        <w:t>droga dojazdową</w:t>
      </w:r>
      <w:r w:rsidRPr="002F273F">
        <w:rPr>
          <w:rFonts w:eastAsia="Arial"/>
          <w:sz w:val="24"/>
          <w:szCs w:val="24"/>
        </w:rPr>
        <w:t xml:space="preserve">. </w:t>
      </w:r>
    </w:p>
    <w:p w14:paraId="0C0EE337" w14:textId="77777777" w:rsidR="007E7FA7" w:rsidRPr="002F273F" w:rsidRDefault="007E7FA7" w:rsidP="007E7FA7">
      <w:pPr>
        <w:widowControl w:val="0"/>
        <w:ind w:left="720"/>
        <w:jc w:val="both"/>
        <w:rPr>
          <w:rFonts w:eastAsia="Arial"/>
          <w:sz w:val="24"/>
          <w:szCs w:val="24"/>
        </w:rPr>
      </w:pPr>
      <w:r w:rsidRPr="002F273F">
        <w:rPr>
          <w:rFonts w:eastAsia="Arial"/>
          <w:sz w:val="24"/>
          <w:szCs w:val="24"/>
        </w:rPr>
        <w:t>Linia zabudowy w obszarze analizowanym wzdłuż południowej strony ul. Płaskiej kształtuje się następująco:</w:t>
      </w:r>
    </w:p>
    <w:p w14:paraId="322F6130" w14:textId="08A96CB0" w:rsidR="007E7FA7" w:rsidRPr="002F273F" w:rsidRDefault="007E7FA7" w:rsidP="007E7FA7">
      <w:pPr>
        <w:widowControl w:val="0"/>
        <w:ind w:left="720"/>
        <w:jc w:val="both"/>
        <w:rPr>
          <w:rFonts w:eastAsia="Arial"/>
          <w:sz w:val="24"/>
          <w:szCs w:val="24"/>
        </w:rPr>
      </w:pPr>
      <w:r w:rsidRPr="002F273F">
        <w:rPr>
          <w:rFonts w:eastAsia="Arial"/>
          <w:sz w:val="24"/>
          <w:szCs w:val="24"/>
        </w:rPr>
        <w:t xml:space="preserve">- działki nr 199/7, 32/25, </w:t>
      </w:r>
      <w:r w:rsidR="00FE4655">
        <w:rPr>
          <w:rFonts w:eastAsia="Arial"/>
          <w:sz w:val="24"/>
          <w:szCs w:val="24"/>
        </w:rPr>
        <w:t>32/38, 32/39, 199/12, 199/13</w:t>
      </w:r>
      <w:r w:rsidRPr="002F273F">
        <w:rPr>
          <w:rFonts w:eastAsia="Arial"/>
          <w:sz w:val="24"/>
          <w:szCs w:val="24"/>
        </w:rPr>
        <w:t xml:space="preserve"> (łącznie) – w odległości ok. 17,5 m (budynek przemysłowy) oraz w odległości ok. 29 m (budynek magazynowy) od granicy pasa drogowego.</w:t>
      </w:r>
    </w:p>
    <w:p w14:paraId="5EB04EB8" w14:textId="77777777" w:rsidR="007E7FA7" w:rsidRPr="002F273F" w:rsidRDefault="007E7FA7" w:rsidP="007E7FA7">
      <w:pPr>
        <w:tabs>
          <w:tab w:val="left" w:pos="142"/>
          <w:tab w:val="left" w:pos="426"/>
        </w:tabs>
        <w:ind w:left="720"/>
        <w:jc w:val="both"/>
        <w:rPr>
          <w:color w:val="000000"/>
          <w:sz w:val="24"/>
          <w:szCs w:val="24"/>
        </w:rPr>
      </w:pPr>
      <w:r w:rsidRPr="002F273F">
        <w:rPr>
          <w:color w:val="000000"/>
          <w:sz w:val="24"/>
          <w:szCs w:val="24"/>
          <w:lang w:val="x-none"/>
        </w:rPr>
        <w:t>W obszarze analizowanym po północnej stronie drogi</w:t>
      </w:r>
      <w:r w:rsidRPr="002F273F">
        <w:rPr>
          <w:color w:val="000000"/>
          <w:sz w:val="24"/>
          <w:szCs w:val="24"/>
        </w:rPr>
        <w:t xml:space="preserve"> wewnętrznej </w:t>
      </w:r>
      <w:r w:rsidRPr="002F273F">
        <w:rPr>
          <w:color w:val="000000"/>
          <w:sz w:val="24"/>
          <w:szCs w:val="24"/>
          <w:lang w:val="x-none"/>
        </w:rPr>
        <w:t xml:space="preserve">(działki nr </w:t>
      </w:r>
      <w:r w:rsidRPr="002F273F">
        <w:rPr>
          <w:rFonts w:eastAsia="Arial"/>
          <w:sz w:val="24"/>
          <w:szCs w:val="24"/>
          <w:lang w:val="x-none"/>
        </w:rPr>
        <w:t>32/43, 212/7</w:t>
      </w:r>
      <w:r w:rsidRPr="002F273F">
        <w:rPr>
          <w:color w:val="000000"/>
          <w:sz w:val="24"/>
          <w:szCs w:val="24"/>
          <w:lang w:val="x-none"/>
        </w:rPr>
        <w:t>)</w:t>
      </w:r>
      <w:r w:rsidRPr="002F273F">
        <w:rPr>
          <w:color w:val="000000"/>
          <w:sz w:val="24"/>
          <w:szCs w:val="24"/>
        </w:rPr>
        <w:t xml:space="preserve"> linia zabudowy kształtuje się następująco:</w:t>
      </w:r>
    </w:p>
    <w:p w14:paraId="2CC8D258" w14:textId="2635D035" w:rsidR="007E7FA7" w:rsidRPr="002F273F" w:rsidRDefault="007E7FA7" w:rsidP="007E7FA7">
      <w:pPr>
        <w:tabs>
          <w:tab w:val="left" w:pos="142"/>
          <w:tab w:val="left" w:pos="426"/>
        </w:tabs>
        <w:ind w:left="720"/>
        <w:jc w:val="both"/>
        <w:rPr>
          <w:color w:val="000000"/>
          <w:sz w:val="24"/>
          <w:szCs w:val="24"/>
        </w:rPr>
      </w:pPr>
      <w:r w:rsidRPr="002F273F">
        <w:rPr>
          <w:color w:val="000000"/>
          <w:sz w:val="24"/>
          <w:szCs w:val="24"/>
        </w:rPr>
        <w:t xml:space="preserve">- działki </w:t>
      </w:r>
      <w:r w:rsidR="006321C3" w:rsidRPr="002F273F">
        <w:rPr>
          <w:rFonts w:eastAsia="Arial"/>
          <w:sz w:val="24"/>
          <w:szCs w:val="24"/>
        </w:rPr>
        <w:t xml:space="preserve">199/7, 32/25, </w:t>
      </w:r>
      <w:r w:rsidR="006321C3">
        <w:rPr>
          <w:rFonts w:eastAsia="Arial"/>
          <w:sz w:val="24"/>
          <w:szCs w:val="24"/>
        </w:rPr>
        <w:t>32/38, 32/39, 199/12, 199/13</w:t>
      </w:r>
      <w:r w:rsidR="006321C3" w:rsidRPr="002F273F">
        <w:rPr>
          <w:rFonts w:eastAsia="Arial"/>
          <w:sz w:val="24"/>
          <w:szCs w:val="24"/>
        </w:rPr>
        <w:t xml:space="preserve"> (łącznie) </w:t>
      </w:r>
      <w:r w:rsidRPr="002F273F">
        <w:rPr>
          <w:color w:val="000000"/>
          <w:sz w:val="24"/>
          <w:szCs w:val="24"/>
        </w:rPr>
        <w:t xml:space="preserve">– </w:t>
      </w:r>
      <w:r w:rsidRPr="002F273F">
        <w:rPr>
          <w:color w:val="000000"/>
          <w:sz w:val="24"/>
          <w:szCs w:val="24"/>
          <w:lang w:val="x-none"/>
        </w:rPr>
        <w:t xml:space="preserve">w odległości ok. 14 m (budynek magazynowy) oraz w odległości ok. 23 m (budynek produkcyjny) od granicy pasa drogi </w:t>
      </w:r>
      <w:r w:rsidRPr="002F273F">
        <w:rPr>
          <w:color w:val="000000"/>
          <w:sz w:val="24"/>
          <w:szCs w:val="24"/>
        </w:rPr>
        <w:t>wewnętrznej.</w:t>
      </w:r>
    </w:p>
    <w:p w14:paraId="2F3A4A38" w14:textId="77777777" w:rsidR="007E7FA7" w:rsidRPr="002F273F" w:rsidRDefault="007E7FA7" w:rsidP="007E7FA7">
      <w:pPr>
        <w:tabs>
          <w:tab w:val="left" w:pos="142"/>
          <w:tab w:val="left" w:pos="426"/>
        </w:tabs>
        <w:ind w:left="720"/>
        <w:jc w:val="both"/>
        <w:rPr>
          <w:sz w:val="24"/>
          <w:szCs w:val="24"/>
          <w:lang w:bidi="pl-PL"/>
        </w:rPr>
      </w:pPr>
      <w:r w:rsidRPr="002F273F">
        <w:rPr>
          <w:color w:val="000000"/>
          <w:sz w:val="24"/>
          <w:szCs w:val="24"/>
        </w:rPr>
        <w:t xml:space="preserve">Inwestor wnioskuje o </w:t>
      </w:r>
      <w:r w:rsidRPr="002F273F">
        <w:rPr>
          <w:sz w:val="24"/>
          <w:szCs w:val="24"/>
          <w:lang w:bidi="pl-PL"/>
        </w:rPr>
        <w:t xml:space="preserve">budowę stacji paliw płynnych </w:t>
      </w:r>
      <w:r w:rsidRPr="002F273F">
        <w:rPr>
          <w:color w:val="000000"/>
          <w:sz w:val="24"/>
          <w:szCs w:val="24"/>
          <w:lang w:val="x-none"/>
        </w:rPr>
        <w:t>wraz z budynkiem biurowo-socjalnym</w:t>
      </w:r>
      <w:r>
        <w:rPr>
          <w:color w:val="000000"/>
          <w:sz w:val="24"/>
          <w:szCs w:val="24"/>
        </w:rPr>
        <w:t xml:space="preserve"> </w:t>
      </w:r>
      <w:r w:rsidRPr="002F273F">
        <w:rPr>
          <w:color w:val="000000"/>
          <w:sz w:val="24"/>
          <w:szCs w:val="24"/>
          <w:lang w:val="x-none"/>
        </w:rPr>
        <w:t xml:space="preserve">i budynkiem warsztatowym </w:t>
      </w:r>
      <w:r w:rsidRPr="002F273F">
        <w:rPr>
          <w:sz w:val="24"/>
          <w:szCs w:val="24"/>
          <w:lang w:bidi="pl-PL"/>
        </w:rPr>
        <w:t>wraz</w:t>
      </w:r>
      <w:r>
        <w:rPr>
          <w:sz w:val="24"/>
          <w:szCs w:val="24"/>
          <w:lang w:bidi="pl-PL"/>
        </w:rPr>
        <w:t xml:space="preserve"> </w:t>
      </w:r>
      <w:r w:rsidRPr="002F273F">
        <w:rPr>
          <w:sz w:val="24"/>
          <w:szCs w:val="24"/>
          <w:lang w:bidi="pl-PL"/>
        </w:rPr>
        <w:t xml:space="preserve">z niezbędną infrastrukturą techniczną oraz elementami zagospodarowania terenu. </w:t>
      </w:r>
    </w:p>
    <w:p w14:paraId="69BC3B65" w14:textId="26E99209" w:rsidR="007E7FA7" w:rsidRPr="00DC3D0A" w:rsidRDefault="007E7FA7" w:rsidP="00DC3D0A">
      <w:pPr>
        <w:tabs>
          <w:tab w:val="left" w:pos="142"/>
          <w:tab w:val="left" w:pos="426"/>
        </w:tabs>
        <w:spacing w:after="120"/>
        <w:ind w:left="720"/>
        <w:jc w:val="both"/>
        <w:rPr>
          <w:color w:val="000000"/>
          <w:sz w:val="24"/>
          <w:szCs w:val="24"/>
          <w:lang w:bidi="pl-PL"/>
        </w:rPr>
      </w:pPr>
      <w:r w:rsidRPr="002F273F">
        <w:rPr>
          <w:sz w:val="24"/>
          <w:szCs w:val="24"/>
          <w:lang w:bidi="pl-PL"/>
        </w:rPr>
        <w:t xml:space="preserve">Dla planowanej inwestycji </w:t>
      </w:r>
      <w:r w:rsidR="006321C3">
        <w:rPr>
          <w:sz w:val="24"/>
          <w:szCs w:val="24"/>
          <w:lang w:bidi="pl-PL"/>
        </w:rPr>
        <w:t>należałoby ustalić</w:t>
      </w:r>
      <w:r w:rsidRPr="002F273F">
        <w:rPr>
          <w:sz w:val="24"/>
          <w:szCs w:val="24"/>
          <w:lang w:bidi="pl-PL"/>
        </w:rPr>
        <w:t xml:space="preserve"> nieprzekraczalną linię zabudowy</w:t>
      </w:r>
      <w:r w:rsidR="006321C3">
        <w:rPr>
          <w:sz w:val="24"/>
          <w:szCs w:val="24"/>
          <w:lang w:bidi="pl-PL"/>
        </w:rPr>
        <w:t xml:space="preserve">           </w:t>
      </w:r>
      <w:r w:rsidRPr="002F273F">
        <w:rPr>
          <w:sz w:val="24"/>
          <w:szCs w:val="24"/>
          <w:lang w:bidi="pl-PL"/>
        </w:rPr>
        <w:t xml:space="preserve"> w  odległości 29 m od granicy pasa drogowego </w:t>
      </w:r>
      <w:r w:rsidRPr="002715E9">
        <w:rPr>
          <w:sz w:val="24"/>
          <w:szCs w:val="24"/>
          <w:lang w:bidi="pl-PL"/>
        </w:rPr>
        <w:t xml:space="preserve">ul. Płaskiej jako </w:t>
      </w:r>
      <w:r w:rsidRPr="002715E9">
        <w:rPr>
          <w:sz w:val="24"/>
          <w:szCs w:val="24"/>
        </w:rPr>
        <w:t xml:space="preserve">przedłużenie </w:t>
      </w:r>
      <w:r>
        <w:rPr>
          <w:sz w:val="24"/>
          <w:szCs w:val="24"/>
        </w:rPr>
        <w:t xml:space="preserve">istniejącej </w:t>
      </w:r>
      <w:r w:rsidRPr="002715E9">
        <w:rPr>
          <w:sz w:val="24"/>
          <w:szCs w:val="24"/>
        </w:rPr>
        <w:t xml:space="preserve">linii istniejącej zabudowy </w:t>
      </w:r>
      <w:r w:rsidR="00DD4F64">
        <w:rPr>
          <w:sz w:val="24"/>
          <w:szCs w:val="24"/>
        </w:rPr>
        <w:t xml:space="preserve">budynku magazynowego </w:t>
      </w:r>
      <w:r w:rsidRPr="002715E9">
        <w:rPr>
          <w:sz w:val="24"/>
          <w:szCs w:val="24"/>
        </w:rPr>
        <w:t>na dzia</w:t>
      </w:r>
      <w:r>
        <w:rPr>
          <w:sz w:val="24"/>
          <w:szCs w:val="24"/>
        </w:rPr>
        <w:t>łkach sąsiednich nr</w:t>
      </w:r>
      <w:r w:rsidR="00DD4F64">
        <w:rPr>
          <w:sz w:val="24"/>
          <w:szCs w:val="24"/>
        </w:rPr>
        <w:t xml:space="preserve"> 32/38, 32/39, 32/25</w:t>
      </w:r>
      <w:r w:rsidRPr="002715E9">
        <w:rPr>
          <w:sz w:val="24"/>
          <w:szCs w:val="24"/>
        </w:rPr>
        <w:t xml:space="preserve"> (łącznie) oraz w odległości 23 m od granicy pasa drogowego drogi wewnętrznej jako przedłużenie </w:t>
      </w:r>
      <w:r>
        <w:rPr>
          <w:sz w:val="24"/>
          <w:szCs w:val="24"/>
        </w:rPr>
        <w:t xml:space="preserve">istniejącej </w:t>
      </w:r>
      <w:r w:rsidRPr="002715E9">
        <w:rPr>
          <w:sz w:val="24"/>
          <w:szCs w:val="24"/>
        </w:rPr>
        <w:t xml:space="preserve">linii zabudowy </w:t>
      </w:r>
      <w:r w:rsidR="00DD4F64">
        <w:rPr>
          <w:color w:val="000000"/>
          <w:sz w:val="24"/>
          <w:szCs w:val="24"/>
          <w:lang w:val="x-none"/>
        </w:rPr>
        <w:t>budynku</w:t>
      </w:r>
      <w:r w:rsidR="00DD4F64" w:rsidRPr="002F273F">
        <w:rPr>
          <w:color w:val="000000"/>
          <w:sz w:val="24"/>
          <w:szCs w:val="24"/>
          <w:lang w:val="x-none"/>
        </w:rPr>
        <w:t xml:space="preserve"> </w:t>
      </w:r>
      <w:r w:rsidR="00DD4F64">
        <w:rPr>
          <w:color w:val="000000"/>
          <w:sz w:val="24"/>
          <w:szCs w:val="24"/>
        </w:rPr>
        <w:t>przemysłowego</w:t>
      </w:r>
      <w:r w:rsidR="00DD4F64" w:rsidRPr="002715E9">
        <w:rPr>
          <w:sz w:val="24"/>
          <w:szCs w:val="24"/>
        </w:rPr>
        <w:t xml:space="preserve"> </w:t>
      </w:r>
      <w:r w:rsidRPr="002715E9">
        <w:rPr>
          <w:sz w:val="24"/>
          <w:szCs w:val="24"/>
        </w:rPr>
        <w:t xml:space="preserve">na działkach nr </w:t>
      </w:r>
      <w:r>
        <w:rPr>
          <w:rStyle w:val="FontStyle22"/>
          <w:sz w:val="24"/>
          <w:szCs w:val="24"/>
        </w:rPr>
        <w:t>199/7, 32/25 (łącznie)</w:t>
      </w:r>
      <w:r w:rsidRPr="002F273F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Jednocześnie, dla zachowania ładu przestrzennego </w:t>
      </w:r>
      <w:r w:rsidRPr="002F273F">
        <w:rPr>
          <w:color w:val="000000"/>
          <w:sz w:val="24"/>
          <w:szCs w:val="24"/>
        </w:rPr>
        <w:t xml:space="preserve">uznano, że dopuszczalnym </w:t>
      </w:r>
      <w:r>
        <w:rPr>
          <w:color w:val="000000"/>
          <w:sz w:val="24"/>
          <w:szCs w:val="24"/>
        </w:rPr>
        <w:t>jest</w:t>
      </w:r>
      <w:r w:rsidRPr="002F273F">
        <w:rPr>
          <w:color w:val="000000"/>
          <w:sz w:val="24"/>
          <w:szCs w:val="24"/>
        </w:rPr>
        <w:t xml:space="preserve"> ustalenie </w:t>
      </w:r>
      <w:r>
        <w:rPr>
          <w:color w:val="000000"/>
          <w:sz w:val="24"/>
          <w:szCs w:val="24"/>
        </w:rPr>
        <w:t xml:space="preserve">nieprzekraczalnej </w:t>
      </w:r>
      <w:r w:rsidRPr="002F273F">
        <w:rPr>
          <w:color w:val="000000"/>
          <w:sz w:val="24"/>
          <w:szCs w:val="24"/>
        </w:rPr>
        <w:t xml:space="preserve">linii zabudowy w odległości 17,5 m </w:t>
      </w:r>
      <w:r>
        <w:rPr>
          <w:color w:val="000000"/>
          <w:sz w:val="24"/>
          <w:szCs w:val="24"/>
        </w:rPr>
        <w:t>od g</w:t>
      </w:r>
      <w:r w:rsidR="00DD4F64">
        <w:rPr>
          <w:color w:val="000000"/>
          <w:sz w:val="24"/>
          <w:szCs w:val="24"/>
        </w:rPr>
        <w:t xml:space="preserve">ranicy pasa drogowego </w:t>
      </w:r>
      <w:r w:rsidRPr="002F273F">
        <w:rPr>
          <w:color w:val="000000"/>
          <w:sz w:val="24"/>
          <w:szCs w:val="24"/>
        </w:rPr>
        <w:t>ul</w:t>
      </w:r>
      <w:r>
        <w:rPr>
          <w:color w:val="000000"/>
          <w:sz w:val="24"/>
          <w:szCs w:val="24"/>
        </w:rPr>
        <w:t>.</w:t>
      </w:r>
      <w:r w:rsidRPr="002F273F">
        <w:rPr>
          <w:color w:val="000000"/>
          <w:sz w:val="24"/>
          <w:szCs w:val="24"/>
        </w:rPr>
        <w:t xml:space="preserve"> Płaskiej </w:t>
      </w:r>
      <w:r>
        <w:rPr>
          <w:color w:val="000000"/>
          <w:sz w:val="24"/>
          <w:szCs w:val="24"/>
        </w:rPr>
        <w:t>jako przedłużenie istniejącej linii zabudowy</w:t>
      </w:r>
      <w:r w:rsidRPr="002F273F">
        <w:rPr>
          <w:color w:val="000000"/>
          <w:sz w:val="24"/>
          <w:szCs w:val="24"/>
        </w:rPr>
        <w:t xml:space="preserve"> budynku </w:t>
      </w:r>
      <w:r w:rsidR="00DD4F64">
        <w:rPr>
          <w:color w:val="000000"/>
          <w:sz w:val="24"/>
          <w:szCs w:val="24"/>
        </w:rPr>
        <w:t xml:space="preserve">przemysłowego </w:t>
      </w:r>
      <w:r>
        <w:rPr>
          <w:color w:val="000000"/>
          <w:sz w:val="24"/>
          <w:szCs w:val="24"/>
        </w:rPr>
        <w:t>zlokalizowanego</w:t>
      </w:r>
      <w:r w:rsidRPr="002F273F">
        <w:rPr>
          <w:color w:val="000000"/>
          <w:sz w:val="24"/>
          <w:szCs w:val="24"/>
        </w:rPr>
        <w:t xml:space="preserve"> na działkach nr 199/7, 32/25 (łącznie) oraz w odległości 14 m od strony drogi wewnętrznej</w:t>
      </w:r>
      <w:r>
        <w:rPr>
          <w:color w:val="000000"/>
          <w:sz w:val="24"/>
          <w:szCs w:val="24"/>
        </w:rPr>
        <w:t>,</w:t>
      </w:r>
      <w:r w:rsidRPr="002715E9">
        <w:rPr>
          <w:sz w:val="24"/>
          <w:szCs w:val="24"/>
          <w:lang w:bidi="pl-PL"/>
        </w:rPr>
        <w:t xml:space="preserve"> jako </w:t>
      </w:r>
      <w:r w:rsidRPr="002715E9">
        <w:rPr>
          <w:sz w:val="24"/>
          <w:szCs w:val="24"/>
        </w:rPr>
        <w:t xml:space="preserve">przedłużenie </w:t>
      </w:r>
      <w:r>
        <w:rPr>
          <w:sz w:val="24"/>
          <w:szCs w:val="24"/>
        </w:rPr>
        <w:t xml:space="preserve">istniejącej </w:t>
      </w:r>
      <w:r w:rsidRPr="002715E9">
        <w:rPr>
          <w:sz w:val="24"/>
          <w:szCs w:val="24"/>
        </w:rPr>
        <w:t>linii zabudowy</w:t>
      </w:r>
      <w:r>
        <w:rPr>
          <w:color w:val="000000"/>
          <w:sz w:val="24"/>
          <w:szCs w:val="24"/>
        </w:rPr>
        <w:t xml:space="preserve"> budynku zlokalizowanego</w:t>
      </w:r>
      <w:r w:rsidRPr="002F273F">
        <w:rPr>
          <w:color w:val="000000"/>
          <w:sz w:val="24"/>
          <w:szCs w:val="24"/>
        </w:rPr>
        <w:t xml:space="preserve"> </w:t>
      </w:r>
      <w:r w:rsidRPr="002F273F">
        <w:rPr>
          <w:sz w:val="24"/>
          <w:szCs w:val="24"/>
          <w:lang w:val="x-none"/>
        </w:rPr>
        <w:t xml:space="preserve">na działkach nr </w:t>
      </w:r>
      <w:r w:rsidR="00DD4F64">
        <w:rPr>
          <w:sz w:val="24"/>
          <w:szCs w:val="24"/>
        </w:rPr>
        <w:t xml:space="preserve">32/38, 32/39, 32/25 </w:t>
      </w:r>
      <w:r w:rsidRPr="002F273F">
        <w:rPr>
          <w:color w:val="000000"/>
          <w:sz w:val="24"/>
          <w:szCs w:val="24"/>
        </w:rPr>
        <w:t>(łącznie)</w:t>
      </w:r>
      <w:r>
        <w:rPr>
          <w:color w:val="000000"/>
          <w:sz w:val="24"/>
          <w:szCs w:val="24"/>
        </w:rPr>
        <w:t>, zgodnie z załącznikiem graficznym nr 1 do decyzji</w:t>
      </w:r>
      <w:r w:rsidRPr="002F273F">
        <w:rPr>
          <w:color w:val="000000"/>
          <w:sz w:val="24"/>
          <w:szCs w:val="24"/>
        </w:rPr>
        <w:t>. Takie ustalenie linii zabudowy pozwoli na zagospodarowanie terenu we wnioskowany przez Inwestora sposób.</w:t>
      </w:r>
    </w:p>
    <w:p w14:paraId="753F7CB0" w14:textId="77777777" w:rsidR="007E7FA7" w:rsidRPr="00E54980" w:rsidRDefault="007E7FA7" w:rsidP="007E7FA7">
      <w:pPr>
        <w:pStyle w:val="Domylnie"/>
        <w:numPr>
          <w:ilvl w:val="0"/>
          <w:numId w:val="8"/>
        </w:numPr>
        <w:tabs>
          <w:tab w:val="left" w:pos="426"/>
        </w:tabs>
        <w:jc w:val="both"/>
        <w:rPr>
          <w:szCs w:val="24"/>
        </w:rPr>
      </w:pPr>
      <w:r w:rsidRPr="00E54980">
        <w:rPr>
          <w:szCs w:val="24"/>
        </w:rPr>
        <w:t>funkcja zabudowy:</w:t>
      </w:r>
    </w:p>
    <w:p w14:paraId="1F9F5477" w14:textId="77777777" w:rsidR="007E7FA7" w:rsidRPr="00E54980" w:rsidRDefault="007E7FA7" w:rsidP="007E7FA7">
      <w:pPr>
        <w:widowControl w:val="0"/>
        <w:tabs>
          <w:tab w:val="left" w:pos="426"/>
        </w:tabs>
        <w:ind w:left="709"/>
        <w:jc w:val="both"/>
        <w:rPr>
          <w:snapToGrid w:val="0"/>
          <w:sz w:val="24"/>
          <w:szCs w:val="24"/>
        </w:rPr>
      </w:pPr>
      <w:r w:rsidRPr="00E54980">
        <w:rPr>
          <w:snapToGrid w:val="0"/>
          <w:sz w:val="24"/>
          <w:szCs w:val="24"/>
        </w:rPr>
        <w:t>W obszarze analizowanym występuje zabudowa o funkcji:</w:t>
      </w:r>
    </w:p>
    <w:p w14:paraId="3E781BB1" w14:textId="77777777" w:rsidR="007E7FA7" w:rsidRPr="00E54980" w:rsidRDefault="007E7FA7" w:rsidP="007E7FA7">
      <w:pPr>
        <w:widowControl w:val="0"/>
        <w:tabs>
          <w:tab w:val="left" w:pos="426"/>
        </w:tabs>
        <w:ind w:left="709"/>
        <w:jc w:val="both"/>
        <w:rPr>
          <w:snapToGrid w:val="0"/>
          <w:sz w:val="24"/>
          <w:szCs w:val="24"/>
        </w:rPr>
      </w:pPr>
      <w:r w:rsidRPr="00E54980">
        <w:rPr>
          <w:snapToGrid w:val="0"/>
          <w:sz w:val="24"/>
          <w:szCs w:val="24"/>
        </w:rPr>
        <w:t>- usługowej, w tym biurowej (działka nr 28/25, działki nr 15/32, 15/26 – łącznie, ),</w:t>
      </w:r>
    </w:p>
    <w:p w14:paraId="20CB3390" w14:textId="77777777" w:rsidR="007E7FA7" w:rsidRPr="00E54980" w:rsidRDefault="007E7FA7" w:rsidP="007E7FA7">
      <w:pPr>
        <w:widowControl w:val="0"/>
        <w:tabs>
          <w:tab w:val="left" w:pos="426"/>
        </w:tabs>
        <w:ind w:left="709"/>
        <w:jc w:val="both"/>
        <w:rPr>
          <w:snapToGrid w:val="0"/>
          <w:sz w:val="24"/>
          <w:szCs w:val="24"/>
        </w:rPr>
      </w:pPr>
      <w:r w:rsidRPr="00E54980">
        <w:rPr>
          <w:snapToGrid w:val="0"/>
          <w:sz w:val="24"/>
          <w:szCs w:val="24"/>
        </w:rPr>
        <w:t>- produkcyjno-magazynowej (działki nr 28/15, 28/16 – łącznie, działki nr 15/19, 28/24, 28/18, 28/20, 28/21 – łącznie, działki nr 32/25, 199/7, 32/39, 32/38 – łącznie, działki nr 213, 32/23, 148/22 – łącznie).</w:t>
      </w:r>
    </w:p>
    <w:p w14:paraId="61408BB0" w14:textId="6B4A1B17" w:rsidR="007E7FA7" w:rsidRPr="00DC3D0A" w:rsidRDefault="007E7FA7" w:rsidP="00DC3D0A">
      <w:pPr>
        <w:pStyle w:val="Tekstpodstawowy2"/>
        <w:spacing w:after="120"/>
        <w:ind w:left="709"/>
        <w:rPr>
          <w:rFonts w:ascii="Times New Roman" w:hAnsi="Times New Roman"/>
          <w:sz w:val="24"/>
          <w:szCs w:val="24"/>
        </w:rPr>
      </w:pPr>
      <w:r w:rsidRPr="00E54980">
        <w:rPr>
          <w:rFonts w:ascii="Times New Roman" w:hAnsi="Times New Roman"/>
          <w:snapToGrid w:val="0"/>
          <w:sz w:val="24"/>
          <w:szCs w:val="24"/>
        </w:rPr>
        <w:t xml:space="preserve">Planowana inwestycja polega na </w:t>
      </w:r>
      <w:r w:rsidR="008071C5" w:rsidRPr="00E54980">
        <w:rPr>
          <w:rFonts w:ascii="Times New Roman" w:hAnsi="Times New Roman"/>
          <w:sz w:val="24"/>
          <w:szCs w:val="24"/>
        </w:rPr>
        <w:t>budowie stacji paliw płynnych z budynkiem biurowo-socjalnym i warsztatowym wraz z niezbędną infrastrukturą techniczną oraz ele</w:t>
      </w:r>
      <w:r w:rsidR="00E54980" w:rsidRPr="00E54980">
        <w:rPr>
          <w:rFonts w:ascii="Times New Roman" w:hAnsi="Times New Roman"/>
          <w:sz w:val="24"/>
          <w:szCs w:val="24"/>
        </w:rPr>
        <w:t>mentami zagospodarowania terenu.</w:t>
      </w:r>
      <w:r w:rsidR="00E54980">
        <w:rPr>
          <w:rFonts w:ascii="Times New Roman" w:hAnsi="Times New Roman"/>
          <w:sz w:val="24"/>
          <w:szCs w:val="24"/>
        </w:rPr>
        <w:t xml:space="preserve"> </w:t>
      </w:r>
      <w:r w:rsidRPr="00E54980">
        <w:rPr>
          <w:rFonts w:ascii="Times New Roman" w:hAnsi="Times New Roman"/>
          <w:snapToGrid w:val="0"/>
          <w:sz w:val="24"/>
          <w:szCs w:val="24"/>
        </w:rPr>
        <w:t>Mając powyższe na uwadze uznaje się, że planowana inwestycja kontynuuje funkcję zabudowy z obszaru analizowanego.</w:t>
      </w:r>
    </w:p>
    <w:p w14:paraId="043BC345" w14:textId="77777777" w:rsidR="007E7FA7" w:rsidRPr="002715E9" w:rsidRDefault="007E7FA7" w:rsidP="007E7FA7">
      <w:pPr>
        <w:pStyle w:val="Domylnie"/>
        <w:numPr>
          <w:ilvl w:val="0"/>
          <w:numId w:val="8"/>
        </w:numPr>
        <w:tabs>
          <w:tab w:val="left" w:pos="426"/>
        </w:tabs>
        <w:jc w:val="both"/>
        <w:rPr>
          <w:szCs w:val="24"/>
        </w:rPr>
      </w:pPr>
      <w:r w:rsidRPr="002715E9">
        <w:rPr>
          <w:szCs w:val="24"/>
        </w:rPr>
        <w:t xml:space="preserve">wskaźnik wielkości powierzchni zabudowy: </w:t>
      </w:r>
    </w:p>
    <w:p w14:paraId="03BEE9DD" w14:textId="77777777" w:rsidR="007E7FA7" w:rsidRPr="002715E9" w:rsidRDefault="007E7FA7" w:rsidP="007E7FA7">
      <w:pPr>
        <w:widowControl w:val="0"/>
        <w:ind w:left="720"/>
        <w:jc w:val="both"/>
        <w:rPr>
          <w:rFonts w:eastAsia="Arial"/>
          <w:sz w:val="24"/>
          <w:szCs w:val="24"/>
        </w:rPr>
      </w:pPr>
      <w:r w:rsidRPr="002715E9">
        <w:rPr>
          <w:rFonts w:eastAsia="Arial"/>
          <w:sz w:val="24"/>
          <w:szCs w:val="24"/>
        </w:rPr>
        <w:t>Zgodnie z § 5 rozporządzenia jw. wskaźnik wielkości powierzchni nowej zabudowy</w:t>
      </w:r>
      <w:r w:rsidRPr="002715E9">
        <w:rPr>
          <w:rFonts w:eastAsia="Arial"/>
          <w:sz w:val="24"/>
          <w:szCs w:val="24"/>
        </w:rPr>
        <w:br/>
        <w:t>w stosunku do powierzchni działki albo terenu wyznacza się na podstawie średniego wskaźnika tej wielkości dla obszaru analizowanego. Dopuszcza się wyznaczenie innego wskaźnika wielkości powierzchni nowej zabudowy (niż średni wskaźnik)</w:t>
      </w:r>
      <w:r w:rsidRPr="002715E9">
        <w:rPr>
          <w:rFonts w:eastAsia="Arial"/>
          <w:sz w:val="24"/>
          <w:szCs w:val="24"/>
        </w:rPr>
        <w:br/>
        <w:t>w stosunku do powierzchni działki, jeżeli wynika to z analizy.</w:t>
      </w:r>
    </w:p>
    <w:p w14:paraId="4E1E74D0" w14:textId="77777777" w:rsidR="007E7FA7" w:rsidRPr="002715E9" w:rsidRDefault="007E7FA7" w:rsidP="007E7FA7">
      <w:pPr>
        <w:widowControl w:val="0"/>
        <w:ind w:left="720"/>
        <w:jc w:val="both"/>
        <w:rPr>
          <w:rFonts w:eastAsia="Arial"/>
          <w:sz w:val="24"/>
          <w:szCs w:val="24"/>
        </w:rPr>
      </w:pPr>
      <w:r w:rsidRPr="002715E9">
        <w:rPr>
          <w:rFonts w:eastAsia="Arial"/>
          <w:sz w:val="24"/>
          <w:szCs w:val="24"/>
        </w:rPr>
        <w:t>Średni wskaźnik wielkości powierzchni zabudowy w obszarze analizowanym wynosi 35 %. Teren objęty wnioskiem (</w:t>
      </w:r>
      <w:r w:rsidRPr="002715E9">
        <w:rPr>
          <w:sz w:val="24"/>
          <w:szCs w:val="24"/>
        </w:rPr>
        <w:t>działki nr 32/36, 32/41, 199/10 obręb 45</w:t>
      </w:r>
      <w:r w:rsidRPr="002715E9">
        <w:rPr>
          <w:rFonts w:eastAsia="Arial"/>
          <w:sz w:val="24"/>
          <w:szCs w:val="24"/>
        </w:rPr>
        <w:t>) ma powierzchnię 4003 m</w:t>
      </w:r>
      <w:r w:rsidRPr="002715E9">
        <w:rPr>
          <w:rFonts w:eastAsia="Arial"/>
          <w:sz w:val="24"/>
          <w:szCs w:val="24"/>
          <w:vertAlign w:val="superscript"/>
        </w:rPr>
        <w:t>2</w:t>
      </w:r>
      <w:r w:rsidRPr="002715E9">
        <w:rPr>
          <w:rFonts w:eastAsia="Arial"/>
          <w:sz w:val="24"/>
          <w:szCs w:val="24"/>
        </w:rPr>
        <w:t xml:space="preserve"> i obecnie nie jest zabudowany. </w:t>
      </w:r>
    </w:p>
    <w:p w14:paraId="01742BE1" w14:textId="3379EA42" w:rsidR="007E7FA7" w:rsidRPr="002715E9" w:rsidRDefault="007E7FA7" w:rsidP="007E7FA7">
      <w:pPr>
        <w:widowControl w:val="0"/>
        <w:ind w:left="720"/>
        <w:jc w:val="both"/>
        <w:rPr>
          <w:rFonts w:eastAsia="Arial"/>
          <w:sz w:val="24"/>
          <w:szCs w:val="24"/>
        </w:rPr>
      </w:pPr>
      <w:r w:rsidRPr="002715E9">
        <w:rPr>
          <w:rFonts w:eastAsia="Arial"/>
          <w:sz w:val="24"/>
          <w:szCs w:val="24"/>
        </w:rPr>
        <w:t xml:space="preserve">Inwestor wnioskuje o </w:t>
      </w:r>
      <w:r w:rsidRPr="002715E9">
        <w:rPr>
          <w:sz w:val="24"/>
          <w:szCs w:val="24"/>
          <w:lang w:bidi="pl-PL"/>
        </w:rPr>
        <w:t xml:space="preserve">budowę stacji paliw płynnych wraz </w:t>
      </w:r>
      <w:r w:rsidR="001B6901">
        <w:rPr>
          <w:sz w:val="24"/>
          <w:szCs w:val="24"/>
          <w:lang w:bidi="pl-PL"/>
        </w:rPr>
        <w:t xml:space="preserve">z </w:t>
      </w:r>
      <w:r w:rsidRPr="002715E9">
        <w:rPr>
          <w:sz w:val="24"/>
          <w:szCs w:val="24"/>
          <w:lang w:bidi="pl-PL"/>
        </w:rPr>
        <w:t>niezbędną infrastrukturą techniczną oraz elementami zagospodarowania terenu, w tym budowę budynku biurowo-socjalnego, budynku warsztatowego</w:t>
      </w:r>
      <w:r w:rsidRPr="002715E9">
        <w:rPr>
          <w:rFonts w:eastAsia="Arial"/>
          <w:sz w:val="24"/>
          <w:szCs w:val="24"/>
        </w:rPr>
        <w:t xml:space="preserve"> o łącznej powierzchni zabudowy wynoszącej minimalnie 400 m</w:t>
      </w:r>
      <w:r w:rsidRPr="002715E9">
        <w:rPr>
          <w:rFonts w:eastAsia="Arial"/>
          <w:sz w:val="24"/>
          <w:szCs w:val="24"/>
          <w:vertAlign w:val="superscript"/>
        </w:rPr>
        <w:t>2</w:t>
      </w:r>
      <w:r w:rsidRPr="002715E9">
        <w:rPr>
          <w:rFonts w:eastAsia="Arial"/>
          <w:sz w:val="24"/>
          <w:szCs w:val="24"/>
        </w:rPr>
        <w:t>, a maksymalnie 800 m</w:t>
      </w:r>
      <w:r w:rsidRPr="002715E9">
        <w:rPr>
          <w:rFonts w:eastAsia="Arial"/>
          <w:sz w:val="24"/>
          <w:szCs w:val="24"/>
          <w:vertAlign w:val="superscript"/>
        </w:rPr>
        <w:t>2</w:t>
      </w:r>
      <w:r w:rsidRPr="002715E9">
        <w:rPr>
          <w:rFonts w:eastAsia="Arial"/>
          <w:sz w:val="24"/>
          <w:szCs w:val="24"/>
        </w:rPr>
        <w:t>. W wyniku planowanej inwestycji wskaźnik wielkości powierzchni zabudowy wyni</w:t>
      </w:r>
      <w:r>
        <w:rPr>
          <w:rFonts w:eastAsia="Arial"/>
          <w:sz w:val="24"/>
          <w:szCs w:val="24"/>
        </w:rPr>
        <w:t>esie</w:t>
      </w:r>
      <w:r w:rsidRPr="002715E9">
        <w:rPr>
          <w:rFonts w:eastAsia="Arial"/>
          <w:sz w:val="24"/>
          <w:szCs w:val="24"/>
        </w:rPr>
        <w:t xml:space="preserve"> minimalnie 10 %, </w:t>
      </w:r>
      <w:r w:rsidRPr="002715E9">
        <w:rPr>
          <w:rFonts w:eastAsia="Arial"/>
          <w:sz w:val="24"/>
          <w:szCs w:val="24"/>
        </w:rPr>
        <w:lastRenderedPageBreak/>
        <w:t>a maksymalnie 20 % powierzchni terenu objętego wnioskiem.</w:t>
      </w:r>
    </w:p>
    <w:p w14:paraId="5A86C023" w14:textId="1DCB3228" w:rsidR="007E7FA7" w:rsidRPr="002715E9" w:rsidRDefault="007E7FA7" w:rsidP="00DC3D0A">
      <w:pPr>
        <w:widowControl w:val="0"/>
        <w:spacing w:after="120"/>
        <w:ind w:left="720"/>
        <w:jc w:val="both"/>
        <w:rPr>
          <w:rFonts w:eastAsia="Arial"/>
          <w:sz w:val="24"/>
          <w:szCs w:val="24"/>
        </w:rPr>
      </w:pPr>
      <w:r w:rsidRPr="002715E9">
        <w:rPr>
          <w:rFonts w:eastAsia="Arial"/>
          <w:sz w:val="24"/>
          <w:szCs w:val="24"/>
        </w:rPr>
        <w:t xml:space="preserve">Dla planowanej inwestycji </w:t>
      </w:r>
      <w:r>
        <w:rPr>
          <w:rFonts w:eastAsia="Arial"/>
          <w:sz w:val="24"/>
          <w:szCs w:val="24"/>
        </w:rPr>
        <w:t>ustala się</w:t>
      </w:r>
      <w:r w:rsidRPr="002715E9">
        <w:rPr>
          <w:rFonts w:eastAsia="Arial"/>
          <w:sz w:val="24"/>
          <w:szCs w:val="24"/>
        </w:rPr>
        <w:t xml:space="preserve"> wskaźnik wielkości powierzchni zabudowy maksymalnie 35 % powierzchni terenu objętego wnioskiem jako średni wskaźnik wielkości powierzchni zabudowy występujący w obszarze analizowanym.</w:t>
      </w:r>
    </w:p>
    <w:p w14:paraId="7E85E4C4" w14:textId="77777777" w:rsidR="007E7FA7" w:rsidRPr="002715E9" w:rsidRDefault="007E7FA7" w:rsidP="007E7FA7">
      <w:pPr>
        <w:pStyle w:val="Domylnie"/>
        <w:numPr>
          <w:ilvl w:val="0"/>
          <w:numId w:val="8"/>
        </w:numPr>
        <w:tabs>
          <w:tab w:val="left" w:pos="426"/>
        </w:tabs>
        <w:jc w:val="both"/>
        <w:rPr>
          <w:szCs w:val="24"/>
          <w:u w:val="single"/>
        </w:rPr>
      </w:pPr>
      <w:r w:rsidRPr="002715E9">
        <w:rPr>
          <w:szCs w:val="24"/>
        </w:rPr>
        <w:t xml:space="preserve">szerokość elewacji frontowej: </w:t>
      </w:r>
    </w:p>
    <w:p w14:paraId="71A61C2D" w14:textId="77777777" w:rsidR="007E7FA7" w:rsidRPr="002715E9" w:rsidRDefault="007E7FA7" w:rsidP="007E7FA7">
      <w:pPr>
        <w:widowControl w:val="0"/>
        <w:tabs>
          <w:tab w:val="left" w:pos="720"/>
        </w:tabs>
        <w:ind w:left="720"/>
        <w:jc w:val="both"/>
        <w:rPr>
          <w:rFonts w:eastAsia="Arial"/>
          <w:sz w:val="24"/>
          <w:szCs w:val="24"/>
        </w:rPr>
      </w:pPr>
      <w:r w:rsidRPr="002715E9">
        <w:rPr>
          <w:rFonts w:eastAsia="Arial"/>
          <w:sz w:val="24"/>
          <w:szCs w:val="24"/>
        </w:rPr>
        <w:t>Zgodnie z § 6 rozporządzenia jw. szerokość elewacji frontowej, znajdującej się</w:t>
      </w:r>
      <w:r w:rsidRPr="002715E9">
        <w:rPr>
          <w:rFonts w:eastAsia="Arial"/>
          <w:sz w:val="24"/>
          <w:szCs w:val="24"/>
        </w:rPr>
        <w:br/>
        <w:t>od frontu terenu, wyznacza się dla nowej zabudowy na podstawie średniej szerokości elewacji frontowych istniejącej zabudowy na działkach w obszarze analizowanym,</w:t>
      </w:r>
      <w:r w:rsidRPr="002715E9">
        <w:rPr>
          <w:rFonts w:eastAsia="Arial"/>
          <w:sz w:val="24"/>
          <w:szCs w:val="24"/>
        </w:rPr>
        <w:br/>
        <w:t xml:space="preserve">z tolerancją do 20 %. Dopuszcza się wyznaczenie innej szerokości elewacji frontowej, jeżeli wynika to z analizy. </w:t>
      </w:r>
    </w:p>
    <w:p w14:paraId="0C93D69F" w14:textId="570A331B" w:rsidR="007E7FA7" w:rsidRPr="002715E9" w:rsidRDefault="007E7FA7" w:rsidP="007E7FA7">
      <w:pPr>
        <w:widowControl w:val="0"/>
        <w:tabs>
          <w:tab w:val="left" w:pos="720"/>
        </w:tabs>
        <w:ind w:left="720"/>
        <w:jc w:val="both"/>
        <w:rPr>
          <w:sz w:val="24"/>
          <w:szCs w:val="24"/>
        </w:rPr>
      </w:pPr>
      <w:r w:rsidRPr="002715E9">
        <w:rPr>
          <w:sz w:val="24"/>
          <w:szCs w:val="24"/>
        </w:rPr>
        <w:t xml:space="preserve">Średnia szerokość elewacji frontowych budynków w obszarze analizowanym wynosi 21,1 m, co z tolerancją 20 % wynosi minimalnie 16,9 m i maksymalnie 25,3 m. Inwestor wnioskuje o </w:t>
      </w:r>
      <w:r w:rsidRPr="002715E9">
        <w:rPr>
          <w:sz w:val="24"/>
          <w:szCs w:val="24"/>
          <w:lang w:bidi="pl-PL"/>
        </w:rPr>
        <w:t xml:space="preserve">budowę stacji paliw płynnych wraz </w:t>
      </w:r>
      <w:r w:rsidR="001B6901">
        <w:rPr>
          <w:sz w:val="24"/>
          <w:szCs w:val="24"/>
          <w:lang w:bidi="pl-PL"/>
        </w:rPr>
        <w:t xml:space="preserve">z </w:t>
      </w:r>
      <w:r w:rsidRPr="002715E9">
        <w:rPr>
          <w:sz w:val="24"/>
          <w:szCs w:val="24"/>
          <w:lang w:bidi="pl-PL"/>
        </w:rPr>
        <w:t xml:space="preserve">niezbędną infrastrukturą techniczną oraz elementami zagospodarowania terenu, w tym budowę </w:t>
      </w:r>
      <w:r w:rsidRPr="002715E9">
        <w:rPr>
          <w:sz w:val="24"/>
          <w:szCs w:val="24"/>
        </w:rPr>
        <w:t>budynku biurowo-socjalnego o szerokości elewacji frontowej minimalnie 8 m, a maksymalnie 20 m, budowę budynku warsztatowego o szerokości elewacji frontowej minimalnie 8 m, a maksymalnie 15 m oraz budowę zadaszenia – wiaty o szerokości obiektu minimalnie 3,5 m, a maksymalnie 7 m. W przypadku zadaszenia odniesiono się do szerokości obiektu, ponieważ zadaszenie nie posiada elewacji frontowej.</w:t>
      </w:r>
    </w:p>
    <w:p w14:paraId="1E9D575F" w14:textId="77777777" w:rsidR="007E7FA7" w:rsidRPr="002715E9" w:rsidRDefault="007E7FA7" w:rsidP="007E7FA7">
      <w:pPr>
        <w:widowControl w:val="0"/>
        <w:tabs>
          <w:tab w:val="left" w:pos="720"/>
        </w:tabs>
        <w:ind w:left="720"/>
        <w:jc w:val="both"/>
        <w:rPr>
          <w:sz w:val="24"/>
          <w:szCs w:val="24"/>
        </w:rPr>
      </w:pPr>
      <w:r w:rsidRPr="002715E9">
        <w:rPr>
          <w:sz w:val="24"/>
          <w:szCs w:val="24"/>
        </w:rPr>
        <w:t>Mając powyższe na uwadze dla planowanej inwestycji w odniesieniu do:</w:t>
      </w:r>
    </w:p>
    <w:p w14:paraId="152DA78A" w14:textId="3108160D" w:rsidR="007E7FA7" w:rsidRPr="002715E9" w:rsidRDefault="007E7FA7" w:rsidP="007E7FA7">
      <w:pPr>
        <w:widowControl w:val="0"/>
        <w:tabs>
          <w:tab w:val="left" w:pos="720"/>
        </w:tabs>
        <w:ind w:left="720"/>
        <w:jc w:val="both"/>
        <w:rPr>
          <w:sz w:val="24"/>
          <w:szCs w:val="24"/>
        </w:rPr>
      </w:pPr>
      <w:r w:rsidRPr="002715E9">
        <w:rPr>
          <w:sz w:val="24"/>
          <w:szCs w:val="24"/>
        </w:rPr>
        <w:t xml:space="preserve">- budowy budynku biurowo-socjalnego </w:t>
      </w:r>
      <w:r>
        <w:rPr>
          <w:sz w:val="24"/>
          <w:szCs w:val="24"/>
        </w:rPr>
        <w:t>ustala się</w:t>
      </w:r>
      <w:r w:rsidRPr="002715E9">
        <w:rPr>
          <w:sz w:val="24"/>
          <w:szCs w:val="24"/>
        </w:rPr>
        <w:t xml:space="preserve"> szerokość elewacji frontowej maksymalnie 25,3 m jako średnią szerokość elewacji frontowych budynków </w:t>
      </w:r>
      <w:r w:rsidR="007B2948">
        <w:rPr>
          <w:sz w:val="24"/>
          <w:szCs w:val="24"/>
        </w:rPr>
        <w:t xml:space="preserve">               </w:t>
      </w:r>
      <w:r w:rsidRPr="002715E9">
        <w:rPr>
          <w:sz w:val="24"/>
          <w:szCs w:val="24"/>
        </w:rPr>
        <w:t>w obszarze analizowanym z tolerancją 20 %,</w:t>
      </w:r>
    </w:p>
    <w:p w14:paraId="13810C50" w14:textId="77777777" w:rsidR="007E7FA7" w:rsidRPr="002715E9" w:rsidRDefault="007E7FA7" w:rsidP="007E7FA7">
      <w:pPr>
        <w:widowControl w:val="0"/>
        <w:tabs>
          <w:tab w:val="left" w:pos="720"/>
        </w:tabs>
        <w:ind w:left="720"/>
        <w:jc w:val="both"/>
        <w:rPr>
          <w:sz w:val="24"/>
          <w:szCs w:val="24"/>
        </w:rPr>
      </w:pPr>
      <w:r w:rsidRPr="002715E9">
        <w:rPr>
          <w:sz w:val="24"/>
          <w:szCs w:val="24"/>
        </w:rPr>
        <w:t xml:space="preserve">- budowy budynku warsztatowego </w:t>
      </w:r>
      <w:r>
        <w:rPr>
          <w:sz w:val="24"/>
          <w:szCs w:val="24"/>
        </w:rPr>
        <w:t>ustala się</w:t>
      </w:r>
      <w:r w:rsidRPr="002715E9">
        <w:rPr>
          <w:sz w:val="24"/>
          <w:szCs w:val="24"/>
        </w:rPr>
        <w:t xml:space="preserve"> szerokość elewacji frontowej maksymalnie 15 m jako szerokość nieprzekraczającą średniej szerokości elewacji frontowych budynków w obszarze analizowanym,</w:t>
      </w:r>
    </w:p>
    <w:p w14:paraId="58C20EDC" w14:textId="77777777" w:rsidR="007E7FA7" w:rsidRPr="002715E9" w:rsidRDefault="007E7FA7" w:rsidP="007E7FA7">
      <w:pPr>
        <w:widowControl w:val="0"/>
        <w:tabs>
          <w:tab w:val="left" w:pos="720"/>
        </w:tabs>
        <w:ind w:left="720"/>
        <w:jc w:val="both"/>
        <w:rPr>
          <w:sz w:val="24"/>
          <w:szCs w:val="24"/>
        </w:rPr>
      </w:pPr>
      <w:r w:rsidRPr="002715E9">
        <w:rPr>
          <w:sz w:val="24"/>
          <w:szCs w:val="24"/>
        </w:rPr>
        <w:t xml:space="preserve">- budowy zadaszenia </w:t>
      </w:r>
      <w:r>
        <w:rPr>
          <w:sz w:val="24"/>
          <w:szCs w:val="24"/>
        </w:rPr>
        <w:t>ustala się</w:t>
      </w:r>
      <w:r w:rsidRPr="002715E9">
        <w:rPr>
          <w:sz w:val="24"/>
          <w:szCs w:val="24"/>
        </w:rPr>
        <w:t xml:space="preserve"> szerokość obiektu maksymalnie 7 m jako szerokość nieprzekraczającą średniej szerokości elewacji frontowych budynków w obszarze analizowanym.</w:t>
      </w:r>
    </w:p>
    <w:p w14:paraId="30EF19D6" w14:textId="4C8C9829" w:rsidR="007E7FA7" w:rsidRPr="00DC3D0A" w:rsidRDefault="007E7FA7" w:rsidP="00B52843">
      <w:pPr>
        <w:widowControl w:val="0"/>
        <w:tabs>
          <w:tab w:val="left" w:pos="720"/>
        </w:tabs>
        <w:spacing w:after="240"/>
        <w:ind w:left="720"/>
        <w:jc w:val="both"/>
        <w:rPr>
          <w:sz w:val="24"/>
          <w:szCs w:val="24"/>
        </w:rPr>
      </w:pPr>
      <w:r w:rsidRPr="002715E9">
        <w:rPr>
          <w:sz w:val="24"/>
          <w:szCs w:val="24"/>
        </w:rPr>
        <w:t>Takie ustalenie szerokości elewacji frontowych budynków biurowo-socjalnego</w:t>
      </w:r>
      <w:r w:rsidR="007B2948">
        <w:rPr>
          <w:sz w:val="24"/>
          <w:szCs w:val="24"/>
        </w:rPr>
        <w:t xml:space="preserve">            </w:t>
      </w:r>
      <w:r w:rsidRPr="002715E9">
        <w:rPr>
          <w:sz w:val="24"/>
          <w:szCs w:val="24"/>
        </w:rPr>
        <w:t xml:space="preserve"> i warsztatowego oraz szerokości obiektu zadaszenia </w:t>
      </w:r>
      <w:r>
        <w:rPr>
          <w:sz w:val="24"/>
          <w:szCs w:val="24"/>
        </w:rPr>
        <w:t>jest</w:t>
      </w:r>
      <w:r w:rsidRPr="002715E9">
        <w:rPr>
          <w:sz w:val="24"/>
          <w:szCs w:val="24"/>
        </w:rPr>
        <w:t xml:space="preserve"> zgodne z wnioskiem Inwestora.</w:t>
      </w:r>
    </w:p>
    <w:p w14:paraId="5FBF0094" w14:textId="77777777" w:rsidR="007E7FA7" w:rsidRPr="002715E9" w:rsidRDefault="007E7FA7" w:rsidP="007E7FA7">
      <w:pPr>
        <w:pStyle w:val="Domylnie"/>
        <w:numPr>
          <w:ilvl w:val="0"/>
          <w:numId w:val="8"/>
        </w:numPr>
        <w:tabs>
          <w:tab w:val="left" w:pos="426"/>
        </w:tabs>
        <w:jc w:val="both"/>
        <w:rPr>
          <w:szCs w:val="24"/>
        </w:rPr>
      </w:pPr>
      <w:r w:rsidRPr="002715E9">
        <w:rPr>
          <w:szCs w:val="24"/>
        </w:rPr>
        <w:t>wysokość górnej krawędzi elewacji frontowej, jej gzymsu lub attyki:</w:t>
      </w:r>
    </w:p>
    <w:p w14:paraId="642BA682" w14:textId="16672402" w:rsidR="007E7FA7" w:rsidRPr="00B52843" w:rsidRDefault="007E7FA7" w:rsidP="00B52843">
      <w:pPr>
        <w:widowControl w:val="0"/>
        <w:ind w:left="720"/>
        <w:jc w:val="both"/>
        <w:rPr>
          <w:rFonts w:eastAsia="Arial"/>
          <w:sz w:val="24"/>
          <w:szCs w:val="24"/>
        </w:rPr>
      </w:pPr>
      <w:r w:rsidRPr="002715E9">
        <w:rPr>
          <w:rFonts w:eastAsia="Arial"/>
          <w:sz w:val="24"/>
          <w:szCs w:val="24"/>
        </w:rPr>
        <w:t>Zgodnie z § 7 rozporządzenia jw. wysokość górnej krawędzi elewacji</w:t>
      </w:r>
      <w:r w:rsidR="00B52843">
        <w:rPr>
          <w:rFonts w:eastAsia="Arial"/>
          <w:sz w:val="24"/>
          <w:szCs w:val="24"/>
        </w:rPr>
        <w:t xml:space="preserve">             frontowej, </w:t>
      </w:r>
      <w:r w:rsidRPr="002715E9">
        <w:rPr>
          <w:rFonts w:eastAsia="Arial"/>
          <w:sz w:val="24"/>
          <w:szCs w:val="24"/>
        </w:rPr>
        <w:t>jej gzymsu lub attyki, wyznacza się dla nowej zabudowy jako</w:t>
      </w:r>
      <w:r w:rsidR="00B52843">
        <w:rPr>
          <w:rFonts w:eastAsia="Arial"/>
          <w:sz w:val="24"/>
          <w:szCs w:val="24"/>
        </w:rPr>
        <w:t xml:space="preserve">     przedłużenie </w:t>
      </w:r>
      <w:r w:rsidRPr="002715E9">
        <w:rPr>
          <w:rFonts w:eastAsia="Arial"/>
          <w:sz w:val="24"/>
          <w:szCs w:val="24"/>
        </w:rPr>
        <w:t>tych krawędzi odpowiednio do istniejącej zabudowy na działkach sąsiednich.</w:t>
      </w:r>
      <w:r w:rsidR="00B52843">
        <w:rPr>
          <w:rFonts w:eastAsia="Arial"/>
          <w:sz w:val="24"/>
          <w:szCs w:val="24"/>
        </w:rPr>
        <w:t xml:space="preserve">         </w:t>
      </w:r>
      <w:r w:rsidRPr="002715E9">
        <w:rPr>
          <w:rFonts w:eastAsia="Arial"/>
          <w:sz w:val="24"/>
          <w:szCs w:val="24"/>
        </w:rPr>
        <w:t xml:space="preserve"> Jeżeli wysokość ta przebiega tworząc uskok, wówczas przyjmuje się jej średnią wielkość występującą na obszarze analizowanym. Dopuszcza się wyznaczenie innej wysokości elewacji frontowej, jeżeli wynika to z analizy.</w:t>
      </w:r>
      <w:r w:rsidR="00B52843">
        <w:rPr>
          <w:rFonts w:eastAsia="Arial"/>
          <w:sz w:val="24"/>
          <w:szCs w:val="24"/>
        </w:rPr>
        <w:t xml:space="preserve"> </w:t>
      </w:r>
      <w:r w:rsidRPr="002715E9">
        <w:rPr>
          <w:rFonts w:eastAsia="Arial"/>
          <w:sz w:val="24"/>
          <w:szCs w:val="24"/>
        </w:rPr>
        <w:t xml:space="preserve">Średnia wysokość górnych krawędzi elewacji frontowych budynków </w:t>
      </w:r>
      <w:r w:rsidR="00B52843">
        <w:rPr>
          <w:rFonts w:eastAsia="Arial"/>
          <w:sz w:val="24"/>
          <w:szCs w:val="24"/>
        </w:rPr>
        <w:t xml:space="preserve">występujących </w:t>
      </w:r>
      <w:r w:rsidRPr="002715E9">
        <w:rPr>
          <w:rFonts w:eastAsia="Arial"/>
          <w:sz w:val="24"/>
          <w:szCs w:val="24"/>
        </w:rPr>
        <w:t xml:space="preserve">w obszarze analizowanym wynosi ok. 6,7 m, natomiast maksymalna wysokość wynosi 10 m (działki nr 15/19, 28/24, 28/25, 28/18, 28/20, 28/21 – łącznie, działki nr 15/32, 15/26 – łącznie, działka nr 211/20). Wysokość górnej krawędzi elewacji frontowej budynku produkcyjnego zlokalizowanego po południowej stronie ul. Płaskiej </w:t>
      </w:r>
      <w:r w:rsidR="00B52843">
        <w:rPr>
          <w:rFonts w:eastAsia="Arial"/>
          <w:sz w:val="24"/>
          <w:szCs w:val="24"/>
        </w:rPr>
        <w:t xml:space="preserve"> </w:t>
      </w:r>
      <w:r w:rsidRPr="002715E9">
        <w:rPr>
          <w:rFonts w:eastAsia="Arial"/>
          <w:sz w:val="24"/>
          <w:szCs w:val="24"/>
        </w:rPr>
        <w:t>(działki nr 199/7 i 32/25 – łącznie) wynosi ok. 9,3 m.</w:t>
      </w:r>
      <w:r w:rsidR="00B52843">
        <w:rPr>
          <w:rFonts w:eastAsia="Arial"/>
          <w:sz w:val="24"/>
          <w:szCs w:val="24"/>
        </w:rPr>
        <w:t xml:space="preserve"> </w:t>
      </w:r>
      <w:r w:rsidRPr="002715E9">
        <w:rPr>
          <w:sz w:val="24"/>
          <w:szCs w:val="24"/>
        </w:rPr>
        <w:t>Inwestor wnioskuje</w:t>
      </w:r>
      <w:r w:rsidR="00B52843">
        <w:rPr>
          <w:sz w:val="24"/>
          <w:szCs w:val="24"/>
        </w:rPr>
        <w:t xml:space="preserve">  </w:t>
      </w:r>
      <w:r w:rsidRPr="002715E9">
        <w:rPr>
          <w:sz w:val="24"/>
          <w:szCs w:val="24"/>
        </w:rPr>
        <w:t xml:space="preserve">o </w:t>
      </w:r>
      <w:r w:rsidRPr="002715E9">
        <w:rPr>
          <w:sz w:val="24"/>
          <w:szCs w:val="24"/>
          <w:lang w:bidi="pl-PL"/>
        </w:rPr>
        <w:t>budowę</w:t>
      </w:r>
      <w:r w:rsidR="00B52843">
        <w:rPr>
          <w:sz w:val="24"/>
          <w:szCs w:val="24"/>
          <w:lang w:bidi="pl-PL"/>
        </w:rPr>
        <w:t xml:space="preserve"> </w:t>
      </w:r>
      <w:r w:rsidRPr="002715E9">
        <w:rPr>
          <w:sz w:val="24"/>
          <w:szCs w:val="24"/>
          <w:lang w:bidi="pl-PL"/>
        </w:rPr>
        <w:t xml:space="preserve">stacji paliw płynnych wraz </w:t>
      </w:r>
      <w:r w:rsidR="001B6901">
        <w:rPr>
          <w:sz w:val="24"/>
          <w:szCs w:val="24"/>
          <w:lang w:bidi="pl-PL"/>
        </w:rPr>
        <w:t xml:space="preserve">z </w:t>
      </w:r>
      <w:r w:rsidRPr="002715E9">
        <w:rPr>
          <w:sz w:val="24"/>
          <w:szCs w:val="24"/>
          <w:lang w:bidi="pl-PL"/>
        </w:rPr>
        <w:t xml:space="preserve">niezbędną infrastrukturą techniczną oraz elementami zagospodarowania terenu, w tym budowę </w:t>
      </w:r>
      <w:r w:rsidRPr="002715E9">
        <w:rPr>
          <w:sz w:val="24"/>
          <w:szCs w:val="24"/>
        </w:rPr>
        <w:t>budynku biurowo-socjalnego o wysokości górnej krawędzi</w:t>
      </w:r>
      <w:r w:rsidR="00B52843">
        <w:rPr>
          <w:sz w:val="24"/>
          <w:szCs w:val="24"/>
        </w:rPr>
        <w:t xml:space="preserve"> </w:t>
      </w:r>
      <w:r w:rsidRPr="002715E9">
        <w:rPr>
          <w:sz w:val="24"/>
          <w:szCs w:val="24"/>
        </w:rPr>
        <w:t xml:space="preserve">elewacji frontowej minimalnie 3 m, a maksymalnie 6 m, </w:t>
      </w:r>
      <w:r w:rsidR="00B52843">
        <w:rPr>
          <w:sz w:val="24"/>
          <w:szCs w:val="24"/>
        </w:rPr>
        <w:t xml:space="preserve">          </w:t>
      </w:r>
      <w:r w:rsidRPr="002715E9">
        <w:rPr>
          <w:sz w:val="24"/>
          <w:szCs w:val="24"/>
        </w:rPr>
        <w:t>budowę budynku warsztatowego</w:t>
      </w:r>
      <w:r w:rsidR="00B52843">
        <w:rPr>
          <w:sz w:val="24"/>
          <w:szCs w:val="24"/>
        </w:rPr>
        <w:t xml:space="preserve"> </w:t>
      </w:r>
      <w:r w:rsidRPr="002715E9">
        <w:rPr>
          <w:sz w:val="24"/>
          <w:szCs w:val="24"/>
        </w:rPr>
        <w:t>o wysokości górnej krawędzi elewacji frontowej minimalnie 5 m, a maksymalnie 10 m oraz budowę zadaszenia</w:t>
      </w:r>
      <w:r w:rsidR="00B52843">
        <w:rPr>
          <w:sz w:val="24"/>
          <w:szCs w:val="24"/>
        </w:rPr>
        <w:t xml:space="preserve">  o wysokości </w:t>
      </w:r>
      <w:r w:rsidRPr="002715E9">
        <w:rPr>
          <w:sz w:val="24"/>
          <w:szCs w:val="24"/>
        </w:rPr>
        <w:t xml:space="preserve">obiektu </w:t>
      </w:r>
      <w:r w:rsidR="00B52843">
        <w:rPr>
          <w:sz w:val="24"/>
          <w:szCs w:val="24"/>
        </w:rPr>
        <w:t xml:space="preserve">   </w:t>
      </w:r>
      <w:r w:rsidRPr="002715E9">
        <w:rPr>
          <w:sz w:val="24"/>
          <w:szCs w:val="24"/>
        </w:rPr>
        <w:t>minimalnie 4,5 m, a maksymalnie 7 m. W przypadku zadaszenia</w:t>
      </w:r>
      <w:r w:rsidR="00B52843">
        <w:rPr>
          <w:sz w:val="24"/>
          <w:szCs w:val="24"/>
        </w:rPr>
        <w:t xml:space="preserve"> -                         </w:t>
      </w:r>
      <w:r w:rsidRPr="002715E9">
        <w:rPr>
          <w:sz w:val="24"/>
          <w:szCs w:val="24"/>
        </w:rPr>
        <w:t xml:space="preserve"> </w:t>
      </w:r>
      <w:r w:rsidRPr="002715E9">
        <w:rPr>
          <w:sz w:val="24"/>
          <w:szCs w:val="24"/>
        </w:rPr>
        <w:lastRenderedPageBreak/>
        <w:t>wiaty odniesiono się do wysokości obiektu, ponieważ zadaszenie nie posiada elewacji frontowej.</w:t>
      </w:r>
    </w:p>
    <w:p w14:paraId="799FBB57" w14:textId="77777777" w:rsidR="007E7FA7" w:rsidRPr="002715E9" w:rsidRDefault="007E7FA7" w:rsidP="007E7FA7">
      <w:pPr>
        <w:widowControl w:val="0"/>
        <w:ind w:left="720"/>
        <w:jc w:val="both"/>
        <w:rPr>
          <w:sz w:val="24"/>
          <w:szCs w:val="24"/>
        </w:rPr>
      </w:pPr>
      <w:r w:rsidRPr="002715E9">
        <w:rPr>
          <w:sz w:val="24"/>
          <w:szCs w:val="24"/>
        </w:rPr>
        <w:t xml:space="preserve">Mając powyższe na uwadze dla planowanej inwestycji </w:t>
      </w:r>
      <w:r>
        <w:rPr>
          <w:sz w:val="24"/>
          <w:szCs w:val="24"/>
        </w:rPr>
        <w:t>ustala się</w:t>
      </w:r>
      <w:r w:rsidRPr="002715E9">
        <w:rPr>
          <w:sz w:val="24"/>
          <w:szCs w:val="24"/>
        </w:rPr>
        <w:t xml:space="preserve"> wysokość górnej krawędzi elewacji frontowej budynku biurowo-socjalnego i budynku warsztatowego oraz wysokość zadaszenia </w:t>
      </w:r>
      <w:r>
        <w:rPr>
          <w:sz w:val="24"/>
          <w:szCs w:val="24"/>
        </w:rPr>
        <w:t xml:space="preserve">maksymalnie </w:t>
      </w:r>
      <w:r w:rsidRPr="002715E9">
        <w:rPr>
          <w:rFonts w:eastAsia="Arial"/>
          <w:sz w:val="24"/>
          <w:szCs w:val="24"/>
        </w:rPr>
        <w:t>równą wysokości górnej krawędzi elewacji frontowej budynku produkcyjnego zlokalizowanego na działkach nr 199/7 i 32/25 – (tj. maksymalnie 9,3 m).</w:t>
      </w:r>
    </w:p>
    <w:p w14:paraId="7FE2EAF1" w14:textId="39BFA3DA" w:rsidR="007E7FA7" w:rsidRPr="002715E9" w:rsidRDefault="007E7FA7" w:rsidP="007E7FA7">
      <w:pPr>
        <w:widowControl w:val="0"/>
        <w:tabs>
          <w:tab w:val="left" w:pos="720"/>
        </w:tabs>
        <w:ind w:left="720"/>
        <w:jc w:val="both"/>
        <w:rPr>
          <w:sz w:val="24"/>
          <w:szCs w:val="24"/>
        </w:rPr>
      </w:pPr>
      <w:r w:rsidRPr="002715E9">
        <w:rPr>
          <w:sz w:val="24"/>
          <w:szCs w:val="24"/>
        </w:rPr>
        <w:t xml:space="preserve">Takie ustalenie wysokości górnych krawędzi elewacji frontowych budynków biurowo-socjalnego i warsztatowego oraz wysokości obiektu zadaszenia </w:t>
      </w:r>
      <w:r>
        <w:rPr>
          <w:sz w:val="24"/>
          <w:szCs w:val="24"/>
        </w:rPr>
        <w:t xml:space="preserve">jest </w:t>
      </w:r>
      <w:r w:rsidRPr="002715E9">
        <w:rPr>
          <w:sz w:val="24"/>
          <w:szCs w:val="24"/>
        </w:rPr>
        <w:t>zgodne</w:t>
      </w:r>
      <w:r w:rsidR="007B2948">
        <w:rPr>
          <w:sz w:val="24"/>
          <w:szCs w:val="24"/>
        </w:rPr>
        <w:t xml:space="preserve">    </w:t>
      </w:r>
      <w:r w:rsidRPr="002715E9">
        <w:rPr>
          <w:sz w:val="24"/>
          <w:szCs w:val="24"/>
        </w:rPr>
        <w:t xml:space="preserve"> z wnioskiem Inwestora.</w:t>
      </w:r>
    </w:p>
    <w:p w14:paraId="3F5C26F2" w14:textId="77777777" w:rsidR="007E7FA7" w:rsidRPr="002715E9" w:rsidRDefault="007E7FA7" w:rsidP="007E7FA7">
      <w:pPr>
        <w:pStyle w:val="WW-Domylnie0"/>
        <w:jc w:val="both"/>
        <w:rPr>
          <w:szCs w:val="24"/>
        </w:rPr>
      </w:pPr>
    </w:p>
    <w:p w14:paraId="4D4EF472" w14:textId="77777777" w:rsidR="007E7FA7" w:rsidRPr="002715E9" w:rsidRDefault="007E7FA7" w:rsidP="007E7FA7">
      <w:pPr>
        <w:pStyle w:val="Domylnie"/>
        <w:numPr>
          <w:ilvl w:val="0"/>
          <w:numId w:val="8"/>
        </w:numPr>
        <w:tabs>
          <w:tab w:val="left" w:pos="426"/>
        </w:tabs>
        <w:jc w:val="both"/>
        <w:rPr>
          <w:szCs w:val="24"/>
        </w:rPr>
      </w:pPr>
      <w:r w:rsidRPr="002715E9">
        <w:rPr>
          <w:szCs w:val="24"/>
        </w:rPr>
        <w:t>geometria dachów budynków:</w:t>
      </w:r>
    </w:p>
    <w:p w14:paraId="69048DC8" w14:textId="77777777" w:rsidR="007E7FA7" w:rsidRPr="002715E9" w:rsidRDefault="007E7FA7" w:rsidP="007E7FA7">
      <w:pPr>
        <w:pStyle w:val="WW-Domylnie0"/>
        <w:tabs>
          <w:tab w:val="left" w:pos="426"/>
        </w:tabs>
        <w:ind w:left="720"/>
        <w:jc w:val="both"/>
        <w:rPr>
          <w:szCs w:val="24"/>
        </w:rPr>
      </w:pPr>
      <w:r w:rsidRPr="002715E9">
        <w:rPr>
          <w:szCs w:val="24"/>
        </w:rPr>
        <w:t>Zgodnie z § 8 rozporządzenia jw. geometrię dachu (kąt nachylenia, wysokość głównej kalenicy i układ połaci dachowych, a także kierunek głównej kalenicy dachu</w:t>
      </w:r>
      <w:r w:rsidRPr="002715E9">
        <w:rPr>
          <w:szCs w:val="24"/>
        </w:rPr>
        <w:br/>
        <w:t>w stosunku do frontu terenu) ustala się odpowiednio do geometrii dachów występujących na obszarze analizowanym.</w:t>
      </w:r>
    </w:p>
    <w:p w14:paraId="6EC01FB9" w14:textId="00004145" w:rsidR="007E7FA7" w:rsidRPr="002715E9" w:rsidRDefault="007E7FA7" w:rsidP="007E7FA7">
      <w:pPr>
        <w:widowControl w:val="0"/>
        <w:tabs>
          <w:tab w:val="left" w:pos="426"/>
        </w:tabs>
        <w:ind w:left="709"/>
        <w:jc w:val="both"/>
        <w:rPr>
          <w:snapToGrid w:val="0"/>
          <w:sz w:val="24"/>
          <w:szCs w:val="24"/>
        </w:rPr>
      </w:pPr>
      <w:r w:rsidRPr="002715E9">
        <w:rPr>
          <w:snapToGrid w:val="0"/>
          <w:sz w:val="24"/>
          <w:szCs w:val="24"/>
        </w:rPr>
        <w:t xml:space="preserve">W obszarze analizowanym budynki posiadają dachy płaskie i dachy spadowe. Planowana inwestycja polega na </w:t>
      </w:r>
      <w:r w:rsidRPr="002715E9">
        <w:rPr>
          <w:sz w:val="24"/>
          <w:szCs w:val="24"/>
        </w:rPr>
        <w:t xml:space="preserve">budowie </w:t>
      </w:r>
      <w:r w:rsidRPr="002715E9">
        <w:rPr>
          <w:sz w:val="24"/>
          <w:szCs w:val="24"/>
          <w:lang w:bidi="pl-PL"/>
        </w:rPr>
        <w:t xml:space="preserve">stacji paliw płynnych wraz </w:t>
      </w:r>
      <w:r w:rsidR="001B6901">
        <w:rPr>
          <w:sz w:val="24"/>
          <w:szCs w:val="24"/>
          <w:lang w:bidi="pl-PL"/>
        </w:rPr>
        <w:t xml:space="preserve">z </w:t>
      </w:r>
      <w:r w:rsidRPr="002715E9">
        <w:rPr>
          <w:sz w:val="24"/>
          <w:szCs w:val="24"/>
          <w:lang w:bidi="pl-PL"/>
        </w:rPr>
        <w:t xml:space="preserve">niezbędną infrastrukturą techniczną oraz elementami zagospodarowania terenu, w tym budowie </w:t>
      </w:r>
      <w:r w:rsidRPr="002715E9">
        <w:rPr>
          <w:sz w:val="24"/>
          <w:szCs w:val="24"/>
        </w:rPr>
        <w:t>budynku biurowo-socjalnego, budynku warsztatowego</w:t>
      </w:r>
      <w:r>
        <w:rPr>
          <w:sz w:val="24"/>
          <w:szCs w:val="24"/>
        </w:rPr>
        <w:t xml:space="preserve"> i</w:t>
      </w:r>
      <w:r w:rsidRPr="002715E9">
        <w:rPr>
          <w:sz w:val="24"/>
          <w:szCs w:val="24"/>
        </w:rPr>
        <w:t xml:space="preserve"> zadaszenia z dachem płaskim.</w:t>
      </w:r>
      <w:r w:rsidRPr="002715E9">
        <w:rPr>
          <w:snapToGrid w:val="0"/>
          <w:sz w:val="24"/>
          <w:szCs w:val="24"/>
        </w:rPr>
        <w:t xml:space="preserve"> </w:t>
      </w:r>
    </w:p>
    <w:p w14:paraId="73F9E405" w14:textId="5B8DF5E4" w:rsidR="00BD032D" w:rsidRPr="00BD032D" w:rsidRDefault="007E7FA7" w:rsidP="007E7FA7">
      <w:pPr>
        <w:widowControl w:val="0"/>
        <w:tabs>
          <w:tab w:val="left" w:pos="426"/>
        </w:tabs>
        <w:ind w:left="709"/>
        <w:jc w:val="both"/>
        <w:rPr>
          <w:snapToGrid w:val="0"/>
          <w:sz w:val="24"/>
          <w:szCs w:val="24"/>
        </w:rPr>
      </w:pPr>
      <w:r w:rsidRPr="002715E9">
        <w:rPr>
          <w:snapToGrid w:val="0"/>
          <w:sz w:val="24"/>
          <w:szCs w:val="24"/>
        </w:rPr>
        <w:t xml:space="preserve">Dla planowanej inwestycji </w:t>
      </w:r>
      <w:r>
        <w:rPr>
          <w:sz w:val="24"/>
          <w:szCs w:val="24"/>
        </w:rPr>
        <w:t>ustala się</w:t>
      </w:r>
      <w:r w:rsidRPr="002715E9">
        <w:rPr>
          <w:sz w:val="24"/>
          <w:szCs w:val="24"/>
        </w:rPr>
        <w:t xml:space="preserve"> </w:t>
      </w:r>
      <w:r w:rsidRPr="002715E9">
        <w:rPr>
          <w:snapToGrid w:val="0"/>
          <w:sz w:val="24"/>
          <w:szCs w:val="24"/>
        </w:rPr>
        <w:t>dachy płaskie o kącie nachylenia połaci dachowej do 12º jako kontynuację geometrii dachów występujących w obszarze analizowanym, zgodn</w:t>
      </w:r>
      <w:r>
        <w:rPr>
          <w:snapToGrid w:val="0"/>
          <w:sz w:val="24"/>
          <w:szCs w:val="24"/>
        </w:rPr>
        <w:t>i</w:t>
      </w:r>
      <w:r w:rsidRPr="002715E9">
        <w:rPr>
          <w:snapToGrid w:val="0"/>
          <w:sz w:val="24"/>
          <w:szCs w:val="24"/>
        </w:rPr>
        <w:t>e z wnioskiem Inwestora</w:t>
      </w:r>
      <w:r w:rsidR="00BD032D" w:rsidRPr="00BD032D">
        <w:rPr>
          <w:snapToGrid w:val="0"/>
          <w:sz w:val="24"/>
          <w:szCs w:val="24"/>
        </w:rPr>
        <w:t>.</w:t>
      </w:r>
    </w:p>
    <w:p w14:paraId="3B6C6169" w14:textId="77777777" w:rsidR="0088448C" w:rsidRPr="0088448C" w:rsidRDefault="0088448C" w:rsidP="0088448C">
      <w:pPr>
        <w:widowControl w:val="0"/>
        <w:tabs>
          <w:tab w:val="left" w:pos="426"/>
        </w:tabs>
        <w:ind w:left="709"/>
        <w:jc w:val="both"/>
        <w:rPr>
          <w:snapToGrid w:val="0"/>
          <w:sz w:val="24"/>
          <w:szCs w:val="24"/>
        </w:rPr>
      </w:pPr>
    </w:p>
    <w:p w14:paraId="7FA5189C" w14:textId="47E1D8AE" w:rsidR="0027110E" w:rsidRPr="004A5210" w:rsidRDefault="0027110E" w:rsidP="00DE3278">
      <w:pPr>
        <w:pStyle w:val="western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</w:pPr>
      <w:r w:rsidRPr="004A5210">
        <w:t xml:space="preserve">Teren posiada dostęp do </w:t>
      </w:r>
      <w:r w:rsidR="00315E72" w:rsidRPr="004A5210">
        <w:t xml:space="preserve">drogi publicznej – ul. </w:t>
      </w:r>
      <w:r w:rsidR="00ED78C0" w:rsidRPr="004A5210">
        <w:t>Płaskiej</w:t>
      </w:r>
      <w:r w:rsidRPr="004A5210">
        <w:t>.</w:t>
      </w:r>
    </w:p>
    <w:p w14:paraId="7BAE20D0" w14:textId="6689E59C" w:rsidR="0027110E" w:rsidRPr="004A5210" w:rsidRDefault="007E7FA7" w:rsidP="00DE3278">
      <w:pPr>
        <w:pStyle w:val="western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</w:pPr>
      <w:r>
        <w:t>Istniejące i projektowane</w:t>
      </w:r>
      <w:r w:rsidR="0027110E" w:rsidRPr="004A5210">
        <w:t xml:space="preserve"> uzbrojenie terenu jest wystarczające dla wnioskowanego zamierzenia inwestycyjnego.</w:t>
      </w:r>
    </w:p>
    <w:p w14:paraId="622DCD69" w14:textId="5B2F9250" w:rsidR="0027110E" w:rsidRPr="004A5210" w:rsidRDefault="0027110E" w:rsidP="00DE3278">
      <w:pPr>
        <w:pStyle w:val="western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</w:pPr>
      <w:r w:rsidRPr="004A5210">
        <w:t xml:space="preserve">Teren nie wymaga uzyskania zgody na zmianę przeznaczenia gruntów rolnych i leśnych na cele nierolnicze i nieleśne. </w:t>
      </w:r>
      <w:r w:rsidR="0088448C" w:rsidRPr="004E7826">
        <w:t xml:space="preserve">Działki nr 32/36, 32/41, 199/10 </w:t>
      </w:r>
      <w:r w:rsidR="0088448C" w:rsidRPr="004E7826">
        <w:rPr>
          <w:rStyle w:val="FontStyle25"/>
          <w:sz w:val="24"/>
        </w:rPr>
        <w:t xml:space="preserve">z obrębu 45 </w:t>
      </w:r>
      <w:r w:rsidR="0088448C" w:rsidRPr="004E7826">
        <w:t xml:space="preserve">oznaczone są </w:t>
      </w:r>
      <w:r w:rsidR="007B2948">
        <w:t xml:space="preserve">    </w:t>
      </w:r>
      <w:r w:rsidR="0088448C" w:rsidRPr="004E7826">
        <w:t>w rejestrze gruntów jako „</w:t>
      </w:r>
      <w:r w:rsidR="0088448C" w:rsidRPr="004E7826">
        <w:rPr>
          <w:iCs/>
        </w:rPr>
        <w:t>Ba</w:t>
      </w:r>
      <w:r w:rsidR="0088448C" w:rsidRPr="004E7826">
        <w:t>” – tereny przemysłowe</w:t>
      </w:r>
      <w:r w:rsidRPr="004A5210">
        <w:t>.</w:t>
      </w:r>
    </w:p>
    <w:p w14:paraId="122E2D1C" w14:textId="2D42AA49" w:rsidR="0027110E" w:rsidRPr="004A5210" w:rsidRDefault="0027110E" w:rsidP="00DE3278">
      <w:pPr>
        <w:pStyle w:val="western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</w:pPr>
      <w:r w:rsidRPr="004A5210">
        <w:t>Nie stwierdzono braku zgodności planowanej inwestycji z przepisami odrębnymi.</w:t>
      </w:r>
    </w:p>
    <w:p w14:paraId="1085373C" w14:textId="77777777" w:rsidR="0027110E" w:rsidRPr="004A5210" w:rsidRDefault="0027110E" w:rsidP="00DE3278">
      <w:pPr>
        <w:pStyle w:val="western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</w:pPr>
      <w:r w:rsidRPr="004A5210">
        <w:t>Zamierzenie budowlane nie znajdzie się w obszarze:</w:t>
      </w:r>
    </w:p>
    <w:p w14:paraId="61A4A4C7" w14:textId="77777777" w:rsidR="0027110E" w:rsidRPr="004A5210" w:rsidRDefault="0027110E" w:rsidP="00DE3278">
      <w:pPr>
        <w:pStyle w:val="Akapitzlist"/>
        <w:numPr>
          <w:ilvl w:val="0"/>
          <w:numId w:val="2"/>
        </w:numPr>
        <w:ind w:hanging="294"/>
        <w:contextualSpacing/>
        <w:jc w:val="both"/>
        <w:rPr>
          <w:sz w:val="24"/>
          <w:szCs w:val="24"/>
        </w:rPr>
      </w:pPr>
      <w:r w:rsidRPr="004A5210">
        <w:rPr>
          <w:sz w:val="24"/>
          <w:szCs w:val="24"/>
        </w:rPr>
        <w:t xml:space="preserve">w stosunku do którego decyzją o ustaleniu lokalizacji strategicznej inwestycji </w:t>
      </w:r>
      <w:r w:rsidRPr="004A5210">
        <w:rPr>
          <w:sz w:val="24"/>
          <w:szCs w:val="24"/>
        </w:rPr>
        <w:br/>
        <w:t xml:space="preserve">w zakresie sieci przesyłowej, o której mowa w art. 5 ust. 1 ustawy z dnia 24 lipca </w:t>
      </w:r>
      <w:r w:rsidRPr="004A5210">
        <w:rPr>
          <w:sz w:val="24"/>
          <w:szCs w:val="24"/>
        </w:rPr>
        <w:br/>
        <w:t xml:space="preserve">2015 r. o przygotowaniu i realizacji strategicznych inwestycji w zakresie sieci przesyłowych, ustanowiony został zakaz, o którym mowa w art. 22 ust. 2 pkt 1 </w:t>
      </w:r>
      <w:r w:rsidRPr="004A5210">
        <w:rPr>
          <w:sz w:val="24"/>
          <w:szCs w:val="24"/>
        </w:rPr>
        <w:br/>
        <w:t>tej ustawy,</w:t>
      </w:r>
    </w:p>
    <w:p w14:paraId="0452580A" w14:textId="533A8FA0" w:rsidR="0027110E" w:rsidRPr="004A5210" w:rsidRDefault="0027110E" w:rsidP="00DE3278">
      <w:pPr>
        <w:pStyle w:val="Akapitzlist"/>
        <w:numPr>
          <w:ilvl w:val="0"/>
          <w:numId w:val="2"/>
        </w:numPr>
        <w:ind w:hanging="294"/>
        <w:contextualSpacing/>
        <w:jc w:val="both"/>
        <w:rPr>
          <w:sz w:val="24"/>
          <w:szCs w:val="24"/>
        </w:rPr>
      </w:pPr>
      <w:r w:rsidRPr="004A5210">
        <w:rPr>
          <w:sz w:val="24"/>
          <w:szCs w:val="24"/>
        </w:rPr>
        <w:t>strefy kontrolowanej wyznaczonej po obu stronach gazociągu,</w:t>
      </w:r>
      <w:r w:rsidR="00ED78C0" w:rsidRPr="004A5210">
        <w:rPr>
          <w:sz w:val="24"/>
          <w:szCs w:val="24"/>
        </w:rPr>
        <w:t xml:space="preserve"> o którym mowa</w:t>
      </w:r>
      <w:r w:rsidR="006659E4">
        <w:rPr>
          <w:sz w:val="24"/>
          <w:szCs w:val="24"/>
        </w:rPr>
        <w:br/>
      </w:r>
      <w:r w:rsidR="00ED78C0" w:rsidRPr="004A5210">
        <w:rPr>
          <w:sz w:val="24"/>
          <w:szCs w:val="24"/>
        </w:rPr>
        <w:t>w art. 53 ust. 5e pkt 2</w:t>
      </w:r>
      <w:r w:rsidR="007E7FA7">
        <w:rPr>
          <w:sz w:val="24"/>
          <w:szCs w:val="24"/>
        </w:rPr>
        <w:t>,</w:t>
      </w:r>
    </w:p>
    <w:p w14:paraId="660820C4" w14:textId="77777777" w:rsidR="0027110E" w:rsidRPr="004A5210" w:rsidRDefault="0027110E" w:rsidP="00DE3278">
      <w:pPr>
        <w:pStyle w:val="Akapitzlist"/>
        <w:numPr>
          <w:ilvl w:val="0"/>
          <w:numId w:val="2"/>
        </w:numPr>
        <w:ind w:hanging="294"/>
        <w:contextualSpacing/>
        <w:jc w:val="both"/>
        <w:rPr>
          <w:sz w:val="24"/>
          <w:szCs w:val="24"/>
        </w:rPr>
      </w:pPr>
      <w:r w:rsidRPr="004A5210">
        <w:rPr>
          <w:sz w:val="24"/>
          <w:szCs w:val="24"/>
        </w:rPr>
        <w:t>strefy bezpieczeństwa wyznaczonej po obu stronach rurociągu.</w:t>
      </w:r>
    </w:p>
    <w:p w14:paraId="60DDF4B0" w14:textId="77777777" w:rsidR="0027110E" w:rsidRPr="004A5210" w:rsidRDefault="0027110E" w:rsidP="0027110E">
      <w:pPr>
        <w:pStyle w:val="western"/>
        <w:spacing w:before="0" w:beforeAutospacing="0" w:after="0" w:afterAutospacing="0"/>
        <w:ind w:left="360"/>
      </w:pPr>
    </w:p>
    <w:p w14:paraId="44BDD28E" w14:textId="77777777" w:rsidR="00134D7D" w:rsidRPr="00134D7D" w:rsidRDefault="00134D7D" w:rsidP="00134D7D">
      <w:pPr>
        <w:jc w:val="both"/>
        <w:rPr>
          <w:rFonts w:eastAsia="Lucida Sans Unicode"/>
          <w:sz w:val="24"/>
          <w:szCs w:val="24"/>
        </w:rPr>
      </w:pPr>
      <w:bookmarkStart w:id="0" w:name="_GoBack"/>
    </w:p>
    <w:p w14:paraId="414368BA" w14:textId="77777777" w:rsidR="00134D7D" w:rsidRPr="00134D7D" w:rsidRDefault="00134D7D" w:rsidP="00134D7D">
      <w:pPr>
        <w:ind w:left="3545" w:firstLine="709"/>
        <w:jc w:val="both"/>
        <w:rPr>
          <w:rFonts w:eastAsia="Lucida Sans Unicode"/>
          <w:sz w:val="24"/>
          <w:szCs w:val="24"/>
        </w:rPr>
      </w:pPr>
    </w:p>
    <w:p w14:paraId="52158AED" w14:textId="77777777" w:rsidR="00134D7D" w:rsidRPr="00134D7D" w:rsidRDefault="00134D7D" w:rsidP="00134D7D">
      <w:pPr>
        <w:ind w:left="3545" w:firstLine="709"/>
        <w:jc w:val="both"/>
        <w:rPr>
          <w:rFonts w:eastAsia="Lucida Sans Unicode"/>
          <w:sz w:val="24"/>
          <w:szCs w:val="24"/>
        </w:rPr>
      </w:pPr>
    </w:p>
    <w:p w14:paraId="1F7F7A65" w14:textId="77777777" w:rsidR="00134D7D" w:rsidRPr="00134D7D" w:rsidRDefault="00134D7D" w:rsidP="00134D7D">
      <w:pPr>
        <w:ind w:left="3545" w:firstLine="709"/>
        <w:jc w:val="both"/>
        <w:rPr>
          <w:rFonts w:eastAsia="Lucida Sans Unicode"/>
          <w:sz w:val="24"/>
          <w:szCs w:val="24"/>
        </w:rPr>
      </w:pPr>
    </w:p>
    <w:p w14:paraId="7887356D" w14:textId="77777777" w:rsidR="00134D7D" w:rsidRPr="00134D7D" w:rsidRDefault="00134D7D" w:rsidP="00134D7D">
      <w:pPr>
        <w:ind w:left="3545" w:firstLine="709"/>
        <w:jc w:val="both"/>
        <w:rPr>
          <w:rFonts w:eastAsia="Lucida Sans Unicode"/>
          <w:sz w:val="24"/>
          <w:szCs w:val="24"/>
        </w:rPr>
      </w:pPr>
      <w:r w:rsidRPr="00134D7D">
        <w:rPr>
          <w:rFonts w:eastAsia="Lucida Sans Unicode"/>
          <w:sz w:val="24"/>
          <w:szCs w:val="24"/>
        </w:rPr>
        <w:t xml:space="preserve">Z upoważnienia Prezydenta Miasta Torunia </w:t>
      </w:r>
    </w:p>
    <w:p w14:paraId="76199466" w14:textId="77777777" w:rsidR="00134D7D" w:rsidRPr="00134D7D" w:rsidRDefault="00134D7D" w:rsidP="00134D7D">
      <w:pPr>
        <w:jc w:val="both"/>
        <w:rPr>
          <w:rFonts w:eastAsia="Lucida Sans Unicode"/>
          <w:sz w:val="24"/>
          <w:szCs w:val="24"/>
        </w:rPr>
      </w:pPr>
      <w:r w:rsidRPr="00134D7D">
        <w:rPr>
          <w:rFonts w:eastAsia="Lucida Sans Unicode"/>
          <w:sz w:val="24"/>
          <w:szCs w:val="24"/>
        </w:rPr>
        <w:tab/>
      </w:r>
      <w:r w:rsidRPr="00134D7D">
        <w:rPr>
          <w:rFonts w:eastAsia="Lucida Sans Unicode"/>
          <w:sz w:val="24"/>
          <w:szCs w:val="24"/>
        </w:rPr>
        <w:tab/>
      </w:r>
      <w:r w:rsidRPr="00134D7D">
        <w:rPr>
          <w:rFonts w:eastAsia="Lucida Sans Unicode"/>
          <w:sz w:val="24"/>
          <w:szCs w:val="24"/>
        </w:rPr>
        <w:tab/>
      </w:r>
      <w:r w:rsidRPr="00134D7D">
        <w:rPr>
          <w:rFonts w:eastAsia="Lucida Sans Unicode"/>
          <w:sz w:val="24"/>
          <w:szCs w:val="24"/>
        </w:rPr>
        <w:tab/>
      </w:r>
      <w:r w:rsidRPr="00134D7D">
        <w:rPr>
          <w:rFonts w:eastAsia="Lucida Sans Unicode"/>
          <w:sz w:val="24"/>
          <w:szCs w:val="24"/>
        </w:rPr>
        <w:tab/>
      </w:r>
      <w:r w:rsidRPr="00134D7D">
        <w:rPr>
          <w:rFonts w:eastAsia="Lucida Sans Unicode"/>
          <w:sz w:val="24"/>
          <w:szCs w:val="24"/>
        </w:rPr>
        <w:tab/>
        <w:t>mgr inż. arch. Małgorzata Adamska</w:t>
      </w:r>
    </w:p>
    <w:p w14:paraId="4E5F0C5B" w14:textId="77777777" w:rsidR="00134D7D" w:rsidRPr="00134D7D" w:rsidRDefault="00134D7D" w:rsidP="00134D7D">
      <w:pPr>
        <w:ind w:left="3545" w:firstLine="709"/>
        <w:jc w:val="both"/>
        <w:rPr>
          <w:rFonts w:eastAsia="Lucida Sans Unicode"/>
          <w:sz w:val="24"/>
          <w:szCs w:val="24"/>
        </w:rPr>
      </w:pPr>
      <w:r w:rsidRPr="00134D7D">
        <w:rPr>
          <w:rFonts w:eastAsia="Lucida Sans Unicode"/>
          <w:sz w:val="24"/>
          <w:szCs w:val="24"/>
        </w:rPr>
        <w:t>Kierownik Referatu Architektury i Urbanistyki</w:t>
      </w:r>
    </w:p>
    <w:p w14:paraId="2F69F047" w14:textId="77777777" w:rsidR="00134D7D" w:rsidRPr="00134D7D" w:rsidRDefault="00134D7D" w:rsidP="00134D7D">
      <w:pPr>
        <w:rPr>
          <w:sz w:val="24"/>
          <w:szCs w:val="24"/>
        </w:rPr>
      </w:pPr>
    </w:p>
    <w:p w14:paraId="0E3398E1" w14:textId="77777777" w:rsidR="00134D7D" w:rsidRPr="00134D7D" w:rsidRDefault="00134D7D" w:rsidP="00134D7D">
      <w:pPr>
        <w:rPr>
          <w:sz w:val="24"/>
          <w:szCs w:val="24"/>
        </w:rPr>
      </w:pPr>
    </w:p>
    <w:bookmarkEnd w:id="0"/>
    <w:p w14:paraId="0DBB70CF" w14:textId="77777777" w:rsidR="00CF5DB5" w:rsidRPr="00134D7D" w:rsidRDefault="00CF5DB5" w:rsidP="00AE1E53">
      <w:pPr>
        <w:widowControl w:val="0"/>
        <w:suppressAutoHyphens/>
        <w:snapToGrid w:val="0"/>
        <w:ind w:left="360"/>
        <w:jc w:val="both"/>
        <w:rPr>
          <w:sz w:val="24"/>
          <w:szCs w:val="24"/>
        </w:rPr>
      </w:pPr>
    </w:p>
    <w:sectPr w:rsidR="00CF5DB5" w:rsidRPr="00134D7D" w:rsidSect="00BC115A">
      <w:footerReference w:type="default" r:id="rId7"/>
      <w:pgSz w:w="11906" w:h="16838"/>
      <w:pgMar w:top="993" w:right="1417" w:bottom="851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86699" w14:textId="77777777" w:rsidR="003238EE" w:rsidRDefault="003238EE" w:rsidP="001B7793">
      <w:r>
        <w:separator/>
      </w:r>
    </w:p>
  </w:endnote>
  <w:endnote w:type="continuationSeparator" w:id="0">
    <w:p w14:paraId="0A79F404" w14:textId="77777777" w:rsidR="003238EE" w:rsidRDefault="003238EE" w:rsidP="001B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634500"/>
      <w:docPartObj>
        <w:docPartGallery w:val="Page Numbers (Bottom of Page)"/>
        <w:docPartUnique/>
      </w:docPartObj>
    </w:sdtPr>
    <w:sdtEndPr/>
    <w:sdtContent>
      <w:p w14:paraId="1E9A03F6" w14:textId="2677750B" w:rsidR="001B7793" w:rsidRDefault="001B77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D7D">
          <w:rPr>
            <w:noProof/>
          </w:rPr>
          <w:t>4</w:t>
        </w:r>
        <w:r>
          <w:fldChar w:fldCharType="end"/>
        </w:r>
      </w:p>
    </w:sdtContent>
  </w:sdt>
  <w:p w14:paraId="04ABAE24" w14:textId="77777777" w:rsidR="001B7793" w:rsidRDefault="001B7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123A9" w14:textId="77777777" w:rsidR="003238EE" w:rsidRDefault="003238EE" w:rsidP="001B7793">
      <w:r>
        <w:separator/>
      </w:r>
    </w:p>
  </w:footnote>
  <w:footnote w:type="continuationSeparator" w:id="0">
    <w:p w14:paraId="5257BE5E" w14:textId="77777777" w:rsidR="003238EE" w:rsidRDefault="003238EE" w:rsidP="001B7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7"/>
    <w:lvl w:ilvl="0">
      <w:start w:val="1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2" w15:restartNumberingAfterBreak="0">
    <w:nsid w:val="3AF330D8"/>
    <w:multiLevelType w:val="hybridMultilevel"/>
    <w:tmpl w:val="0E203138"/>
    <w:lvl w:ilvl="0" w:tplc="3E1E9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F048FF"/>
    <w:multiLevelType w:val="hybridMultilevel"/>
    <w:tmpl w:val="EF88F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495FA5"/>
    <w:multiLevelType w:val="singleLevel"/>
    <w:tmpl w:val="0415000F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</w:abstractNum>
  <w:abstractNum w:abstractNumId="5" w15:restartNumberingAfterBreak="0">
    <w:nsid w:val="4A183FB3"/>
    <w:multiLevelType w:val="hybridMultilevel"/>
    <w:tmpl w:val="FD7E5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6641A"/>
    <w:rsid w:val="00001B70"/>
    <w:rsid w:val="0001065B"/>
    <w:rsid w:val="00016531"/>
    <w:rsid w:val="00017039"/>
    <w:rsid w:val="00024052"/>
    <w:rsid w:val="00034498"/>
    <w:rsid w:val="00037770"/>
    <w:rsid w:val="00050E8A"/>
    <w:rsid w:val="00052A3D"/>
    <w:rsid w:val="00061DA8"/>
    <w:rsid w:val="000634CA"/>
    <w:rsid w:val="000715EF"/>
    <w:rsid w:val="0008402A"/>
    <w:rsid w:val="000857AF"/>
    <w:rsid w:val="000935CF"/>
    <w:rsid w:val="00095986"/>
    <w:rsid w:val="000A3D19"/>
    <w:rsid w:val="000B0182"/>
    <w:rsid w:val="000B6084"/>
    <w:rsid w:val="000B76D2"/>
    <w:rsid w:val="000B7E12"/>
    <w:rsid w:val="000C66CD"/>
    <w:rsid w:val="000D45E2"/>
    <w:rsid w:val="000F3EEA"/>
    <w:rsid w:val="00100F0A"/>
    <w:rsid w:val="001155A3"/>
    <w:rsid w:val="00132516"/>
    <w:rsid w:val="001344BF"/>
    <w:rsid w:val="001345FF"/>
    <w:rsid w:val="00134D7D"/>
    <w:rsid w:val="001424C7"/>
    <w:rsid w:val="00147F6C"/>
    <w:rsid w:val="00153DE5"/>
    <w:rsid w:val="00154486"/>
    <w:rsid w:val="001616F7"/>
    <w:rsid w:val="00164FAA"/>
    <w:rsid w:val="0017157F"/>
    <w:rsid w:val="00174742"/>
    <w:rsid w:val="00175570"/>
    <w:rsid w:val="00175760"/>
    <w:rsid w:val="0018130B"/>
    <w:rsid w:val="001847C4"/>
    <w:rsid w:val="001867E8"/>
    <w:rsid w:val="0019188C"/>
    <w:rsid w:val="001948FC"/>
    <w:rsid w:val="00195767"/>
    <w:rsid w:val="001A388E"/>
    <w:rsid w:val="001B1303"/>
    <w:rsid w:val="001B6901"/>
    <w:rsid w:val="001B7793"/>
    <w:rsid w:val="001D0F43"/>
    <w:rsid w:val="001D276B"/>
    <w:rsid w:val="001E1D04"/>
    <w:rsid w:val="001E78AB"/>
    <w:rsid w:val="001F5471"/>
    <w:rsid w:val="001F7DC8"/>
    <w:rsid w:val="0020106B"/>
    <w:rsid w:val="00202AD3"/>
    <w:rsid w:val="00204D56"/>
    <w:rsid w:val="00231F67"/>
    <w:rsid w:val="00242874"/>
    <w:rsid w:val="00255D4E"/>
    <w:rsid w:val="00260B5F"/>
    <w:rsid w:val="00267E90"/>
    <w:rsid w:val="0027110E"/>
    <w:rsid w:val="0028505D"/>
    <w:rsid w:val="0029226D"/>
    <w:rsid w:val="0029688F"/>
    <w:rsid w:val="002A7E4E"/>
    <w:rsid w:val="002B7424"/>
    <w:rsid w:val="002C251C"/>
    <w:rsid w:val="002C31E4"/>
    <w:rsid w:val="002D434F"/>
    <w:rsid w:val="002E0E75"/>
    <w:rsid w:val="00315E72"/>
    <w:rsid w:val="003238EE"/>
    <w:rsid w:val="00325443"/>
    <w:rsid w:val="00327158"/>
    <w:rsid w:val="00334E83"/>
    <w:rsid w:val="00337630"/>
    <w:rsid w:val="0036291F"/>
    <w:rsid w:val="003659BC"/>
    <w:rsid w:val="003709E2"/>
    <w:rsid w:val="003736F5"/>
    <w:rsid w:val="003803C3"/>
    <w:rsid w:val="00384CCD"/>
    <w:rsid w:val="00391397"/>
    <w:rsid w:val="003A2089"/>
    <w:rsid w:val="003C3440"/>
    <w:rsid w:val="003C4E6E"/>
    <w:rsid w:val="003C7B6D"/>
    <w:rsid w:val="003D3588"/>
    <w:rsid w:val="003E3F37"/>
    <w:rsid w:val="003E7AD9"/>
    <w:rsid w:val="00407BB2"/>
    <w:rsid w:val="0041709A"/>
    <w:rsid w:val="00421009"/>
    <w:rsid w:val="00422CBA"/>
    <w:rsid w:val="00433EAD"/>
    <w:rsid w:val="004431A3"/>
    <w:rsid w:val="004540D1"/>
    <w:rsid w:val="00456FF3"/>
    <w:rsid w:val="00463A58"/>
    <w:rsid w:val="00464D13"/>
    <w:rsid w:val="00466BA6"/>
    <w:rsid w:val="00475334"/>
    <w:rsid w:val="00476B88"/>
    <w:rsid w:val="00477868"/>
    <w:rsid w:val="004A5210"/>
    <w:rsid w:val="004A5415"/>
    <w:rsid w:val="004C1E00"/>
    <w:rsid w:val="004C2BB8"/>
    <w:rsid w:val="004C4913"/>
    <w:rsid w:val="004D2059"/>
    <w:rsid w:val="004E12E7"/>
    <w:rsid w:val="004F5F63"/>
    <w:rsid w:val="005061E7"/>
    <w:rsid w:val="005070DF"/>
    <w:rsid w:val="005115C0"/>
    <w:rsid w:val="00513648"/>
    <w:rsid w:val="005206B4"/>
    <w:rsid w:val="00521305"/>
    <w:rsid w:val="00522565"/>
    <w:rsid w:val="00522F0F"/>
    <w:rsid w:val="005324CC"/>
    <w:rsid w:val="00537AE4"/>
    <w:rsid w:val="00551A4E"/>
    <w:rsid w:val="00556A7C"/>
    <w:rsid w:val="005570AA"/>
    <w:rsid w:val="00561D84"/>
    <w:rsid w:val="005624A2"/>
    <w:rsid w:val="00563233"/>
    <w:rsid w:val="005674A0"/>
    <w:rsid w:val="005709C9"/>
    <w:rsid w:val="00572DD7"/>
    <w:rsid w:val="005777B9"/>
    <w:rsid w:val="00592B14"/>
    <w:rsid w:val="005940FC"/>
    <w:rsid w:val="00594EBC"/>
    <w:rsid w:val="0059701B"/>
    <w:rsid w:val="005B3576"/>
    <w:rsid w:val="005C1BF1"/>
    <w:rsid w:val="005D30A8"/>
    <w:rsid w:val="005D50EC"/>
    <w:rsid w:val="005E070D"/>
    <w:rsid w:val="005E2ED1"/>
    <w:rsid w:val="005F75A4"/>
    <w:rsid w:val="006121DE"/>
    <w:rsid w:val="00615D6A"/>
    <w:rsid w:val="006321C3"/>
    <w:rsid w:val="006477AE"/>
    <w:rsid w:val="0065300B"/>
    <w:rsid w:val="006659E4"/>
    <w:rsid w:val="00666628"/>
    <w:rsid w:val="006837FA"/>
    <w:rsid w:val="00683B68"/>
    <w:rsid w:val="0068533C"/>
    <w:rsid w:val="006A2A32"/>
    <w:rsid w:val="006E0420"/>
    <w:rsid w:val="006E07DB"/>
    <w:rsid w:val="006E2249"/>
    <w:rsid w:val="006E6F82"/>
    <w:rsid w:val="006F1819"/>
    <w:rsid w:val="006F5D69"/>
    <w:rsid w:val="007022B3"/>
    <w:rsid w:val="00703ACC"/>
    <w:rsid w:val="00707C2B"/>
    <w:rsid w:val="0071678E"/>
    <w:rsid w:val="00721169"/>
    <w:rsid w:val="00727C5D"/>
    <w:rsid w:val="00741FBF"/>
    <w:rsid w:val="00773DC7"/>
    <w:rsid w:val="00785305"/>
    <w:rsid w:val="00785A7C"/>
    <w:rsid w:val="007908C0"/>
    <w:rsid w:val="007A1FFD"/>
    <w:rsid w:val="007B005F"/>
    <w:rsid w:val="007B162C"/>
    <w:rsid w:val="007B2948"/>
    <w:rsid w:val="007B3BBB"/>
    <w:rsid w:val="007B7260"/>
    <w:rsid w:val="007C028C"/>
    <w:rsid w:val="007E1F10"/>
    <w:rsid w:val="007E70C1"/>
    <w:rsid w:val="007E7FA7"/>
    <w:rsid w:val="007F3DE0"/>
    <w:rsid w:val="00806353"/>
    <w:rsid w:val="008071C5"/>
    <w:rsid w:val="00814CEF"/>
    <w:rsid w:val="00821423"/>
    <w:rsid w:val="008215FF"/>
    <w:rsid w:val="008231F7"/>
    <w:rsid w:val="00835E82"/>
    <w:rsid w:val="008559B3"/>
    <w:rsid w:val="00862AAA"/>
    <w:rsid w:val="00864C8C"/>
    <w:rsid w:val="0086633F"/>
    <w:rsid w:val="00872DA3"/>
    <w:rsid w:val="00877D0C"/>
    <w:rsid w:val="0088448C"/>
    <w:rsid w:val="008B757E"/>
    <w:rsid w:val="008C56A4"/>
    <w:rsid w:val="008D3FD9"/>
    <w:rsid w:val="008F3B04"/>
    <w:rsid w:val="0090749F"/>
    <w:rsid w:val="00912DCA"/>
    <w:rsid w:val="00913D9C"/>
    <w:rsid w:val="00920062"/>
    <w:rsid w:val="0092618D"/>
    <w:rsid w:val="0093248C"/>
    <w:rsid w:val="00935463"/>
    <w:rsid w:val="00937D89"/>
    <w:rsid w:val="0094267D"/>
    <w:rsid w:val="00963429"/>
    <w:rsid w:val="009725B4"/>
    <w:rsid w:val="00973F85"/>
    <w:rsid w:val="00975CEE"/>
    <w:rsid w:val="00987A2F"/>
    <w:rsid w:val="0099488E"/>
    <w:rsid w:val="00994C21"/>
    <w:rsid w:val="009A2A54"/>
    <w:rsid w:val="009C3749"/>
    <w:rsid w:val="009C4836"/>
    <w:rsid w:val="009D3B4A"/>
    <w:rsid w:val="009D3C74"/>
    <w:rsid w:val="009D458C"/>
    <w:rsid w:val="009D4BE1"/>
    <w:rsid w:val="009E62B4"/>
    <w:rsid w:val="00A023D8"/>
    <w:rsid w:val="00A027CE"/>
    <w:rsid w:val="00A470D6"/>
    <w:rsid w:val="00A5104B"/>
    <w:rsid w:val="00A52BFC"/>
    <w:rsid w:val="00A54547"/>
    <w:rsid w:val="00A56ADD"/>
    <w:rsid w:val="00A56C6B"/>
    <w:rsid w:val="00A61912"/>
    <w:rsid w:val="00A62B57"/>
    <w:rsid w:val="00A6525D"/>
    <w:rsid w:val="00A65B1C"/>
    <w:rsid w:val="00A75505"/>
    <w:rsid w:val="00A77FE7"/>
    <w:rsid w:val="00A86AF0"/>
    <w:rsid w:val="00AC4514"/>
    <w:rsid w:val="00AC7461"/>
    <w:rsid w:val="00AE033E"/>
    <w:rsid w:val="00AE1E53"/>
    <w:rsid w:val="00AE3183"/>
    <w:rsid w:val="00AF66CF"/>
    <w:rsid w:val="00B1734B"/>
    <w:rsid w:val="00B209B6"/>
    <w:rsid w:val="00B3101F"/>
    <w:rsid w:val="00B35329"/>
    <w:rsid w:val="00B40079"/>
    <w:rsid w:val="00B41E18"/>
    <w:rsid w:val="00B52843"/>
    <w:rsid w:val="00B52F91"/>
    <w:rsid w:val="00B64FFA"/>
    <w:rsid w:val="00B73BD6"/>
    <w:rsid w:val="00B828B1"/>
    <w:rsid w:val="00BA0C89"/>
    <w:rsid w:val="00BA4A19"/>
    <w:rsid w:val="00BA7C67"/>
    <w:rsid w:val="00BB01D2"/>
    <w:rsid w:val="00BB2752"/>
    <w:rsid w:val="00BB7F5A"/>
    <w:rsid w:val="00BC115A"/>
    <w:rsid w:val="00BD032D"/>
    <w:rsid w:val="00BD0E2F"/>
    <w:rsid w:val="00BD13A0"/>
    <w:rsid w:val="00BE03AB"/>
    <w:rsid w:val="00C23295"/>
    <w:rsid w:val="00C248AB"/>
    <w:rsid w:val="00C27BE8"/>
    <w:rsid w:val="00C43409"/>
    <w:rsid w:val="00C45637"/>
    <w:rsid w:val="00C626EE"/>
    <w:rsid w:val="00C7126E"/>
    <w:rsid w:val="00C80CC9"/>
    <w:rsid w:val="00C823E7"/>
    <w:rsid w:val="00C83407"/>
    <w:rsid w:val="00C8611E"/>
    <w:rsid w:val="00C867D5"/>
    <w:rsid w:val="00C94A50"/>
    <w:rsid w:val="00CB12D9"/>
    <w:rsid w:val="00CF1963"/>
    <w:rsid w:val="00CF5DB5"/>
    <w:rsid w:val="00D0238E"/>
    <w:rsid w:val="00D02F56"/>
    <w:rsid w:val="00D069FA"/>
    <w:rsid w:val="00D13322"/>
    <w:rsid w:val="00D23175"/>
    <w:rsid w:val="00D27C42"/>
    <w:rsid w:val="00D558AD"/>
    <w:rsid w:val="00D57016"/>
    <w:rsid w:val="00D65120"/>
    <w:rsid w:val="00D65CB6"/>
    <w:rsid w:val="00D71562"/>
    <w:rsid w:val="00D84409"/>
    <w:rsid w:val="00D90EF7"/>
    <w:rsid w:val="00D974DF"/>
    <w:rsid w:val="00DA360A"/>
    <w:rsid w:val="00DB6E29"/>
    <w:rsid w:val="00DC3D0A"/>
    <w:rsid w:val="00DD1DDC"/>
    <w:rsid w:val="00DD4F64"/>
    <w:rsid w:val="00DE3278"/>
    <w:rsid w:val="00E04674"/>
    <w:rsid w:val="00E05068"/>
    <w:rsid w:val="00E10E57"/>
    <w:rsid w:val="00E301E0"/>
    <w:rsid w:val="00E31933"/>
    <w:rsid w:val="00E36269"/>
    <w:rsid w:val="00E375C1"/>
    <w:rsid w:val="00E425BB"/>
    <w:rsid w:val="00E54980"/>
    <w:rsid w:val="00E610B4"/>
    <w:rsid w:val="00E614B4"/>
    <w:rsid w:val="00E65772"/>
    <w:rsid w:val="00E66215"/>
    <w:rsid w:val="00E92647"/>
    <w:rsid w:val="00E929F3"/>
    <w:rsid w:val="00E951E8"/>
    <w:rsid w:val="00EB6ACA"/>
    <w:rsid w:val="00EB6C16"/>
    <w:rsid w:val="00EC5439"/>
    <w:rsid w:val="00ED5EF0"/>
    <w:rsid w:val="00ED78C0"/>
    <w:rsid w:val="00EE0BCD"/>
    <w:rsid w:val="00EE36A4"/>
    <w:rsid w:val="00EE3A47"/>
    <w:rsid w:val="00EE3D96"/>
    <w:rsid w:val="00F04F8D"/>
    <w:rsid w:val="00F1432C"/>
    <w:rsid w:val="00F16018"/>
    <w:rsid w:val="00F44364"/>
    <w:rsid w:val="00F463A4"/>
    <w:rsid w:val="00F51228"/>
    <w:rsid w:val="00F64348"/>
    <w:rsid w:val="00F6641A"/>
    <w:rsid w:val="00F70BA5"/>
    <w:rsid w:val="00F80887"/>
    <w:rsid w:val="00F80BF3"/>
    <w:rsid w:val="00F90713"/>
    <w:rsid w:val="00FD05DA"/>
    <w:rsid w:val="00FE0AB8"/>
    <w:rsid w:val="00FE4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13395"/>
  <w15:docId w15:val="{38F0A069-59EF-48B9-808B-83C921FF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423"/>
  </w:style>
  <w:style w:type="paragraph" w:styleId="Nagwek1">
    <w:name w:val="heading 1"/>
    <w:basedOn w:val="Normalny"/>
    <w:next w:val="Normalny"/>
    <w:link w:val="Nagwek1Znak"/>
    <w:uiPriority w:val="99"/>
    <w:qFormat/>
    <w:rsid w:val="00821423"/>
    <w:pPr>
      <w:keepNext/>
      <w:ind w:left="-1418"/>
      <w:outlineLvl w:val="0"/>
    </w:pPr>
    <w:rPr>
      <w:rFonts w:ascii="Arial" w:hAnsi="Arial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309F3"/>
    <w:rPr>
      <w:rFonts w:ascii="Cambria" w:eastAsia="Times New Roman" w:hAnsi="Cambria" w:cs="Times New Roman"/>
      <w:b/>
      <w:bCs/>
      <w:kern w:val="32"/>
      <w:sz w:val="32"/>
      <w:szCs w:val="32"/>
      <w:lang w:val="pl-PL" w:eastAsia="pl-PL"/>
    </w:rPr>
  </w:style>
  <w:style w:type="paragraph" w:customStyle="1" w:styleId="Domylnie">
    <w:name w:val="Domyślnie"/>
    <w:rsid w:val="00821423"/>
    <w:pPr>
      <w:widowControl w:val="0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21423"/>
    <w:rPr>
      <w:rFonts w:ascii="Arial" w:hAnsi="Arial"/>
      <w:sz w:val="22"/>
    </w:rPr>
  </w:style>
  <w:style w:type="character" w:customStyle="1" w:styleId="TekstpodstawowyZnak">
    <w:name w:val="Tekst podstawowy Znak"/>
    <w:link w:val="Tekstpodstawowy"/>
    <w:uiPriority w:val="99"/>
    <w:semiHidden/>
    <w:rsid w:val="00B309F3"/>
    <w:rPr>
      <w:sz w:val="20"/>
      <w:szCs w:val="20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821423"/>
    <w:pPr>
      <w:jc w:val="both"/>
    </w:pPr>
    <w:rPr>
      <w:b/>
      <w:sz w:val="24"/>
    </w:rPr>
  </w:style>
  <w:style w:type="character" w:customStyle="1" w:styleId="Tekstpodstawowy3Znak">
    <w:name w:val="Tekst podstawowy 3 Znak"/>
    <w:link w:val="Tekstpodstawowy3"/>
    <w:uiPriority w:val="99"/>
    <w:semiHidden/>
    <w:rsid w:val="00B309F3"/>
    <w:rPr>
      <w:sz w:val="16"/>
      <w:szCs w:val="16"/>
      <w:lang w:val="pl-PL" w:eastAsia="pl-PL"/>
    </w:rPr>
  </w:style>
  <w:style w:type="character" w:styleId="Odwoaniedokomentarza">
    <w:name w:val="annotation reference"/>
    <w:uiPriority w:val="99"/>
    <w:semiHidden/>
    <w:rsid w:val="0082142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21423"/>
  </w:style>
  <w:style w:type="character" w:customStyle="1" w:styleId="TekstkomentarzaZnak">
    <w:name w:val="Tekst komentarza Znak"/>
    <w:link w:val="Tekstkomentarza"/>
    <w:uiPriority w:val="99"/>
    <w:semiHidden/>
    <w:rsid w:val="00B309F3"/>
    <w:rPr>
      <w:sz w:val="20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821423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rsid w:val="00B309F3"/>
    <w:rPr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21423"/>
    <w:pPr>
      <w:tabs>
        <w:tab w:val="left" w:pos="560"/>
        <w:tab w:val="left" w:pos="1140"/>
        <w:tab w:val="left" w:pos="1700"/>
        <w:tab w:val="left" w:pos="2540"/>
      </w:tabs>
      <w:spacing w:line="287" w:lineRule="atLeast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B309F3"/>
    <w:rPr>
      <w:sz w:val="20"/>
      <w:szCs w:val="20"/>
      <w:lang w:val="pl-PL" w:eastAsia="pl-PL"/>
    </w:rPr>
  </w:style>
  <w:style w:type="paragraph" w:customStyle="1" w:styleId="Obszartekstu">
    <w:name w:val="Obszar tekstu"/>
    <w:basedOn w:val="Domylnie"/>
    <w:uiPriority w:val="99"/>
    <w:rsid w:val="00821423"/>
    <w:pPr>
      <w:tabs>
        <w:tab w:val="left" w:pos="1"/>
      </w:tabs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rsid w:val="00821423"/>
    <w:pPr>
      <w:ind w:firstLine="708"/>
      <w:jc w:val="both"/>
    </w:pPr>
    <w:rPr>
      <w:sz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B309F3"/>
    <w:rPr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664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9F3"/>
    <w:rPr>
      <w:sz w:val="0"/>
      <w:szCs w:val="0"/>
      <w:lang w:val="pl-PL" w:eastAsia="pl-PL"/>
    </w:rPr>
  </w:style>
  <w:style w:type="paragraph" w:styleId="Zwykytekst">
    <w:name w:val="Plain Text"/>
    <w:basedOn w:val="Normalny"/>
    <w:link w:val="ZwykytekstZnak"/>
    <w:uiPriority w:val="99"/>
    <w:rsid w:val="005C1BF1"/>
    <w:rPr>
      <w:rFonts w:ascii="Courier New" w:hAnsi="Courier New" w:cs="Wingdings"/>
    </w:rPr>
  </w:style>
  <w:style w:type="character" w:customStyle="1" w:styleId="ZwykytekstZnak">
    <w:name w:val="Zwykły tekst Znak"/>
    <w:link w:val="Zwykytekst"/>
    <w:uiPriority w:val="99"/>
    <w:semiHidden/>
    <w:rsid w:val="00B309F3"/>
    <w:rPr>
      <w:rFonts w:ascii="Courier New" w:hAnsi="Courier New" w:cs="Courier New"/>
      <w:sz w:val="20"/>
      <w:szCs w:val="20"/>
      <w:lang w:val="pl-PL" w:eastAsia="pl-PL"/>
    </w:rPr>
  </w:style>
  <w:style w:type="paragraph" w:customStyle="1" w:styleId="WW-Domylnie">
    <w:name w:val="WW-Domy?lnie"/>
    <w:uiPriority w:val="99"/>
    <w:rsid w:val="000B0182"/>
    <w:pPr>
      <w:widowControl w:val="0"/>
      <w:suppressAutoHyphens/>
    </w:pPr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727C5D"/>
    <w:pPr>
      <w:ind w:left="720"/>
    </w:pPr>
  </w:style>
  <w:style w:type="paragraph" w:customStyle="1" w:styleId="WW-Domylnie1">
    <w:name w:val="WW-Domyślnie1"/>
    <w:uiPriority w:val="99"/>
    <w:rsid w:val="003E7AD9"/>
    <w:pPr>
      <w:widowControl w:val="0"/>
      <w:suppressAutoHyphens/>
    </w:pPr>
    <w:rPr>
      <w:sz w:val="24"/>
      <w:lang w:eastAsia="ar-SA"/>
    </w:rPr>
  </w:style>
  <w:style w:type="paragraph" w:styleId="NormalnyWeb">
    <w:name w:val="Normal (Web)"/>
    <w:basedOn w:val="Normalny"/>
    <w:uiPriority w:val="99"/>
    <w:rsid w:val="003E7AD9"/>
    <w:pPr>
      <w:spacing w:before="100" w:beforeAutospacing="1" w:after="119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016531"/>
    <w:pPr>
      <w:suppressAutoHyphens/>
    </w:pPr>
    <w:rPr>
      <w:color w:val="000000"/>
      <w:sz w:val="24"/>
      <w:lang w:eastAsia="ar-SA"/>
    </w:rPr>
  </w:style>
  <w:style w:type="paragraph" w:customStyle="1" w:styleId="WW-Domylnie0">
    <w:name w:val="WW-Domyślnie"/>
    <w:uiPriority w:val="99"/>
    <w:rsid w:val="001616F7"/>
    <w:pPr>
      <w:widowControl w:val="0"/>
      <w:suppressAutoHyphens/>
    </w:pPr>
    <w:rPr>
      <w:sz w:val="24"/>
      <w:lang w:eastAsia="ar-SA"/>
    </w:rPr>
  </w:style>
  <w:style w:type="character" w:customStyle="1" w:styleId="FontStyle66">
    <w:name w:val="Font Style66"/>
    <w:uiPriority w:val="99"/>
    <w:rsid w:val="0032544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7">
    <w:name w:val="Font Style117"/>
    <w:uiPriority w:val="99"/>
    <w:rsid w:val="00202AD3"/>
    <w:rPr>
      <w:rFonts w:ascii="Times New Roman" w:hAnsi="Times New Roman"/>
      <w:color w:val="000000"/>
      <w:sz w:val="22"/>
    </w:rPr>
  </w:style>
  <w:style w:type="character" w:customStyle="1" w:styleId="FontStyle92">
    <w:name w:val="Font Style92"/>
    <w:uiPriority w:val="99"/>
    <w:rsid w:val="000715EF"/>
    <w:rPr>
      <w:rFonts w:ascii="Times New Roman" w:hAnsi="Times New Roman"/>
      <w:color w:val="000000"/>
      <w:sz w:val="24"/>
    </w:rPr>
  </w:style>
  <w:style w:type="paragraph" w:customStyle="1" w:styleId="western">
    <w:name w:val="western"/>
    <w:basedOn w:val="Normalny"/>
    <w:rsid w:val="000715EF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bsatz-Standardschriftart">
    <w:name w:val="Absatz-Standardschriftart"/>
    <w:uiPriority w:val="99"/>
    <w:rsid w:val="00EB6ACA"/>
  </w:style>
  <w:style w:type="paragraph" w:customStyle="1" w:styleId="Tekstpodstawowy31">
    <w:name w:val="Tekst podstawowy 31"/>
    <w:basedOn w:val="Normalny"/>
    <w:uiPriority w:val="99"/>
    <w:rsid w:val="00B3101F"/>
    <w:pPr>
      <w:suppressAutoHyphens/>
      <w:jc w:val="both"/>
    </w:pPr>
    <w:rPr>
      <w:sz w:val="24"/>
      <w:lang w:eastAsia="ar-SA"/>
    </w:rPr>
  </w:style>
  <w:style w:type="character" w:customStyle="1" w:styleId="FontStyle21">
    <w:name w:val="Font Style21"/>
    <w:uiPriority w:val="99"/>
    <w:rsid w:val="00912DC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uiPriority w:val="99"/>
    <w:rsid w:val="005709C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5">
    <w:name w:val="Font Style25"/>
    <w:uiPriority w:val="99"/>
    <w:rsid w:val="00EC5439"/>
    <w:rPr>
      <w:rFonts w:ascii="Times New Roman" w:hAnsi="Times New Roman"/>
      <w:color w:val="000000"/>
      <w:sz w:val="22"/>
    </w:rPr>
  </w:style>
  <w:style w:type="character" w:customStyle="1" w:styleId="FontStyle20">
    <w:name w:val="Font Style20"/>
    <w:uiPriority w:val="99"/>
    <w:rsid w:val="000857AF"/>
    <w:rPr>
      <w:rFonts w:ascii="Times New Roman" w:hAnsi="Times New Roman"/>
      <w:color w:val="000000"/>
      <w:sz w:val="22"/>
    </w:rPr>
  </w:style>
  <w:style w:type="character" w:customStyle="1" w:styleId="FontStyle51">
    <w:name w:val="Font Style51"/>
    <w:uiPriority w:val="99"/>
    <w:rsid w:val="0078530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0">
    <w:name w:val="Font Style40"/>
    <w:uiPriority w:val="99"/>
    <w:rsid w:val="0078530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WW-Absatz-Standardschriftart">
    <w:name w:val="WW-Absatz-Standardschriftart"/>
    <w:rsid w:val="00433EAD"/>
  </w:style>
  <w:style w:type="character" w:customStyle="1" w:styleId="FontStyle22">
    <w:name w:val="Font Style22"/>
    <w:uiPriority w:val="99"/>
    <w:rsid w:val="00024052"/>
    <w:rPr>
      <w:rFonts w:ascii="Times New Roman" w:hAnsi="Times New Roman" w:cs="Times New Roman" w:hint="default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B77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793"/>
  </w:style>
  <w:style w:type="paragraph" w:styleId="Stopka">
    <w:name w:val="footer"/>
    <w:basedOn w:val="Normalny"/>
    <w:link w:val="StopkaZnak"/>
    <w:uiPriority w:val="99"/>
    <w:unhideWhenUsed/>
    <w:rsid w:val="001B77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793"/>
  </w:style>
  <w:style w:type="character" w:customStyle="1" w:styleId="WW-Absatz-Standardschriftart11111111111111111111111">
    <w:name w:val="WW-Absatz-Standardschriftart11111111111111111111111"/>
    <w:rsid w:val="001B7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1934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2a do decyzji nr</vt:lpstr>
    </vt:vector>
  </TitlesOfParts>
  <Company>Urząd Miasta Torunia</Company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2a do decyzji nr</dc:title>
  <dc:subject/>
  <dc:creator>WBiA</dc:creator>
  <cp:keywords/>
  <dc:description/>
  <cp:lastModifiedBy>a.mikielska</cp:lastModifiedBy>
  <cp:revision>126</cp:revision>
  <cp:lastPrinted>2024-07-18T11:31:00Z</cp:lastPrinted>
  <dcterms:created xsi:type="dcterms:W3CDTF">2015-08-18T13:40:00Z</dcterms:created>
  <dcterms:modified xsi:type="dcterms:W3CDTF">2024-07-31T09:44:00Z</dcterms:modified>
</cp:coreProperties>
</file>