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2A" w:rsidRDefault="004F6E2A" w:rsidP="004F6E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Obwieszczenie Prezydenta Miasta Torunia</w:t>
      </w:r>
    </w:p>
    <w:p w:rsidR="004F6E2A" w:rsidRDefault="004F6E2A" w:rsidP="004F6E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10 lipca</w:t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roku</w:t>
      </w:r>
    </w:p>
    <w:p w:rsidR="004F6E2A" w:rsidRDefault="004F6E2A" w:rsidP="004F6E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WGN.6840.1.25.2021.IW</w:t>
      </w:r>
    </w:p>
    <w:p w:rsidR="004F6E2A" w:rsidRDefault="004F6E2A" w:rsidP="004F6E2A">
      <w:pPr>
        <w:pStyle w:val="Tekstpodstawowy"/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 sprawie podania do publicznej wiadomości wykazu nieruchomości stanowiących własność Gminy Miasta Toruń, przeznaczonych do sprzedaży</w:t>
      </w:r>
    </w:p>
    <w:p w:rsidR="004F6E2A" w:rsidRDefault="004F6E2A" w:rsidP="004F6E2A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Na podstawie: art. 35 ust.  1 i 2 ustawy z dnia 21 sierpnia 1997 roku o gospodarce nieruchomościami (Dz. U. z  2023r. poz. 344 ze zm.) oraz </w:t>
      </w:r>
      <w:r>
        <w:rPr>
          <w:rFonts w:eastAsia="HG Mincho Light J"/>
          <w:color w:val="000000"/>
          <w:sz w:val="22"/>
          <w:szCs w:val="22"/>
        </w:rPr>
        <w:t xml:space="preserve">uchwały nr 1110/23 Rady Miasta Torunia z 6 lipca 2023 roku </w:t>
      </w:r>
      <w:r>
        <w:rPr>
          <w:bCs/>
          <w:sz w:val="22"/>
          <w:szCs w:val="22"/>
        </w:rPr>
        <w:t>w sprawie sprzedaży nieruchomości gruntowej niezabudowanej stanowiącej własność Gminy M</w:t>
      </w:r>
      <w:r>
        <w:rPr>
          <w:bCs/>
          <w:sz w:val="22"/>
          <w:szCs w:val="22"/>
        </w:rPr>
        <w:t xml:space="preserve">iasta Toruń położonej w Toruniu </w:t>
      </w:r>
      <w:r>
        <w:rPr>
          <w:bCs/>
          <w:sz w:val="22"/>
          <w:szCs w:val="22"/>
        </w:rPr>
        <w:t>przy ul. Projektowanej CLXXXIX 1-19.</w:t>
      </w:r>
    </w:p>
    <w:p w:rsidR="004F6E2A" w:rsidRDefault="004F6E2A" w:rsidP="004F6E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Prezydent Miasta Torunia</w:t>
      </w:r>
    </w:p>
    <w:p w:rsidR="004F6E2A" w:rsidRDefault="004F6E2A" w:rsidP="004F6E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podaje do publicznej wiadomości wykaz nieruchomości Gminy Miasta Toruń, przeznaczonej do sprzedaży</w:t>
      </w:r>
    </w:p>
    <w:tbl>
      <w:tblPr>
        <w:tblpPr w:leftFromText="141" w:rightFromText="141" w:bottomFromText="160" w:vertAnchor="text" w:horzAnchor="margin" w:tblpXSpec="center" w:tblpY="74"/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1418"/>
        <w:gridCol w:w="1772"/>
        <w:gridCol w:w="1236"/>
        <w:gridCol w:w="1174"/>
        <w:gridCol w:w="1913"/>
        <w:gridCol w:w="1843"/>
        <w:gridCol w:w="1559"/>
        <w:gridCol w:w="2126"/>
      </w:tblGrid>
      <w:tr w:rsidR="004F6E2A" w:rsidTr="004F6E2A">
        <w:trPr>
          <w:trHeight w:val="327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E2A" w:rsidRDefault="004F6E2A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  <w:p w:rsidR="004F6E2A" w:rsidRDefault="004F6E2A">
            <w:pPr>
              <w:pStyle w:val="WW-Zawartotabeli11"/>
              <w:spacing w:before="120" w:line="200" w:lineRule="atLeas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E2A" w:rsidRDefault="004F6E2A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  <w:p w:rsidR="004F6E2A" w:rsidRDefault="004F6E2A">
            <w:pPr>
              <w:pStyle w:val="WW-Zawartotabeli11"/>
              <w:spacing w:before="120" w:line="2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E2A" w:rsidRDefault="004F6E2A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</w:t>
            </w:r>
          </w:p>
          <w:p w:rsidR="004F6E2A" w:rsidRDefault="004F6E2A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Obręb nr 54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E2A" w:rsidRDefault="004F6E2A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[ha]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6E2A" w:rsidRDefault="004F6E2A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Użytek i klasa bonitacyjna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2A" w:rsidRDefault="004F6E2A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Cena wywoławcza </w:t>
            </w:r>
          </w:p>
          <w:p w:rsidR="004F6E2A" w:rsidRDefault="004F6E2A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VAT [zł]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2A" w:rsidRDefault="004F6E2A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Forma </w:t>
            </w:r>
          </w:p>
          <w:p w:rsidR="004F6E2A" w:rsidRDefault="004F6E2A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rozdysponowania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E2A" w:rsidRDefault="004F6E2A">
            <w:pPr>
              <w:pStyle w:val="Tekstpodstawowy31"/>
              <w:snapToGrid w:val="0"/>
              <w:spacing w:before="12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6E2A" w:rsidRDefault="004F6E2A">
            <w:pPr>
              <w:pStyle w:val="Tekstpodstawowy31"/>
              <w:snapToGrid w:val="0"/>
              <w:spacing w:before="12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Księga </w:t>
            </w:r>
          </w:p>
          <w:p w:rsidR="004F6E2A" w:rsidRDefault="004F6E2A">
            <w:pPr>
              <w:pStyle w:val="Tekstpodstawowy31"/>
              <w:snapToGrid w:val="0"/>
              <w:spacing w:before="12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wieczysta</w:t>
            </w:r>
          </w:p>
        </w:tc>
      </w:tr>
      <w:tr w:rsidR="004F6E2A" w:rsidTr="004F6E2A">
        <w:trPr>
          <w:trHeight w:val="408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E2A" w:rsidRDefault="004F6E2A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6E2A" w:rsidRDefault="004F6E2A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Pow.[ha]</w:t>
            </w: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b/>
                <w:sz w:val="22"/>
                <w:szCs w:val="22"/>
                <w:lang w:eastAsia="en-US" w:bidi="ar-SA"/>
              </w:rPr>
            </w:pPr>
          </w:p>
        </w:tc>
      </w:tr>
      <w:tr w:rsidR="004F6E2A" w:rsidTr="004F6E2A">
        <w:trPr>
          <w:trHeight w:val="32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2A" w:rsidRDefault="004F6E2A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2A" w:rsidRDefault="004F6E2A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Projektowana CLXXXIX 11</w:t>
            </w:r>
          </w:p>
          <w:p w:rsidR="004F6E2A" w:rsidRDefault="004F6E2A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Projektowana CLXXXIX 9</w:t>
            </w:r>
          </w:p>
          <w:p w:rsidR="004F6E2A" w:rsidRDefault="004F6E2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2A" w:rsidRDefault="004F6E2A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132/64</w:t>
            </w:r>
          </w:p>
          <w:p w:rsidR="004F6E2A" w:rsidRDefault="004F6E2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F6E2A" w:rsidRDefault="004F6E2A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132/65</w:t>
            </w:r>
          </w:p>
          <w:p w:rsidR="004F6E2A" w:rsidRDefault="004F6E2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F6E2A" w:rsidRDefault="004F6E2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F6E2A" w:rsidRDefault="004F6E2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2A" w:rsidRDefault="004F6E2A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0,5001</w:t>
            </w:r>
          </w:p>
          <w:p w:rsidR="004F6E2A" w:rsidRDefault="004F6E2A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4F6E2A" w:rsidRDefault="004F6E2A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0,5032</w:t>
            </w:r>
          </w:p>
          <w:p w:rsidR="004F6E2A" w:rsidRDefault="004F6E2A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  <w:p w:rsidR="004F6E2A" w:rsidRDefault="004F6E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F6E2A" w:rsidRDefault="004F6E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F6E2A" w:rsidRDefault="004F6E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F6E2A" w:rsidRDefault="004F6E2A" w:rsidP="004F6E2A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Razem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1,0033 ha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2A" w:rsidRDefault="004F6E2A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</w:t>
            </w:r>
          </w:p>
          <w:p w:rsidR="004F6E2A" w:rsidRDefault="004F6E2A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2A" w:rsidRDefault="004F6E2A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0,0462</w:t>
            </w:r>
          </w:p>
          <w:p w:rsidR="004F6E2A" w:rsidRDefault="004F6E2A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0,4539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2A" w:rsidRDefault="004F6E2A" w:rsidP="004F6E2A">
            <w:pPr>
              <w:suppressAutoHyphens w:val="0"/>
              <w:spacing w:before="120"/>
              <w:jc w:val="center"/>
              <w:rPr>
                <w:rFonts w:cs="Times New Roman"/>
                <w:sz w:val="22"/>
                <w:szCs w:val="22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  <w:lang w:eastAsia="en-US" w:bidi="ar-SA"/>
              </w:rPr>
              <w:t>1</w:t>
            </w: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.750.000,00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2A" w:rsidRDefault="004F6E2A">
            <w:pPr>
              <w:jc w:val="center"/>
              <w:rPr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sprzedaż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2A" w:rsidRDefault="004F6E2A">
            <w:pPr>
              <w:pStyle w:val="NormalnyWeb"/>
              <w:spacing w:before="120" w:beforeAutospacing="0"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157.14-U3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2A" w:rsidRDefault="004F6E2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TO1T/00046188/5</w:t>
            </w:r>
          </w:p>
        </w:tc>
      </w:tr>
      <w:tr w:rsidR="004F6E2A" w:rsidTr="004F6E2A">
        <w:trPr>
          <w:trHeight w:val="32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2A" w:rsidRDefault="004F6E2A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</w:t>
            </w:r>
          </w:p>
          <w:p w:rsidR="004F6E2A" w:rsidRDefault="004F6E2A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RVI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2A" w:rsidRDefault="004F6E2A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0,1074</w:t>
            </w:r>
          </w:p>
          <w:p w:rsidR="004F6E2A" w:rsidRDefault="004F6E2A">
            <w:pPr>
              <w:widowControl w:val="0"/>
              <w:autoSpaceDN w:val="0"/>
              <w:jc w:val="center"/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</w:pPr>
            <w:r>
              <w:rPr>
                <w:rFonts w:eastAsia="Lucida Sans Unicode" w:cs="Times New Roman"/>
                <w:kern w:val="3"/>
                <w:sz w:val="22"/>
                <w:szCs w:val="22"/>
                <w:lang w:eastAsia="en-US" w:bidi="ar-SA"/>
              </w:rPr>
              <w:t>0,3958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A" w:rsidRDefault="004F6E2A">
            <w:pPr>
              <w:suppressAutoHyphens w:val="0"/>
              <w:spacing w:line="256" w:lineRule="auto"/>
              <w:rPr>
                <w:lang w:eastAsia="en-US"/>
              </w:rPr>
            </w:pPr>
          </w:p>
        </w:tc>
      </w:tr>
    </w:tbl>
    <w:p w:rsidR="004F6E2A" w:rsidRDefault="004F6E2A" w:rsidP="004F6E2A"/>
    <w:p w:rsidR="004F6E2A" w:rsidRDefault="004F6E2A" w:rsidP="004F6E2A"/>
    <w:p w:rsidR="004F6E2A" w:rsidRDefault="004F6E2A" w:rsidP="004F6E2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obowiązującym miejscowym planem zagospodarowania przestrzennego dla terenów położonych w rejonie ulic: Ciekawej i Gminnej  w Toruniu zatwierdzonym Uchwałą Nr 897/22 Rady Miasta Torunia  z dnia 21 lipca 2022r., działki gminne położone są w granicach jednostki przestrzennej oznaczonej symbol</w:t>
      </w:r>
      <w:r>
        <w:rPr>
          <w:sz w:val="22"/>
          <w:szCs w:val="22"/>
        </w:rPr>
        <w:t>em</w:t>
      </w:r>
      <w:r>
        <w:rPr>
          <w:sz w:val="22"/>
          <w:szCs w:val="22"/>
        </w:rPr>
        <w:t>:</w:t>
      </w:r>
    </w:p>
    <w:p w:rsidR="004F6E2A" w:rsidRDefault="004F6E2A" w:rsidP="004F6E2A">
      <w:pPr>
        <w:pStyle w:val="Akapitzlist"/>
        <w:ind w:left="1068"/>
        <w:jc w:val="both"/>
        <w:rPr>
          <w:sz w:val="22"/>
          <w:szCs w:val="22"/>
        </w:rPr>
      </w:pPr>
      <w:r>
        <w:rPr>
          <w:b/>
          <w:sz w:val="22"/>
          <w:szCs w:val="22"/>
        </w:rPr>
        <w:t>157.14–U3</w:t>
      </w:r>
      <w:r>
        <w:rPr>
          <w:sz w:val="22"/>
          <w:szCs w:val="22"/>
        </w:rPr>
        <w:t xml:space="preserve"> – działki nr 132/64, 132/65</w:t>
      </w:r>
    </w:p>
    <w:p w:rsidR="004F6E2A" w:rsidRDefault="004F6E2A" w:rsidP="004F6E2A">
      <w:pPr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Dla terenów oznaczonych na rysunku planu symbol</w:t>
      </w:r>
      <w:r>
        <w:rPr>
          <w:sz w:val="22"/>
          <w:szCs w:val="22"/>
        </w:rPr>
        <w:t>em</w:t>
      </w:r>
      <w:r>
        <w:rPr>
          <w:sz w:val="22"/>
          <w:szCs w:val="22"/>
        </w:rPr>
        <w:t>: 157.14-U3 plan ustala:</w:t>
      </w:r>
    </w:p>
    <w:p w:rsidR="004F6E2A" w:rsidRDefault="004F6E2A" w:rsidP="004F6E2A">
      <w:pPr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przeznaczenie podstawowe: t</w:t>
      </w:r>
      <w:r>
        <w:rPr>
          <w:i/>
          <w:sz w:val="22"/>
          <w:szCs w:val="22"/>
        </w:rPr>
        <w:t xml:space="preserve">eren zabudowy usługowej </w:t>
      </w:r>
      <w:r>
        <w:rPr>
          <w:sz w:val="22"/>
          <w:szCs w:val="22"/>
        </w:rPr>
        <w:t xml:space="preserve">oraz przeznaczenie dopuszczalne: </w:t>
      </w:r>
      <w:r>
        <w:rPr>
          <w:i/>
          <w:sz w:val="22"/>
          <w:szCs w:val="22"/>
        </w:rPr>
        <w:t xml:space="preserve">obiekty produkcyjne, składy i magazyny, infrastruktura techniczna, drogi wewnętrzne.  </w:t>
      </w:r>
      <w:r>
        <w:rPr>
          <w:sz w:val="22"/>
          <w:szCs w:val="22"/>
        </w:rPr>
        <w:t>Przedmiotowy teren jest wyłączony z możliwości zagospodarowania pod funkcje mieszkaniowe integralnie związane z prowadzoną działalnością gospodarczą z zakresu przeznaczenia podstawowego,</w:t>
      </w:r>
    </w:p>
    <w:p w:rsidR="004F6E2A" w:rsidRDefault="004F6E2A" w:rsidP="004F6E2A">
      <w:pPr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- maksymalna wysokość zabudowy – 15,5 m,</w:t>
      </w:r>
    </w:p>
    <w:p w:rsidR="004F6E2A" w:rsidRDefault="004F6E2A" w:rsidP="004F6E2A">
      <w:pPr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- geometria dachów – dachy płaskie lub spadowe o nachyleniu połaci do 30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,</w:t>
      </w:r>
    </w:p>
    <w:p w:rsidR="004F6E2A" w:rsidRDefault="004F6E2A" w:rsidP="004F6E2A">
      <w:pPr>
        <w:ind w:left="1134" w:hanging="141"/>
        <w:jc w:val="both"/>
        <w:rPr>
          <w:sz w:val="22"/>
          <w:szCs w:val="22"/>
        </w:rPr>
      </w:pPr>
      <w:r>
        <w:rPr>
          <w:sz w:val="22"/>
          <w:szCs w:val="22"/>
        </w:rPr>
        <w:t>- zakaz składowania materiałów sypkich i lotnych na otwartym terenie,</w:t>
      </w:r>
    </w:p>
    <w:p w:rsidR="004F6E2A" w:rsidRDefault="004F6E2A" w:rsidP="004F6E2A">
      <w:pPr>
        <w:pStyle w:val="Akapitzlist"/>
        <w:ind w:left="786"/>
        <w:jc w:val="both"/>
        <w:rPr>
          <w:sz w:val="22"/>
          <w:szCs w:val="22"/>
        </w:rPr>
      </w:pPr>
    </w:p>
    <w:p w:rsidR="004F6E2A" w:rsidRDefault="004F6E2A" w:rsidP="004F6E2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zapisami planu miejscowego obsługa komunikacyjna tych działek winna odbywać się z dróg publicznych – zgodnie z odrębnymi przepisami. Należy jednak wskazać, że drogi te nie są urządzone.  Na obecnym etapie dojazd (droga asfaltowa) jest urządzony w jednostce przestrzennej  157.14-KD(D)15 oraz w części jednostki 157.14-KD(L)14 - ul. Świdnicka. Przedmiotowy obszar wymaga również uzbrojenia w infrastrukturę techniczną. </w:t>
      </w:r>
    </w:p>
    <w:p w:rsidR="004F6E2A" w:rsidRDefault="004F6E2A" w:rsidP="004F6E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Sieci: wodociągowa, kanalizacyjna, gazowa, elektroenergetyczna przebiegają w ulicy Przelot i w ul. Świdnickiej.</w:t>
      </w:r>
    </w:p>
    <w:p w:rsidR="004F6E2A" w:rsidRDefault="004F6E2A" w:rsidP="004F6E2A">
      <w:pPr>
        <w:jc w:val="both"/>
        <w:rPr>
          <w:sz w:val="22"/>
          <w:szCs w:val="22"/>
        </w:rPr>
      </w:pPr>
    </w:p>
    <w:p w:rsidR="004F6E2A" w:rsidRDefault="004F6E2A" w:rsidP="004F6E2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Obecnie ww. tereny inwestycyjne stanowią nieużytki i położone są w widłach Strugi Toruńskiej i Strugi Lubickiej. Jest to teren wododziałowy pomiędzy zlewniami tych rzek. Od północy tereny inwestycyjne ograniczone są doliną Strugi Toruńskiej prawego dopływu Wisły, natomiast na południe od terenów inwestycyjnych – w rejonie ulicy Przesmyk przepływa Strugą Lubicką prawy dopływ Drwęcy.</w:t>
      </w:r>
    </w:p>
    <w:p w:rsidR="004F6E2A" w:rsidRDefault="004F6E2A" w:rsidP="004F6E2A">
      <w:pPr>
        <w:jc w:val="both"/>
        <w:rPr>
          <w:sz w:val="22"/>
          <w:szCs w:val="22"/>
        </w:rPr>
      </w:pPr>
    </w:p>
    <w:p w:rsidR="004F6E2A" w:rsidRDefault="004F6E2A" w:rsidP="004F6E2A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Prezydent Miasta Torunia zawiadamia poprzednich właścicieli zbywanych nieruchomości przejętych przed 5 grudnia 1990 r. lub ich spadkobierców,</w:t>
      </w:r>
      <w:r>
        <w:rPr>
          <w:sz w:val="22"/>
          <w:szCs w:val="22"/>
        </w:rPr>
        <w:br/>
        <w:t xml:space="preserve">o przysługującym im pierwszeństwie w nabyciu tych  nieruchomości. Warunkiem jest złożenie wniosku o nabycie w terminie 6 - </w:t>
      </w:r>
      <w:proofErr w:type="spellStart"/>
      <w:r>
        <w:rPr>
          <w:sz w:val="22"/>
          <w:szCs w:val="22"/>
        </w:rPr>
        <w:t>ciu</w:t>
      </w:r>
      <w:proofErr w:type="spellEnd"/>
      <w:r>
        <w:rPr>
          <w:sz w:val="22"/>
          <w:szCs w:val="22"/>
        </w:rPr>
        <w:t xml:space="preserve"> tygodni od dnia ogłoszenia niniejszego obwieszczenia, na adres Urzędu Miasta Torunia ul. Wały Gen. Sikorskiego 8, oraz oświadczenie o wyrażeniu zgody na cenę ustaloną w sposób określony w ustawie z dnia 21 sierpnia 1997 roku o gospodarce nieruchomościami – podaną w niniejszym  obwieszczeniu. Prawo to nie przysługuje w stosunku do nieruchomości, o których mowa w art. 216a ustawy o gospodarce nieruchomościami.</w:t>
      </w:r>
    </w:p>
    <w:p w:rsidR="004F6E2A" w:rsidRDefault="004F6E2A" w:rsidP="004F6E2A">
      <w:pPr>
        <w:pStyle w:val="WW-Tekstpodstawowy2"/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</w:p>
    <w:p w:rsidR="004F6E2A" w:rsidRDefault="004F6E2A" w:rsidP="004F6E2A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Wykaz wywiesza się na okres 21 dni tj. od dnia </w:t>
      </w:r>
      <w:r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lipca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roku do dnia 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sierpnia 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roku.</w:t>
      </w:r>
    </w:p>
    <w:p w:rsidR="004F6E2A" w:rsidRDefault="004F6E2A" w:rsidP="004F6E2A">
      <w:pPr>
        <w:pStyle w:val="WW-Tekstpodstawowy2"/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</w:p>
    <w:p w:rsidR="004F6E2A" w:rsidRDefault="004F6E2A" w:rsidP="004F6E2A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Po upływie terminu wywieszenia wykazu ogłoszon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zostan</w:t>
      </w:r>
      <w:r>
        <w:rPr>
          <w:sz w:val="22"/>
          <w:szCs w:val="22"/>
        </w:rPr>
        <w:t xml:space="preserve">ie </w:t>
      </w:r>
      <w:r>
        <w:rPr>
          <w:sz w:val="22"/>
          <w:szCs w:val="22"/>
        </w:rPr>
        <w:t>przetarg</w:t>
      </w:r>
      <w:bookmarkStart w:id="0" w:name="_GoBack"/>
      <w:bookmarkEnd w:id="0"/>
      <w:r>
        <w:rPr>
          <w:sz w:val="22"/>
          <w:szCs w:val="22"/>
        </w:rPr>
        <w:t xml:space="preserve"> na sprzedaż ww. nieruchomości.</w:t>
      </w:r>
    </w:p>
    <w:p w:rsidR="004F6E2A" w:rsidRDefault="004F6E2A" w:rsidP="004F6E2A">
      <w:pPr>
        <w:pStyle w:val="WW-Tekstpodstawowy2"/>
        <w:tabs>
          <w:tab w:val="left" w:pos="360"/>
          <w:tab w:val="left" w:pos="720"/>
        </w:tabs>
        <w:spacing w:line="240" w:lineRule="auto"/>
        <w:ind w:left="786" w:right="-1"/>
        <w:rPr>
          <w:sz w:val="22"/>
          <w:szCs w:val="22"/>
        </w:rPr>
      </w:pPr>
    </w:p>
    <w:p w:rsidR="004F6E2A" w:rsidRDefault="004F6E2A" w:rsidP="004F6E2A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Obwieszczenie wchodzi w życie z dniem ogłoszenia.</w:t>
      </w:r>
    </w:p>
    <w:p w:rsidR="004F6E2A" w:rsidRDefault="004F6E2A" w:rsidP="004F6E2A">
      <w:pPr>
        <w:rPr>
          <w:sz w:val="22"/>
          <w:szCs w:val="22"/>
        </w:rPr>
      </w:pPr>
    </w:p>
    <w:p w:rsidR="005035C9" w:rsidRDefault="005035C9"/>
    <w:sectPr w:rsidR="005035C9" w:rsidSect="004F6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E03"/>
    <w:multiLevelType w:val="hybridMultilevel"/>
    <w:tmpl w:val="DE6EC4C4"/>
    <w:lvl w:ilvl="0" w:tplc="4D5A0D28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DF"/>
    <w:rsid w:val="004F6E2A"/>
    <w:rsid w:val="005035C9"/>
    <w:rsid w:val="00A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F053"/>
  <w15:chartTrackingRefBased/>
  <w15:docId w15:val="{33624517-9727-4487-85E8-5491119F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E2A"/>
    <w:pPr>
      <w:suppressAutoHyphens/>
      <w:spacing w:after="0" w:line="240" w:lineRule="auto"/>
    </w:pPr>
    <w:rPr>
      <w:rFonts w:ascii="Times New Roman" w:eastAsia="Times New Roman" w:hAnsi="Times New Roman" w:cs="Arial Unicode MS"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6E2A"/>
    <w:pPr>
      <w:suppressAutoHyphens w:val="0"/>
      <w:spacing w:before="100" w:beforeAutospacing="1" w:after="142" w:line="288" w:lineRule="auto"/>
    </w:pPr>
    <w:rPr>
      <w:rFonts w:cs="Times New Roman"/>
      <w:kern w:val="0"/>
      <w:lang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E2A"/>
    <w:pPr>
      <w:spacing w:line="360" w:lineRule="auto"/>
      <w:jc w:val="center"/>
    </w:pPr>
    <w:rPr>
      <w:rFonts w:cs="Times New Roman"/>
      <w:b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E2A"/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4F6E2A"/>
    <w:pPr>
      <w:ind w:left="720"/>
      <w:contextualSpacing/>
    </w:pPr>
    <w:rPr>
      <w:rFonts w:cs="Times New Roman"/>
      <w:kern w:val="0"/>
      <w:sz w:val="20"/>
      <w:szCs w:val="20"/>
      <w:lang w:eastAsia="ar-SA" w:bidi="ar-SA"/>
    </w:rPr>
  </w:style>
  <w:style w:type="paragraph" w:customStyle="1" w:styleId="WW-Zawartotabeli11">
    <w:name w:val="WW-Zawartość tabeli11"/>
    <w:basedOn w:val="Tekstpodstawowy"/>
    <w:uiPriority w:val="99"/>
    <w:semiHidden/>
    <w:rsid w:val="004F6E2A"/>
    <w:pPr>
      <w:suppressLineNumbers/>
    </w:pPr>
  </w:style>
  <w:style w:type="paragraph" w:customStyle="1" w:styleId="Zawartotabeli">
    <w:name w:val="Zawarto?? tabeli"/>
    <w:basedOn w:val="Normalny"/>
    <w:uiPriority w:val="99"/>
    <w:semiHidden/>
    <w:rsid w:val="004F6E2A"/>
    <w:pPr>
      <w:widowControl w:val="0"/>
      <w:suppressLineNumbers/>
      <w:overflowPunct w:val="0"/>
      <w:autoSpaceDE w:val="0"/>
      <w:autoSpaceDN w:val="0"/>
      <w:adjustRightInd w:val="0"/>
    </w:pPr>
    <w:rPr>
      <w:rFonts w:cs="Times New Roman"/>
      <w:kern w:val="0"/>
      <w:szCs w:val="20"/>
      <w:lang w:bidi="ar-SA"/>
    </w:rPr>
  </w:style>
  <w:style w:type="paragraph" w:customStyle="1" w:styleId="Tekstpodstawowy31">
    <w:name w:val="Tekst podstawowy 31"/>
    <w:basedOn w:val="Normalny"/>
    <w:uiPriority w:val="99"/>
    <w:semiHidden/>
    <w:rsid w:val="004F6E2A"/>
    <w:pPr>
      <w:widowControl w:val="0"/>
      <w:ind w:right="-69"/>
      <w:jc w:val="both"/>
    </w:pPr>
    <w:rPr>
      <w:rFonts w:eastAsia="Lucida Sans Unicode" w:cs="Times New Roman"/>
      <w:b/>
      <w:lang w:bidi="ar-SA"/>
    </w:rPr>
  </w:style>
  <w:style w:type="paragraph" w:customStyle="1" w:styleId="WW-Tekstpodstawowy2">
    <w:name w:val="WW-Tekst podstawowy 2"/>
    <w:basedOn w:val="Normalny"/>
    <w:uiPriority w:val="99"/>
    <w:semiHidden/>
    <w:rsid w:val="004F6E2A"/>
    <w:pPr>
      <w:spacing w:line="360" w:lineRule="auto"/>
      <w:jc w:val="both"/>
    </w:pPr>
    <w:rPr>
      <w:rFonts w:cs="Times New Roman"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2A"/>
    <w:rPr>
      <w:rFonts w:ascii="Segoe UI" w:eastAsia="Times New Roman" w:hAnsi="Segoe UI" w:cs="Segoe UI"/>
      <w:kern w:val="2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cp:lastPrinted>2024-07-10T08:03:00Z</cp:lastPrinted>
  <dcterms:created xsi:type="dcterms:W3CDTF">2024-07-10T07:57:00Z</dcterms:created>
  <dcterms:modified xsi:type="dcterms:W3CDTF">2024-07-10T08:14:00Z</dcterms:modified>
</cp:coreProperties>
</file>