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92" w:rsidRDefault="00704B92" w:rsidP="00704B9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704B92" w:rsidRDefault="00704B92" w:rsidP="00704B92">
      <w:pPr>
        <w:pStyle w:val="Nagwek1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WGN.6840.1.</w:t>
      </w:r>
      <w:r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.IW</w:t>
      </w:r>
    </w:p>
    <w:p w:rsidR="00704B92" w:rsidRDefault="00704B92" w:rsidP="00704B92">
      <w:pPr>
        <w:pStyle w:val="Nagwek2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Prezydenta Miasta Torunia z dnia </w:t>
      </w:r>
      <w:r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maja</w:t>
      </w:r>
      <w:r>
        <w:rPr>
          <w:rFonts w:ascii="Times New Roman" w:hAnsi="Times New Roman" w:cs="Times New Roman"/>
          <w:sz w:val="20"/>
          <w:szCs w:val="20"/>
        </w:rPr>
        <w:t xml:space="preserve"> 2024r.</w:t>
      </w:r>
    </w:p>
    <w:p w:rsidR="00704B92" w:rsidRDefault="00704B92" w:rsidP="00704B9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sprawie podania do publicznej wiadomości wykazu nieruchomości stanowiących własność Gminy Miasta Toruń, przeznaczonych do sprzedaży.</w:t>
      </w:r>
    </w:p>
    <w:p w:rsidR="00704B92" w:rsidRDefault="00704B92" w:rsidP="00704B92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Na podstawie:</w:t>
      </w:r>
    </w:p>
    <w:p w:rsidR="00704B92" w:rsidRDefault="00704B92" w:rsidP="00704B92">
      <w:pPr>
        <w:pStyle w:val="Tretekstu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 35 ust. 1 i 2 ustawy z dnia 21 sierpnia 1997 roku o gospodarce nieruchomościami (Dz. U. z  202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609</w:t>
      </w:r>
      <w:r>
        <w:rPr>
          <w:rFonts w:ascii="Times New Roman" w:hAnsi="Times New Roman" w:cs="Times New Roman"/>
          <w:sz w:val="20"/>
          <w:szCs w:val="20"/>
        </w:rPr>
        <w:t xml:space="preserve"> ze zm.)  oraz Uchwały Nr </w:t>
      </w:r>
      <w:r>
        <w:rPr>
          <w:rFonts w:ascii="Times New Roman" w:hAnsi="Times New Roman" w:cs="Times New Roman"/>
          <w:sz w:val="20"/>
          <w:szCs w:val="20"/>
        </w:rPr>
        <w:t>1311</w:t>
      </w:r>
      <w:r>
        <w:rPr>
          <w:rFonts w:ascii="Times New Roman" w:hAnsi="Times New Roman" w:cs="Times New Roman"/>
          <w:sz w:val="20"/>
          <w:szCs w:val="20"/>
        </w:rPr>
        <w:t xml:space="preserve">/24 Rady Miasta Torunia z dnia  </w:t>
      </w:r>
      <w:r>
        <w:rPr>
          <w:rFonts w:ascii="Times New Roman" w:hAnsi="Times New Roman" w:cs="Times New Roman"/>
          <w:sz w:val="20"/>
          <w:szCs w:val="20"/>
        </w:rPr>
        <w:t>4 kwietnia</w:t>
      </w:r>
      <w:r>
        <w:rPr>
          <w:rFonts w:ascii="Times New Roman" w:hAnsi="Times New Roman" w:cs="Times New Roman"/>
          <w:sz w:val="20"/>
          <w:szCs w:val="20"/>
        </w:rPr>
        <w:t xml:space="preserve"> 2024 r. w sprawie sprzedaży lokalu mieszkalnego nr </w:t>
      </w:r>
      <w:r>
        <w:rPr>
          <w:rFonts w:ascii="Times New Roman" w:hAnsi="Times New Roman" w:cs="Times New Roman"/>
          <w:sz w:val="20"/>
          <w:szCs w:val="20"/>
        </w:rPr>
        <w:t>103B</w:t>
      </w:r>
      <w:r>
        <w:rPr>
          <w:rFonts w:ascii="Times New Roman" w:hAnsi="Times New Roman" w:cs="Times New Roman"/>
          <w:sz w:val="20"/>
          <w:szCs w:val="20"/>
        </w:rPr>
        <w:t xml:space="preserve"> stanowiącego własność Gminy Miasta Toruń, usytuowanego w budynku położonym</w:t>
      </w:r>
      <w:r>
        <w:rPr>
          <w:rFonts w:ascii="Times New Roman" w:hAnsi="Times New Roman" w:cs="Times New Roman"/>
          <w:sz w:val="20"/>
          <w:szCs w:val="20"/>
        </w:rPr>
        <w:br/>
        <w:t xml:space="preserve">w Toruniu przy ul. </w:t>
      </w:r>
      <w:r>
        <w:rPr>
          <w:rFonts w:ascii="Times New Roman" w:hAnsi="Times New Roman" w:cs="Times New Roman"/>
          <w:sz w:val="20"/>
          <w:szCs w:val="20"/>
        </w:rPr>
        <w:t>Zygmunta Krasińskiego 22-24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4B92" w:rsidRDefault="00704B92" w:rsidP="00704B92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Prezydent Miasta Torunia</w:t>
      </w:r>
    </w:p>
    <w:p w:rsidR="00704B92" w:rsidRDefault="00704B92" w:rsidP="00704B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podaje do publicznej wiadomości wykaz nieruchomości stanowiących własność Gminy Miasta Toruń, przeznaczonych do sprzedaży</w:t>
      </w:r>
    </w:p>
    <w:p w:rsidR="00704B92" w:rsidRDefault="00704B92" w:rsidP="00704B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dxa"/>
        <w:tblInd w:w="-431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3969"/>
        <w:gridCol w:w="1417"/>
        <w:gridCol w:w="2349"/>
      </w:tblGrid>
      <w:tr w:rsidR="00704B92" w:rsidTr="007441C7">
        <w:trPr>
          <w:cantSplit/>
          <w:trHeight w:val="520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04B92" w:rsidRDefault="00704B92" w:rsidP="007441C7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Oznaczenie nieruchomości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04B92" w:rsidRDefault="00704B92" w:rsidP="007441C7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Opis lokalu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04B92" w:rsidRDefault="00704B92" w:rsidP="007441C7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Przeznaczenie w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mpzp</w:t>
            </w:r>
            <w:proofErr w:type="spellEnd"/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4B92" w:rsidRDefault="00704B92" w:rsidP="007441C7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wywoławcza</w:t>
            </w:r>
          </w:p>
        </w:tc>
      </w:tr>
      <w:tr w:rsidR="00704B92" w:rsidTr="007441C7">
        <w:trPr>
          <w:cantSplit/>
          <w:trHeight w:val="3472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04B92" w:rsidRDefault="00704B92" w:rsidP="007441C7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Zygmunta Krasińskiego 22-24</w:t>
            </w:r>
          </w:p>
          <w:p w:rsidR="00704B92" w:rsidRDefault="00704B92" w:rsidP="007441C7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działk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geod.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110/3 i 112/1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łącznej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pow. 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ha, obręb nr 13, użytek:</w:t>
            </w:r>
          </w:p>
          <w:p w:rsidR="00704B92" w:rsidRDefault="00704B92" w:rsidP="007441C7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(tereny mieszkaniowe)</w:t>
            </w:r>
          </w:p>
          <w:p w:rsidR="00704B92" w:rsidRDefault="00704B92" w:rsidP="007441C7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 Nr TO1T/</w:t>
            </w:r>
            <w:r w:rsidR="00072CC0">
              <w:rPr>
                <w:rFonts w:ascii="Times New Roman" w:hAnsi="Times New Roman" w:cs="Times New Roman"/>
                <w:sz w:val="16"/>
                <w:szCs w:val="16"/>
              </w:rPr>
              <w:t>00022037/8</w:t>
            </w:r>
          </w:p>
          <w:p w:rsidR="00704B92" w:rsidRDefault="00704B92" w:rsidP="007441C7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72CC0" w:rsidRPr="00072CC0" w:rsidRDefault="00072CC0" w:rsidP="00072CC0">
            <w:pPr>
              <w:pStyle w:val="Tekstpodstawowywcity2"/>
              <w:tabs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CC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Lokal mieszkalny nr 103 B</w:t>
            </w:r>
            <w:r w:rsidRPr="00072CC0">
              <w:rPr>
                <w:rFonts w:ascii="Times New Roman" w:hAnsi="Times New Roman" w:cs="Times New Roman"/>
                <w:sz w:val="16"/>
                <w:szCs w:val="16"/>
              </w:rPr>
              <w:t xml:space="preserve"> składa się z: jednego pokoju (pow. 11,28 m</w:t>
            </w:r>
            <w:r w:rsidRPr="00072C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72CC0">
              <w:rPr>
                <w:rFonts w:ascii="Times New Roman" w:hAnsi="Times New Roman" w:cs="Times New Roman"/>
                <w:sz w:val="16"/>
                <w:szCs w:val="16"/>
              </w:rPr>
              <w:t>), przedpokoju (pow. 2,60 m</w:t>
            </w:r>
            <w:r w:rsidRPr="00072C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72CC0">
              <w:rPr>
                <w:rFonts w:ascii="Times New Roman" w:hAnsi="Times New Roman" w:cs="Times New Roman"/>
                <w:sz w:val="16"/>
                <w:szCs w:val="16"/>
              </w:rPr>
              <w:t>), kuchni (pow. 2,52 m</w:t>
            </w:r>
            <w:r w:rsidRPr="00072C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72CC0">
              <w:rPr>
                <w:rFonts w:ascii="Times New Roman" w:hAnsi="Times New Roman" w:cs="Times New Roman"/>
                <w:sz w:val="16"/>
                <w:szCs w:val="16"/>
              </w:rPr>
              <w:t>) i łazienki (pow. 1,12 m</w:t>
            </w:r>
            <w:r w:rsidRPr="00072C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72CC0">
              <w:rPr>
                <w:rFonts w:ascii="Times New Roman" w:hAnsi="Times New Roman" w:cs="Times New Roman"/>
                <w:sz w:val="16"/>
                <w:szCs w:val="16"/>
              </w:rPr>
              <w:t>). Powierzchnia użytkowa lokalu wynosi 17,52 m</w:t>
            </w:r>
            <w:r w:rsidRPr="00072C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72CC0">
              <w:rPr>
                <w:rFonts w:ascii="Times New Roman" w:hAnsi="Times New Roman" w:cs="Times New Roman"/>
                <w:sz w:val="16"/>
                <w:szCs w:val="16"/>
              </w:rPr>
              <w:t xml:space="preserve">. Wejście do lokalu z klatki schodowej, na piętrze znajdują się 3 mieszkania. Lokal bez balkonu, kuchnia ciemna, okna w pokoju od strony zachodniej. Lokal jest wyposażony w instalacje: elektryczną, wodną - kanalizacyjną,  gazową ( instalacja na klatce schodowej wymieniona), brak ogrzewania w lokalu  (piec kaflowy w pokoju) </w:t>
            </w:r>
          </w:p>
          <w:p w:rsidR="00072CC0" w:rsidRPr="00072CC0" w:rsidRDefault="00072CC0" w:rsidP="00072CC0">
            <w:pPr>
              <w:pStyle w:val="Tekstpodstawowywcity2"/>
              <w:tabs>
                <w:tab w:val="decimal" w:pos="0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CC0">
              <w:rPr>
                <w:rFonts w:ascii="Times New Roman" w:hAnsi="Times New Roman" w:cs="Times New Roman"/>
                <w:sz w:val="16"/>
                <w:szCs w:val="16"/>
              </w:rPr>
              <w:t xml:space="preserve">Stolarka okienna: okna z </w:t>
            </w:r>
            <w:proofErr w:type="spellStart"/>
            <w:r w:rsidRPr="00072CC0">
              <w:rPr>
                <w:rFonts w:ascii="Times New Roman" w:hAnsi="Times New Roman" w:cs="Times New Roman"/>
                <w:sz w:val="16"/>
                <w:szCs w:val="16"/>
              </w:rPr>
              <w:t>pcv</w:t>
            </w:r>
            <w:proofErr w:type="spellEnd"/>
            <w:r w:rsidRPr="00072CC0">
              <w:rPr>
                <w:rFonts w:ascii="Times New Roman" w:hAnsi="Times New Roman" w:cs="Times New Roman"/>
                <w:sz w:val="16"/>
                <w:szCs w:val="16"/>
              </w:rPr>
              <w:t xml:space="preserve">. Stolarka drzwiowa: brak drzwi wewnętrznych, drzwi wejściowe typowe – stan zadawalający. Ściany w pomieszczeniach tynkowane, malowane, w łazience na podłodze i ścianach stare </w:t>
            </w:r>
            <w:proofErr w:type="spellStart"/>
            <w:r w:rsidRPr="00072CC0">
              <w:rPr>
                <w:rFonts w:ascii="Times New Roman" w:hAnsi="Times New Roman" w:cs="Times New Roman"/>
                <w:sz w:val="16"/>
                <w:szCs w:val="16"/>
              </w:rPr>
              <w:t>płaytki</w:t>
            </w:r>
            <w:proofErr w:type="spellEnd"/>
            <w:r w:rsidRPr="00072CC0">
              <w:rPr>
                <w:rFonts w:ascii="Times New Roman" w:hAnsi="Times New Roman" w:cs="Times New Roman"/>
                <w:sz w:val="16"/>
                <w:szCs w:val="16"/>
              </w:rPr>
              <w:t xml:space="preserve">. W pokoju na podłodze wykładzina </w:t>
            </w:r>
            <w:proofErr w:type="spellStart"/>
            <w:r w:rsidRPr="00072CC0">
              <w:rPr>
                <w:rFonts w:ascii="Times New Roman" w:hAnsi="Times New Roman" w:cs="Times New Roman"/>
                <w:sz w:val="16"/>
                <w:szCs w:val="16"/>
              </w:rPr>
              <w:t>pcv</w:t>
            </w:r>
            <w:proofErr w:type="spellEnd"/>
            <w:r w:rsidRPr="00072CC0">
              <w:rPr>
                <w:rFonts w:ascii="Times New Roman" w:hAnsi="Times New Roman" w:cs="Times New Roman"/>
                <w:sz w:val="16"/>
                <w:szCs w:val="16"/>
              </w:rPr>
              <w:t xml:space="preserve">, ułożona na płycie pilśniowej, w </w:t>
            </w:r>
            <w:proofErr w:type="spellStart"/>
            <w:r w:rsidRPr="00072CC0">
              <w:rPr>
                <w:rFonts w:ascii="Times New Roman" w:hAnsi="Times New Roman" w:cs="Times New Roman"/>
                <w:sz w:val="16"/>
                <w:szCs w:val="16"/>
              </w:rPr>
              <w:t>przepokoju</w:t>
            </w:r>
            <w:proofErr w:type="spellEnd"/>
            <w:r w:rsidRPr="00072CC0">
              <w:rPr>
                <w:rFonts w:ascii="Times New Roman" w:hAnsi="Times New Roman" w:cs="Times New Roman"/>
                <w:sz w:val="16"/>
                <w:szCs w:val="16"/>
              </w:rPr>
              <w:t xml:space="preserve"> i w kuchni na podłodze stare płytki.</w:t>
            </w:r>
          </w:p>
          <w:p w:rsidR="00072CC0" w:rsidRPr="00072CC0" w:rsidRDefault="00072CC0" w:rsidP="00072CC0">
            <w:pPr>
              <w:pStyle w:val="Tekstpodstawowywcity2"/>
              <w:tabs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CC0">
              <w:rPr>
                <w:rFonts w:ascii="Times New Roman" w:hAnsi="Times New Roman" w:cs="Times New Roman"/>
                <w:sz w:val="16"/>
                <w:szCs w:val="16"/>
              </w:rPr>
              <w:t>Rzeczoznawca ocenił standard (wyposażenie lokalu) oraz jego stan techniczny – do kapitalnego remontu.</w:t>
            </w:r>
          </w:p>
          <w:p w:rsidR="00704B92" w:rsidRDefault="00704B92" w:rsidP="00072CC0">
            <w:pPr>
              <w:pStyle w:val="Tekstpodstawowywcity2"/>
              <w:tabs>
                <w:tab w:val="decimal" w:pos="0"/>
                <w:tab w:val="decimal" w:pos="8222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04B92" w:rsidRDefault="00704B92" w:rsidP="007441C7">
            <w:pPr>
              <w:spacing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4B92" w:rsidRDefault="00072CC0" w:rsidP="007441C7">
            <w:pPr>
              <w:pStyle w:val="Tekstpodstawowy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  <w:r w:rsidR="00704B92">
              <w:rPr>
                <w:rFonts w:ascii="Times New Roman" w:hAnsi="Times New Roman" w:cs="Times New Roman"/>
                <w:sz w:val="16"/>
                <w:szCs w:val="16"/>
              </w:rPr>
              <w:t>.000,- zł</w:t>
            </w:r>
          </w:p>
          <w:p w:rsidR="00704B92" w:rsidRDefault="00704B92" w:rsidP="007441C7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/Sprzedaż lokalu podlega zwolnieniu z podatku VAT na podstawie art. 43 ust. 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pkt 10 ustawy  z dnia 11 marca 2004 r. o podatku od towarów i usług.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Lokal przeszedł przez proces „pierwszego zasiedlenia”, a jego dostawa nastąpi po upływie dwóch lat od niego/.</w:t>
            </w:r>
          </w:p>
        </w:tc>
      </w:tr>
    </w:tbl>
    <w:p w:rsidR="00704B92" w:rsidRDefault="00704B92" w:rsidP="00704B92">
      <w:pPr>
        <w:pStyle w:val="Tretekstu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90D" w:rsidRPr="00AD790D" w:rsidRDefault="00AD790D" w:rsidP="00AD790D">
      <w:pPr>
        <w:pStyle w:val="Tekstpodstawowywcity2"/>
        <w:numPr>
          <w:ilvl w:val="0"/>
          <w:numId w:val="3"/>
        </w:numPr>
        <w:tabs>
          <w:tab w:val="decimal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90D">
        <w:rPr>
          <w:rFonts w:ascii="Times New Roman" w:hAnsi="Times New Roman" w:cs="Times New Roman"/>
          <w:sz w:val="20"/>
          <w:szCs w:val="20"/>
        </w:rPr>
        <w:t xml:space="preserve">Lokal będący przedmiotem </w:t>
      </w:r>
      <w:r>
        <w:rPr>
          <w:rFonts w:ascii="Times New Roman" w:hAnsi="Times New Roman" w:cs="Times New Roman"/>
          <w:sz w:val="20"/>
          <w:szCs w:val="20"/>
        </w:rPr>
        <w:t>sprzedaży</w:t>
      </w:r>
      <w:r w:rsidRPr="00AD790D">
        <w:rPr>
          <w:rFonts w:ascii="Times New Roman" w:hAnsi="Times New Roman" w:cs="Times New Roman"/>
          <w:sz w:val="20"/>
          <w:szCs w:val="20"/>
        </w:rPr>
        <w:t xml:space="preserve"> usytuowany jest na III piętrze budynku  mieszkalnego wielorodzinnego położonego w Toruniu przy ul. Zygmunta Krasińskiego 22-24, w dzielnicy „Bydgoskie Przedmieście”. Odległość od centrum miasta ok. 0,7 km. Dojazd drogą utwardzoną od strony ul. Krasińskiego, bocznej od ul. Matejki, dobra dostępność komunikacyjna.</w:t>
      </w:r>
    </w:p>
    <w:p w:rsidR="00AD790D" w:rsidRPr="00AD790D" w:rsidRDefault="00AD790D" w:rsidP="00AD790D">
      <w:pPr>
        <w:pStyle w:val="Tekstpodstawowywcity2"/>
        <w:tabs>
          <w:tab w:val="decimal" w:pos="0"/>
        </w:tabs>
        <w:spacing w:after="0" w:line="240" w:lineRule="auto"/>
        <w:ind w:left="926"/>
        <w:jc w:val="both"/>
        <w:rPr>
          <w:rFonts w:ascii="Times New Roman" w:hAnsi="Times New Roman" w:cs="Times New Roman"/>
          <w:sz w:val="20"/>
          <w:szCs w:val="20"/>
        </w:rPr>
      </w:pPr>
      <w:r w:rsidRPr="00AD790D">
        <w:rPr>
          <w:rFonts w:ascii="Times New Roman" w:hAnsi="Times New Roman" w:cs="Times New Roman"/>
          <w:sz w:val="20"/>
          <w:szCs w:val="20"/>
        </w:rPr>
        <w:t xml:space="preserve">W sąsiedztwie znajduje się zabudowa mieszkaniowa wielorodzinna niska – budynki wybudowane w różnych latach (dominują budynki wybudowane przez 1945 rokiem), blisko tereny zieleni przy Placu Rapackiego, Ogród </w:t>
      </w:r>
      <w:proofErr w:type="spellStart"/>
      <w:r w:rsidRPr="00AD790D">
        <w:rPr>
          <w:rFonts w:ascii="Times New Roman" w:hAnsi="Times New Roman" w:cs="Times New Roman"/>
          <w:sz w:val="20"/>
          <w:szCs w:val="20"/>
        </w:rPr>
        <w:t>Zoobotaniczny</w:t>
      </w:r>
      <w:proofErr w:type="spellEnd"/>
      <w:r w:rsidRPr="00AD790D">
        <w:rPr>
          <w:rFonts w:ascii="Times New Roman" w:hAnsi="Times New Roman" w:cs="Times New Roman"/>
          <w:sz w:val="20"/>
          <w:szCs w:val="20"/>
        </w:rPr>
        <w:t xml:space="preserve"> przy ulicy Bydgoskiej i nieco dalej Park Miejski. Budynek, w którym znajduje się lokal to obiekt trzypiętrowy, trzyklatkowy, podpiwniczony, wybudowany w  latach 30-tych XX wieku, w technologii tradycyjnej. Budynek jest ocieplony i otynkowany, klatka schodowa w dobrym stanie. Stan techniczny budynku  zadowalający</w:t>
      </w:r>
    </w:p>
    <w:p w:rsidR="00AD790D" w:rsidRDefault="00AD790D" w:rsidP="00AD790D">
      <w:pPr>
        <w:pStyle w:val="Tekstpodstawowywcity2"/>
        <w:tabs>
          <w:tab w:val="decimal" w:pos="0"/>
        </w:tabs>
        <w:spacing w:after="0" w:line="240" w:lineRule="auto"/>
        <w:ind w:left="926"/>
        <w:jc w:val="both"/>
        <w:rPr>
          <w:rFonts w:ascii="Times New Roman" w:hAnsi="Times New Roman" w:cs="Times New Roman"/>
          <w:sz w:val="20"/>
          <w:szCs w:val="20"/>
        </w:rPr>
      </w:pPr>
      <w:r w:rsidRPr="00AD790D">
        <w:rPr>
          <w:rFonts w:ascii="Times New Roman" w:hAnsi="Times New Roman" w:cs="Times New Roman"/>
          <w:sz w:val="20"/>
          <w:szCs w:val="20"/>
        </w:rPr>
        <w:t>W budynku o łącznej powierzchni użytkowej 1522,85 m</w:t>
      </w:r>
      <w:r w:rsidRPr="00AD790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D790D">
        <w:rPr>
          <w:rFonts w:ascii="Times New Roman" w:hAnsi="Times New Roman" w:cs="Times New Roman"/>
          <w:sz w:val="20"/>
          <w:szCs w:val="20"/>
        </w:rPr>
        <w:t xml:space="preserve"> znajdują się 34 lokale mieszkalne. Zbytych zostało 26 lokali mieszkalnych. W zasobie Gminy pozostaje zatem 8 lokali mieszkalnych. Udział Gminy w nieruchomości wynosi 24,4144%.</w:t>
      </w:r>
    </w:p>
    <w:p w:rsidR="00AD790D" w:rsidRPr="00AD790D" w:rsidRDefault="00AD790D" w:rsidP="00AD790D">
      <w:pPr>
        <w:pStyle w:val="Tekstpodstawowywcity2"/>
        <w:tabs>
          <w:tab w:val="decimal" w:pos="0"/>
        </w:tabs>
        <w:spacing w:after="0" w:line="240" w:lineRule="auto"/>
        <w:ind w:left="926"/>
        <w:jc w:val="both"/>
        <w:rPr>
          <w:rFonts w:ascii="Times New Roman" w:hAnsi="Times New Roman" w:cs="Times New Roman"/>
          <w:sz w:val="20"/>
          <w:szCs w:val="20"/>
        </w:rPr>
      </w:pPr>
    </w:p>
    <w:p w:rsidR="00704B92" w:rsidRPr="00AD790D" w:rsidRDefault="00704B92" w:rsidP="00AD790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790D">
        <w:rPr>
          <w:rFonts w:ascii="Times New Roman" w:hAnsi="Times New Roman" w:cs="Times New Roman"/>
          <w:sz w:val="20"/>
          <w:szCs w:val="20"/>
        </w:rPr>
        <w:t xml:space="preserve">Nieruchomość położona przy ul. </w:t>
      </w:r>
      <w:r w:rsidR="00AD790D">
        <w:rPr>
          <w:rFonts w:ascii="Times New Roman" w:hAnsi="Times New Roman" w:cs="Times New Roman"/>
          <w:sz w:val="20"/>
          <w:szCs w:val="20"/>
        </w:rPr>
        <w:t>Zygmunta Krasińskiego 22-24</w:t>
      </w:r>
      <w:r w:rsidRPr="00AD790D">
        <w:rPr>
          <w:rFonts w:ascii="Times New Roman" w:hAnsi="Times New Roman" w:cs="Times New Roman"/>
          <w:sz w:val="20"/>
          <w:szCs w:val="20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roku,  lokale są położone w budynku usytuowanym na obszarze zabudowy mieszkaniowej wielorodzinnej.</w:t>
      </w:r>
    </w:p>
    <w:p w:rsidR="00704B92" w:rsidRDefault="00704B92" w:rsidP="00704B92">
      <w:pPr>
        <w:pStyle w:val="Akapitzlist"/>
        <w:ind w:left="926"/>
        <w:jc w:val="both"/>
        <w:rPr>
          <w:rFonts w:ascii="Times New Roman" w:hAnsi="Times New Roman" w:cs="Times New Roman"/>
          <w:sz w:val="20"/>
          <w:szCs w:val="20"/>
        </w:rPr>
      </w:pPr>
    </w:p>
    <w:p w:rsidR="00704B92" w:rsidRDefault="00704B92" w:rsidP="00704B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Budynek należy do zabudowy Bydgoskiego Przedmieścia wpisanego do rejestru zabytków decyzją nr A/1596 Kujawsko-Pomorskiego Wojewódzkiego Konserwatora Zabytków z dnia 25 lipca 2011 roku.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704B92" w:rsidRDefault="00704B92" w:rsidP="00704B9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04B92" w:rsidRDefault="00704B92" w:rsidP="00704B92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Lokal na podstawie zaświadczenia o samodzielności z dnia </w:t>
      </w:r>
      <w:r w:rsidR="00AD790D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lipca 2023r.  uzyskał status lokalu samodzielnego, może zatem podlegać wyodrębnieniu z dotychczasowej nieruchomości i być samodzielnym przedmiotem obrotu prawnego. Lokal nie jest aktualnie użytkowany.</w:t>
      </w:r>
    </w:p>
    <w:p w:rsidR="00704B92" w:rsidRDefault="00704B92" w:rsidP="00704B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Wraz z lokalem zbyty zostanie udział w częściach wspólnych nieruchomości określony ułamkiem </w:t>
      </w:r>
      <w:r w:rsidR="00AD790D">
        <w:rPr>
          <w:rFonts w:ascii="Times New Roman" w:hAnsi="Times New Roman" w:cs="Times New Roman"/>
          <w:sz w:val="20"/>
          <w:szCs w:val="20"/>
        </w:rPr>
        <w:t>1752</w:t>
      </w:r>
      <w:r>
        <w:rPr>
          <w:rFonts w:ascii="Times New Roman" w:hAnsi="Times New Roman" w:cs="Times New Roman"/>
          <w:sz w:val="20"/>
          <w:szCs w:val="20"/>
        </w:rPr>
        <w:t>/</w:t>
      </w:r>
      <w:r w:rsidR="00AD790D">
        <w:rPr>
          <w:rFonts w:ascii="Times New Roman" w:hAnsi="Times New Roman" w:cs="Times New Roman"/>
          <w:sz w:val="20"/>
          <w:szCs w:val="20"/>
        </w:rPr>
        <w:t>152285</w:t>
      </w:r>
      <w:r>
        <w:rPr>
          <w:rFonts w:ascii="Times New Roman" w:hAnsi="Times New Roman" w:cs="Times New Roman"/>
          <w:sz w:val="20"/>
          <w:szCs w:val="20"/>
        </w:rPr>
        <w:t xml:space="preserve"> części w prawie własności gruntu oraz w częściach wspólnych budynku i urządzeń, które nie służą  wyłącznie do użytku właścicieli lokali. </w:t>
      </w:r>
    </w:p>
    <w:p w:rsidR="00704B92" w:rsidRDefault="00704B92" w:rsidP="00704B92">
      <w:pPr>
        <w:pStyle w:val="Akapitzlist"/>
        <w:ind w:left="926"/>
        <w:jc w:val="both"/>
        <w:rPr>
          <w:rFonts w:ascii="Times New Roman" w:hAnsi="Times New Roman" w:cs="Times New Roman"/>
          <w:sz w:val="20"/>
          <w:szCs w:val="20"/>
        </w:rPr>
      </w:pPr>
    </w:p>
    <w:p w:rsidR="00704B92" w:rsidRDefault="00704B92" w:rsidP="00704B92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Prezydent Miasta Torunia zawiadamia poprzednich właścicieli zbywanej nieruchomości przejętej przed 5 grudnia 1990 r. lub jej spadkobierców oraz osoby, którym przysługuje roszczenie  o nabycie nieruchomości na podstawie przepisów ustaw, o przysługującym im pierwszeństwie w nabyciu tej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</w:t>
      </w:r>
    </w:p>
    <w:p w:rsidR="00704B92" w:rsidRDefault="00704B92" w:rsidP="00704B92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to nie przysługuje w stosunku do nieruchomości, o których mowa w art. 216 a ustawy</w:t>
      </w:r>
      <w:r>
        <w:rPr>
          <w:rFonts w:ascii="Times New Roman" w:hAnsi="Times New Roman" w:cs="Times New Roman"/>
          <w:sz w:val="20"/>
          <w:szCs w:val="20"/>
        </w:rPr>
        <w:br/>
        <w:t>o gospodarce nieruchomościami.</w:t>
      </w:r>
    </w:p>
    <w:p w:rsidR="00704B92" w:rsidRDefault="00704B92" w:rsidP="00704B92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Wykaz wywiesza się na okres 21 dni tj. od dnia </w:t>
      </w:r>
      <w:r w:rsidR="00AD790D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>.</w:t>
      </w:r>
      <w:r w:rsidR="00AD790D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 xml:space="preserve">.2024 roku do dnia </w:t>
      </w:r>
      <w:r w:rsidR="00AD790D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.</w:t>
      </w:r>
      <w:r w:rsidR="00AD790D"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>.2024 roku.</w:t>
      </w:r>
    </w:p>
    <w:p w:rsidR="00704B92" w:rsidRDefault="00704B92" w:rsidP="00704B92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upływie terminów, o których mowa w wykazie, ogłoszony zostanie przetarg na sprzedaż przedmiotowej nieruchomości.</w:t>
      </w:r>
    </w:p>
    <w:p w:rsidR="00704B92" w:rsidRDefault="00704B92" w:rsidP="00704B92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704B92" w:rsidRDefault="00704B92" w:rsidP="00704B92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04B92" w:rsidRDefault="00704B92" w:rsidP="00704B92">
      <w:pPr>
        <w:pStyle w:val="Tekstpodstawowy21"/>
        <w:spacing w:line="240" w:lineRule="auto"/>
        <w:ind w:firstLine="60"/>
        <w:rPr>
          <w:rFonts w:ascii="Times New Roman" w:hAnsi="Times New Roman" w:cs="Times New Roman"/>
          <w:sz w:val="20"/>
          <w:szCs w:val="20"/>
        </w:rPr>
      </w:pPr>
    </w:p>
    <w:p w:rsidR="00704B92" w:rsidRDefault="00704B92" w:rsidP="00704B92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IW </w:t>
      </w:r>
      <w:r>
        <w:rPr>
          <w:rFonts w:ascii="Times New Roman" w:hAnsi="Times New Roman" w:cs="Times New Roman"/>
          <w:sz w:val="20"/>
          <w:szCs w:val="20"/>
        </w:rPr>
        <w:sym w:font="Wingdings" w:char="F028"/>
      </w:r>
      <w:r>
        <w:rPr>
          <w:rFonts w:ascii="Times New Roman" w:hAnsi="Times New Roman" w:cs="Times New Roman"/>
          <w:sz w:val="20"/>
          <w:szCs w:val="20"/>
        </w:rPr>
        <w:t xml:space="preserve"> 56 61-18-401</w:t>
      </w:r>
    </w:p>
    <w:p w:rsidR="00704B92" w:rsidRDefault="00704B92" w:rsidP="00704B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bookmarkStart w:id="0" w:name="_GoBack"/>
    </w:p>
    <w:p w:rsidR="00704B92" w:rsidRDefault="00704B92" w:rsidP="00704B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Dyrektor</w:t>
      </w:r>
    </w:p>
    <w:p w:rsidR="00704B92" w:rsidRDefault="00704B92" w:rsidP="00704B9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p w:rsidR="00704B92" w:rsidRDefault="00704B92" w:rsidP="00704B92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0"/>
          <w:szCs w:val="20"/>
        </w:rPr>
      </w:pPr>
    </w:p>
    <w:p w:rsidR="00704B92" w:rsidRPr="00113148" w:rsidRDefault="00704B92" w:rsidP="00704B92">
      <w:pPr>
        <w:ind w:firstLine="6663"/>
        <w:rPr>
          <w:sz w:val="20"/>
          <w:szCs w:val="20"/>
        </w:rPr>
      </w:pPr>
      <w:r w:rsidRPr="00113148">
        <w:rPr>
          <w:sz w:val="20"/>
          <w:szCs w:val="20"/>
        </w:rPr>
        <w:t>(-) Adrian Rynkowski</w:t>
      </w:r>
    </w:p>
    <w:bookmarkEnd w:id="0"/>
    <w:p w:rsidR="00361438" w:rsidRDefault="00361438"/>
    <w:sectPr w:rsidR="0036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07538D"/>
    <w:multiLevelType w:val="hybridMultilevel"/>
    <w:tmpl w:val="FE06B58E"/>
    <w:lvl w:ilvl="0" w:tplc="984ADF2E">
      <w:start w:val="1"/>
      <w:numFmt w:val="decimal"/>
      <w:lvlText w:val="%1.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3E"/>
    <w:rsid w:val="00072CC0"/>
    <w:rsid w:val="001B7C3E"/>
    <w:rsid w:val="00361438"/>
    <w:rsid w:val="00704B92"/>
    <w:rsid w:val="00AD790D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DFDA"/>
  <w15:chartTrackingRefBased/>
  <w15:docId w15:val="{12C22E9B-8BDD-46B2-B7DE-132B5012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B9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704B92"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04B92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4B9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704B92"/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704B9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04B9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04B92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04B9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704B92"/>
    <w:pPr>
      <w:ind w:left="720"/>
      <w:contextualSpacing/>
    </w:pPr>
    <w:rPr>
      <w:szCs w:val="21"/>
    </w:rPr>
  </w:style>
  <w:style w:type="paragraph" w:customStyle="1" w:styleId="Tekstpodstawowy21">
    <w:name w:val="Tekst podstawowy 21"/>
    <w:basedOn w:val="Normalny"/>
    <w:rsid w:val="00704B92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704B92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90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90D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2</cp:revision>
  <cp:lastPrinted>2024-05-27T09:13:00Z</cp:lastPrinted>
  <dcterms:created xsi:type="dcterms:W3CDTF">2024-05-27T08:35:00Z</dcterms:created>
  <dcterms:modified xsi:type="dcterms:W3CDTF">2024-05-27T09:16:00Z</dcterms:modified>
</cp:coreProperties>
</file>