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18" w:rsidRPr="00425F79" w:rsidRDefault="00665371" w:rsidP="000F0082">
      <w:pPr>
        <w:pStyle w:val="Nagwek1"/>
        <w:ind w:right="0"/>
        <w:rPr>
          <w:sz w:val="22"/>
          <w:szCs w:val="22"/>
        </w:rPr>
      </w:pPr>
      <w:r w:rsidRPr="00425F79">
        <w:rPr>
          <w:sz w:val="22"/>
          <w:szCs w:val="22"/>
        </w:rPr>
        <w:t>OBWIESZCZENIE</w:t>
      </w:r>
    </w:p>
    <w:p w:rsidR="00D92718" w:rsidRPr="00E570A1" w:rsidRDefault="00D92718" w:rsidP="00E570A1">
      <w:pPr>
        <w:pStyle w:val="Nagwek1"/>
        <w:ind w:right="0"/>
        <w:rPr>
          <w:sz w:val="22"/>
          <w:szCs w:val="22"/>
        </w:rPr>
      </w:pPr>
      <w:r w:rsidRPr="00E570A1">
        <w:rPr>
          <w:sz w:val="22"/>
          <w:szCs w:val="22"/>
        </w:rPr>
        <w:t>Prezydenta Miasta Torunia</w:t>
      </w:r>
    </w:p>
    <w:p w:rsidR="00D92718" w:rsidRPr="00665371" w:rsidRDefault="00E570A1" w:rsidP="00E570A1">
      <w:pPr>
        <w:spacing w:after="0"/>
        <w:ind w:firstLine="0"/>
        <w:jc w:val="center"/>
        <w:rPr>
          <w:sz w:val="22"/>
        </w:rPr>
      </w:pPr>
      <w:r w:rsidRPr="00E570A1">
        <w:rPr>
          <w:b/>
          <w:szCs w:val="24"/>
        </w:rPr>
        <w:t>WGN.7125.5.17.2012.AR</w:t>
      </w:r>
      <w:r w:rsidR="00665371" w:rsidRPr="00665371">
        <w:rPr>
          <w:b/>
          <w:sz w:val="22"/>
        </w:rPr>
        <w:t xml:space="preserve"> </w:t>
      </w:r>
      <w:r w:rsidR="00D92718" w:rsidRPr="00665371">
        <w:rPr>
          <w:b/>
          <w:sz w:val="22"/>
        </w:rPr>
        <w:t xml:space="preserve">z dnia </w:t>
      </w:r>
      <w:r>
        <w:rPr>
          <w:b/>
          <w:sz w:val="22"/>
        </w:rPr>
        <w:t>6 maja</w:t>
      </w:r>
      <w:r w:rsidR="00665371" w:rsidRPr="00665371">
        <w:rPr>
          <w:b/>
          <w:sz w:val="22"/>
        </w:rPr>
        <w:t xml:space="preserve"> 202</w:t>
      </w:r>
      <w:r>
        <w:rPr>
          <w:b/>
          <w:sz w:val="22"/>
        </w:rPr>
        <w:t>4</w:t>
      </w:r>
      <w:r w:rsidR="00665371" w:rsidRPr="00665371">
        <w:rPr>
          <w:b/>
          <w:sz w:val="22"/>
        </w:rPr>
        <w:t xml:space="preserve"> roku</w:t>
      </w:r>
    </w:p>
    <w:p w:rsidR="00D92718" w:rsidRPr="00665371" w:rsidRDefault="00D92718" w:rsidP="00096458">
      <w:pPr>
        <w:ind w:right="-31" w:firstLine="0"/>
        <w:jc w:val="center"/>
        <w:rPr>
          <w:b/>
          <w:sz w:val="22"/>
        </w:rPr>
      </w:pPr>
      <w:r w:rsidRPr="00665371">
        <w:rPr>
          <w:b/>
          <w:sz w:val="22"/>
        </w:rPr>
        <w:t>w sprawie podania do publicznej wiadomości wykazu nieruchomości stanowiących własność Gminy Miasta Toruń, przeznaczonych do sprzedaży.</w:t>
      </w:r>
    </w:p>
    <w:p w:rsidR="00D92718" w:rsidRDefault="00D92718" w:rsidP="00096458">
      <w:pPr>
        <w:spacing w:after="0"/>
        <w:ind w:right="-31" w:firstLine="0"/>
        <w:jc w:val="center"/>
        <w:rPr>
          <w:sz w:val="22"/>
        </w:rPr>
      </w:pPr>
      <w:r w:rsidRPr="00665371">
        <w:rPr>
          <w:sz w:val="22"/>
        </w:rPr>
        <w:t>Na podstawie art. 35 ust.</w:t>
      </w:r>
      <w:r w:rsidR="00665371" w:rsidRPr="00665371">
        <w:rPr>
          <w:sz w:val="22"/>
        </w:rPr>
        <w:t xml:space="preserve"> </w:t>
      </w:r>
      <w:r w:rsidRPr="00665371">
        <w:rPr>
          <w:sz w:val="22"/>
        </w:rPr>
        <w:t xml:space="preserve">1 i 2 </w:t>
      </w:r>
      <w:r w:rsidR="00665371" w:rsidRPr="00665371">
        <w:rPr>
          <w:color w:val="000000" w:themeColor="text1"/>
          <w:sz w:val="22"/>
          <w:shd w:val="clear" w:color="auto" w:fill="FFFFFF"/>
        </w:rPr>
        <w:t xml:space="preserve">ustawy z dnia 21 sierpnia 1997 r. </w:t>
      </w:r>
      <w:r w:rsidR="00665371" w:rsidRPr="00665371">
        <w:rPr>
          <w:i/>
          <w:color w:val="000000" w:themeColor="text1"/>
          <w:sz w:val="22"/>
          <w:shd w:val="clear" w:color="auto" w:fill="FFFFFF"/>
        </w:rPr>
        <w:t>o gospodarce nieruchomościami</w:t>
      </w:r>
      <w:r w:rsidR="00665371" w:rsidRPr="00665371">
        <w:rPr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="00665371" w:rsidRPr="00665371">
        <w:rPr>
          <w:color w:val="000000" w:themeColor="text1"/>
          <w:sz w:val="22"/>
          <w:shd w:val="clear" w:color="auto" w:fill="FFFFFF"/>
        </w:rPr>
        <w:t>t.j</w:t>
      </w:r>
      <w:proofErr w:type="spellEnd"/>
      <w:r w:rsidR="00665371" w:rsidRPr="00665371">
        <w:rPr>
          <w:color w:val="000000" w:themeColor="text1"/>
          <w:sz w:val="22"/>
          <w:shd w:val="clear" w:color="auto" w:fill="FFFFFF"/>
        </w:rPr>
        <w:t>. Dz. U. z 2023 r. poz. 344 z późn. zm.)</w:t>
      </w:r>
      <w:r w:rsidRPr="00665371">
        <w:rPr>
          <w:sz w:val="22"/>
        </w:rPr>
        <w:t xml:space="preserve"> oraz uchwały nr 790/01 Rady Miasta Torunia z dnia 21.06.2001 roku w sprawie przyznania pierwszeństwa w nabyciu lokali użytkowych oraz ustalenia zasad ich sprzedaży</w:t>
      </w:r>
    </w:p>
    <w:p w:rsidR="00665371" w:rsidRPr="00665371" w:rsidRDefault="00665371" w:rsidP="00096458">
      <w:pPr>
        <w:spacing w:after="0"/>
        <w:ind w:left="-567" w:right="-31" w:firstLine="0"/>
        <w:jc w:val="center"/>
        <w:rPr>
          <w:sz w:val="22"/>
        </w:rPr>
      </w:pPr>
    </w:p>
    <w:p w:rsidR="00D92718" w:rsidRPr="00F9391F" w:rsidRDefault="00D92718" w:rsidP="00096458">
      <w:pPr>
        <w:spacing w:after="0"/>
        <w:ind w:left="-567" w:right="-31" w:firstLine="0"/>
        <w:jc w:val="center"/>
        <w:rPr>
          <w:b/>
          <w:sz w:val="22"/>
        </w:rPr>
      </w:pPr>
      <w:r w:rsidRPr="00F9391F">
        <w:rPr>
          <w:b/>
          <w:sz w:val="22"/>
        </w:rPr>
        <w:t>Prezydent Miasta Torunia podaje do publicznej wiadomości</w:t>
      </w:r>
    </w:p>
    <w:p w:rsidR="00D92718" w:rsidRPr="00F9391F" w:rsidRDefault="00D92718" w:rsidP="00096458">
      <w:pPr>
        <w:spacing w:after="0"/>
        <w:ind w:left="-567" w:right="-31" w:firstLine="0"/>
        <w:jc w:val="center"/>
        <w:rPr>
          <w:b/>
          <w:sz w:val="22"/>
        </w:rPr>
      </w:pPr>
      <w:r w:rsidRPr="00F9391F">
        <w:rPr>
          <w:b/>
          <w:sz w:val="22"/>
        </w:rPr>
        <w:t>wykaz nieruchomości stanowiących Gminy Miasta Toruń, przeznaczonych do sprzedaży:</w:t>
      </w:r>
    </w:p>
    <w:p w:rsidR="008F59D2" w:rsidRPr="00F9391F" w:rsidRDefault="008F59D2" w:rsidP="00D92718">
      <w:pPr>
        <w:spacing w:after="0"/>
        <w:ind w:right="-31" w:firstLine="0"/>
        <w:jc w:val="center"/>
        <w:rPr>
          <w:b/>
          <w:sz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5"/>
        <w:gridCol w:w="1169"/>
        <w:gridCol w:w="1701"/>
        <w:gridCol w:w="1701"/>
        <w:gridCol w:w="2268"/>
        <w:gridCol w:w="1984"/>
      </w:tblGrid>
      <w:tr w:rsidR="00D92718" w:rsidRPr="00F9391F" w:rsidTr="00F0259C">
        <w:trPr>
          <w:trHeight w:val="4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Położenie</w:t>
            </w:r>
          </w:p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 xml:space="preserve">nieruchomości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 xml:space="preserve">Numer </w:t>
            </w:r>
          </w:p>
          <w:p w:rsidR="00D92718" w:rsidRPr="00F9391F" w:rsidRDefault="00444B87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d</w:t>
            </w:r>
            <w:r w:rsidR="00D92718" w:rsidRPr="00F9391F">
              <w:rPr>
                <w:b/>
                <w:snapToGrid w:val="0"/>
                <w:color w:val="000000"/>
                <w:sz w:val="22"/>
              </w:rPr>
              <w:t>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 xml:space="preserve">Cena </w:t>
            </w:r>
          </w:p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 xml:space="preserve">nieruchomości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Przeznaczenie</w:t>
            </w:r>
          </w:p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18" w:rsidRPr="00F9391F" w:rsidRDefault="00D92718" w:rsidP="006B18A3">
            <w:pPr>
              <w:spacing w:after="0"/>
              <w:ind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F9391F">
              <w:rPr>
                <w:b/>
                <w:snapToGrid w:val="0"/>
                <w:color w:val="000000"/>
                <w:sz w:val="22"/>
              </w:rPr>
              <w:t>Forma rozdysponowania</w:t>
            </w:r>
          </w:p>
        </w:tc>
      </w:tr>
      <w:tr w:rsidR="00D92718" w:rsidRPr="00F9391F" w:rsidTr="00F0259C">
        <w:trPr>
          <w:trHeight w:val="16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D92718" w:rsidP="00665371">
            <w:pPr>
              <w:spacing w:after="0"/>
              <w:ind w:right="-31" w:firstLine="0"/>
              <w:jc w:val="center"/>
              <w:rPr>
                <w:sz w:val="22"/>
                <w:lang w:eastAsia="pl-PL"/>
              </w:rPr>
            </w:pPr>
            <w:r w:rsidRPr="00F9391F">
              <w:rPr>
                <w:sz w:val="22"/>
                <w:lang w:eastAsia="pl-PL"/>
              </w:rPr>
              <w:t xml:space="preserve">ul. </w:t>
            </w:r>
            <w:r w:rsidR="00206EF5" w:rsidRPr="00F9391F">
              <w:rPr>
                <w:sz w:val="22"/>
                <w:lang w:eastAsia="pl-PL"/>
              </w:rPr>
              <w:t>Bolesława Chrobrego 86</w:t>
            </w:r>
          </w:p>
          <w:p w:rsidR="00D92718" w:rsidRPr="00F9391F" w:rsidRDefault="00D92718" w:rsidP="00665371">
            <w:pPr>
              <w:spacing w:after="0"/>
              <w:ind w:right="-31" w:firstLine="0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87" w:rsidRPr="00F9391F" w:rsidRDefault="00E570A1" w:rsidP="0046114D">
            <w:pPr>
              <w:spacing w:line="260" w:lineRule="exact"/>
              <w:ind w:firstLine="0"/>
              <w:jc w:val="center"/>
              <w:rPr>
                <w:sz w:val="22"/>
              </w:rPr>
            </w:pPr>
            <w:r w:rsidRPr="00F9391F">
              <w:rPr>
                <w:color w:val="000000" w:themeColor="text1"/>
                <w:sz w:val="22"/>
              </w:rPr>
              <w:t>109/5, 109/8, 109/9, 109/11, 123/2, 123/3, 214/6 i 214/9 z ob. 43</w:t>
            </w:r>
            <w:r w:rsidR="00665371" w:rsidRPr="00F9391F">
              <w:rPr>
                <w:sz w:val="22"/>
              </w:rPr>
              <w:t xml:space="preserve">,  pow. </w:t>
            </w:r>
            <w:r w:rsidR="0046114D" w:rsidRPr="00F9391F">
              <w:rPr>
                <w:sz w:val="22"/>
              </w:rPr>
              <w:t>5,1308</w:t>
            </w:r>
            <w:r w:rsidR="00665371" w:rsidRPr="00F9391F">
              <w:rPr>
                <w:sz w:val="22"/>
              </w:rPr>
              <w:t xml:space="preserve">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18" w:rsidRPr="00F9391F" w:rsidRDefault="00665371" w:rsidP="0046114D">
            <w:pPr>
              <w:spacing w:after="0"/>
              <w:ind w:right="-31" w:firstLine="0"/>
              <w:jc w:val="center"/>
              <w:rPr>
                <w:snapToGrid w:val="0"/>
                <w:color w:val="000000"/>
                <w:sz w:val="22"/>
              </w:rPr>
            </w:pPr>
            <w:r w:rsidRPr="00F9391F">
              <w:rPr>
                <w:sz w:val="22"/>
              </w:rPr>
              <w:t>TO1T/</w:t>
            </w:r>
            <w:r w:rsidR="0046114D" w:rsidRPr="00F9391F">
              <w:rPr>
                <w:sz w:val="22"/>
              </w:rPr>
              <w:t>00036822/9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8" w:rsidRPr="00F9391F" w:rsidRDefault="00F9391F" w:rsidP="00665371">
            <w:pPr>
              <w:spacing w:after="0"/>
              <w:ind w:right="-31" w:firstLine="0"/>
              <w:jc w:val="center"/>
              <w:rPr>
                <w:sz w:val="22"/>
              </w:rPr>
            </w:pPr>
            <w:r w:rsidRPr="00F9391F">
              <w:rPr>
                <w:sz w:val="22"/>
              </w:rPr>
              <w:t xml:space="preserve"> </w:t>
            </w:r>
            <w:r w:rsidRPr="00F9391F">
              <w:rPr>
                <w:sz w:val="22"/>
                <w:lang w:eastAsia="pl-PL"/>
              </w:rPr>
              <w:t xml:space="preserve">3 577 000,84 </w:t>
            </w:r>
            <w:r w:rsidR="008F59D2" w:rsidRPr="00F9391F">
              <w:rPr>
                <w:sz w:val="22"/>
              </w:rPr>
              <w:t xml:space="preserve">zł, w tym </w:t>
            </w:r>
            <w:r w:rsidRPr="00F9391F">
              <w:rPr>
                <w:sz w:val="22"/>
                <w:lang w:eastAsia="pl-PL"/>
              </w:rPr>
              <w:t>2 032 000,00 zł wartość gruntu</w:t>
            </w:r>
          </w:p>
          <w:p w:rsidR="00D92718" w:rsidRPr="00F9391F" w:rsidRDefault="00F9391F" w:rsidP="00665371">
            <w:pPr>
              <w:spacing w:after="0"/>
              <w:ind w:right="-31" w:firstLine="0"/>
              <w:jc w:val="center"/>
              <w:rPr>
                <w:sz w:val="22"/>
              </w:rPr>
            </w:pPr>
            <w:r>
              <w:rPr>
                <w:sz w:val="22"/>
              </w:rPr>
              <w:t>(od ceny zostanie udzielona bonifikata z tytułu wpisania do rejestry zabytków w wysokości 50%</w:t>
            </w:r>
            <w:r w:rsidR="00F0259C">
              <w:rPr>
                <w:sz w:val="22"/>
              </w:rPr>
              <w:t xml:space="preserve"> ustalonej ceny</w:t>
            </w:r>
            <w:r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18" w:rsidRPr="00F9391F" w:rsidRDefault="001715F5" w:rsidP="00BA775A">
            <w:pPr>
              <w:spacing w:after="0"/>
              <w:ind w:firstLine="0"/>
              <w:jc w:val="center"/>
              <w:rPr>
                <w:sz w:val="22"/>
                <w:lang w:eastAsia="pl-PL"/>
              </w:rPr>
            </w:pPr>
            <w:r>
              <w:rPr>
                <w:color w:val="000000" w:themeColor="text1"/>
                <w:sz w:val="22"/>
                <w:szCs w:val="24"/>
              </w:rPr>
              <w:t>C</w:t>
            </w:r>
            <w:r w:rsidRPr="001715F5">
              <w:rPr>
                <w:color w:val="000000" w:themeColor="text1"/>
                <w:sz w:val="22"/>
                <w:szCs w:val="24"/>
              </w:rPr>
              <w:t>zęść nieruchomość mieści się w terenie o przeznaczeniu podstawowym „usługi” i dopuszczalnym „składy i magazyny” oraz jest objęta ochroną konserwatorską Fortu IV</w:t>
            </w:r>
            <w:r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18" w:rsidRPr="00F9391F" w:rsidRDefault="00D92718" w:rsidP="00665371">
            <w:pPr>
              <w:spacing w:after="0"/>
              <w:ind w:right="-31" w:firstLine="0"/>
              <w:jc w:val="center"/>
              <w:rPr>
                <w:snapToGrid w:val="0"/>
                <w:color w:val="000000"/>
                <w:sz w:val="22"/>
              </w:rPr>
            </w:pPr>
            <w:r w:rsidRPr="00F9391F">
              <w:rPr>
                <w:snapToGrid w:val="0"/>
                <w:color w:val="000000"/>
                <w:sz w:val="22"/>
              </w:rPr>
              <w:t>Sprzedaż lokalu użytkowego</w:t>
            </w:r>
          </w:p>
          <w:p w:rsidR="00D92718" w:rsidRPr="00F9391F" w:rsidRDefault="00D92718" w:rsidP="00665371">
            <w:pPr>
              <w:spacing w:after="0"/>
              <w:ind w:right="-31" w:firstLine="0"/>
              <w:jc w:val="center"/>
              <w:rPr>
                <w:snapToGrid w:val="0"/>
                <w:color w:val="000000"/>
                <w:sz w:val="22"/>
              </w:rPr>
            </w:pPr>
            <w:r w:rsidRPr="00F9391F">
              <w:rPr>
                <w:snapToGrid w:val="0"/>
                <w:color w:val="000000"/>
                <w:sz w:val="22"/>
              </w:rPr>
              <w:t xml:space="preserve">wraz z </w:t>
            </w:r>
            <w:r w:rsidR="001715F5">
              <w:rPr>
                <w:snapToGrid w:val="0"/>
                <w:color w:val="000000"/>
                <w:sz w:val="22"/>
              </w:rPr>
              <w:t>gruntem</w:t>
            </w:r>
          </w:p>
          <w:p w:rsidR="00D92718" w:rsidRPr="00F9391F" w:rsidRDefault="00D92718" w:rsidP="00665371">
            <w:pPr>
              <w:spacing w:after="0"/>
              <w:ind w:right="-31" w:firstLine="0"/>
              <w:jc w:val="center"/>
              <w:rPr>
                <w:snapToGrid w:val="0"/>
                <w:color w:val="000000"/>
                <w:sz w:val="22"/>
              </w:rPr>
            </w:pPr>
            <w:r w:rsidRPr="00F9391F">
              <w:rPr>
                <w:snapToGrid w:val="0"/>
                <w:color w:val="000000"/>
                <w:sz w:val="22"/>
              </w:rPr>
              <w:t>w trybie art. 34 ust. 6 ustawy o gospodarce nieruchomościami</w:t>
            </w:r>
          </w:p>
          <w:p w:rsidR="00D92718" w:rsidRPr="00F9391F" w:rsidRDefault="00D92718" w:rsidP="00665371">
            <w:pPr>
              <w:spacing w:after="0"/>
              <w:ind w:firstLine="0"/>
              <w:jc w:val="center"/>
              <w:rPr>
                <w:sz w:val="22"/>
                <w:lang w:eastAsia="pl-PL"/>
              </w:rPr>
            </w:pPr>
          </w:p>
        </w:tc>
      </w:tr>
    </w:tbl>
    <w:p w:rsidR="00623AA3" w:rsidRPr="00096458" w:rsidRDefault="00623AA3" w:rsidP="00623AA3">
      <w:pPr>
        <w:pStyle w:val="Nagwek1"/>
        <w:ind w:left="-284" w:right="0"/>
        <w:jc w:val="both"/>
        <w:rPr>
          <w:b w:val="0"/>
          <w:sz w:val="22"/>
          <w:szCs w:val="22"/>
        </w:rPr>
      </w:pPr>
    </w:p>
    <w:p w:rsidR="00824C1B" w:rsidRPr="00096458" w:rsidRDefault="00D92718" w:rsidP="00096458">
      <w:pPr>
        <w:pStyle w:val="Nagwek1"/>
        <w:numPr>
          <w:ilvl w:val="0"/>
          <w:numId w:val="1"/>
        </w:numPr>
        <w:ind w:left="426" w:right="0" w:hanging="425"/>
        <w:jc w:val="both"/>
        <w:rPr>
          <w:b w:val="0"/>
          <w:sz w:val="22"/>
          <w:szCs w:val="22"/>
        </w:rPr>
      </w:pPr>
      <w:r w:rsidRPr="00096458">
        <w:rPr>
          <w:b w:val="0"/>
          <w:sz w:val="22"/>
          <w:szCs w:val="22"/>
        </w:rPr>
        <w:t xml:space="preserve">Nieruchomość opisana w tabeli zabudowana jest </w:t>
      </w:r>
      <w:r w:rsidR="00096458" w:rsidRPr="00096458">
        <w:rPr>
          <w:b w:val="0"/>
          <w:sz w:val="22"/>
          <w:szCs w:val="22"/>
        </w:rPr>
        <w:t xml:space="preserve">budynkiem </w:t>
      </w:r>
      <w:r w:rsidR="00E518BF" w:rsidRPr="00E518BF">
        <w:rPr>
          <w:b w:val="0"/>
          <w:color w:val="000000" w:themeColor="text1"/>
          <w:sz w:val="22"/>
        </w:rPr>
        <w:t>Fortu IV im. Stefana Żółkiewskiego, w skład której wchodzi budowla główna – fort B-37 oraz baterie skrzydłowe – fort B-36 i fort B-38 o łącznej powierzchni 3.130 mkw.</w:t>
      </w:r>
    </w:p>
    <w:p w:rsidR="00824C1B" w:rsidRPr="00E518BF" w:rsidRDefault="00E518BF" w:rsidP="00096458">
      <w:pPr>
        <w:pStyle w:val="Nagwek1"/>
        <w:numPr>
          <w:ilvl w:val="0"/>
          <w:numId w:val="1"/>
        </w:numPr>
        <w:ind w:left="426" w:right="0" w:hanging="425"/>
        <w:jc w:val="both"/>
        <w:rPr>
          <w:b w:val="0"/>
          <w:sz w:val="20"/>
          <w:szCs w:val="22"/>
        </w:rPr>
      </w:pPr>
      <w:r w:rsidRPr="00E518BF">
        <w:rPr>
          <w:b w:val="0"/>
          <w:color w:val="000000" w:themeColor="text1"/>
          <w:sz w:val="22"/>
        </w:rPr>
        <w:t>Nieruchomość, mocą decyzji WUOZ.T.WRD.5140.3.1.2023.TK z dnia 21.04.1971 r. numer A/1367, wpisana została do rejestru zabytków.</w:t>
      </w:r>
    </w:p>
    <w:p w:rsidR="00D92718" w:rsidRPr="00824C1B" w:rsidRDefault="00D92718" w:rsidP="00096458">
      <w:pPr>
        <w:pStyle w:val="Nagwek1"/>
        <w:numPr>
          <w:ilvl w:val="0"/>
          <w:numId w:val="1"/>
        </w:numPr>
        <w:ind w:left="426" w:right="0" w:hanging="425"/>
        <w:jc w:val="both"/>
        <w:rPr>
          <w:b w:val="0"/>
          <w:sz w:val="22"/>
          <w:szCs w:val="22"/>
        </w:rPr>
      </w:pPr>
      <w:r w:rsidRPr="00824C1B">
        <w:rPr>
          <w:b w:val="0"/>
          <w:sz w:val="22"/>
          <w:szCs w:val="22"/>
        </w:rPr>
        <w:t xml:space="preserve">Sprzedaży podlega lokal użytkowy wraz </w:t>
      </w:r>
      <w:r w:rsidR="00E518BF">
        <w:rPr>
          <w:b w:val="0"/>
          <w:sz w:val="22"/>
          <w:szCs w:val="22"/>
        </w:rPr>
        <w:t>z gruntem służącym do obsługi.</w:t>
      </w:r>
      <w:r w:rsidRPr="00824C1B">
        <w:rPr>
          <w:b w:val="0"/>
          <w:sz w:val="22"/>
          <w:szCs w:val="22"/>
        </w:rPr>
        <w:t xml:space="preserve"> 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sz w:val="22"/>
        </w:rPr>
        <w:t>Prezydent Miasta Torunia informuje</w:t>
      </w:r>
      <w:r>
        <w:rPr>
          <w:sz w:val="22"/>
        </w:rPr>
        <w:t>,</w:t>
      </w:r>
      <w:r w:rsidRPr="00425F79">
        <w:rPr>
          <w:sz w:val="22"/>
        </w:rPr>
        <w:t xml:space="preserve"> iż termin do złożenia wniosku o skorzystanie z pierwszeństwa nabycia nieruchomości przez osoby spełniające warunki określone w art. 34 ust. 1 pkt 1 i pkt 2 ustawy o gospodarce nieruchomościami</w:t>
      </w:r>
      <w:r w:rsidR="00096458">
        <w:rPr>
          <w:sz w:val="22"/>
        </w:rPr>
        <w:t>,</w:t>
      </w:r>
      <w:r w:rsidRPr="00425F79">
        <w:rPr>
          <w:sz w:val="22"/>
        </w:rPr>
        <w:t xml:space="preserve"> wynosi 6 tygodni licząc od dnia wywieszenia wykazu. 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sz w:val="22"/>
        </w:rPr>
        <w:t xml:space="preserve">Osoby, o których mowa w pkt. </w:t>
      </w:r>
      <w:r w:rsidR="00D064E2">
        <w:rPr>
          <w:sz w:val="22"/>
        </w:rPr>
        <w:t>4</w:t>
      </w:r>
      <w:r w:rsidRPr="00425F79">
        <w:rPr>
          <w:sz w:val="22"/>
        </w:rPr>
        <w:t xml:space="preserve"> skorzystają z pierwszeństwa w nabyciu nieruchomości, jeżeli złożą oświadczenie, że wyrażają zgodę na cenę ustaloną w sposób określony w ustawie o gospodarce nieruchomościami.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spacing w:after="0"/>
        <w:ind w:left="426" w:hanging="425"/>
        <w:rPr>
          <w:sz w:val="22"/>
        </w:rPr>
      </w:pPr>
      <w:r w:rsidRPr="00425F79">
        <w:rPr>
          <w:sz w:val="22"/>
        </w:rPr>
        <w:t>Jeżeli ww. osoby nie skorzystają z przysługującego im pierwszeństwa w nabyciu tej nieruchomości, zostanie ona zbyta w trybie bezprzetargowym na rzecz ich aktualnego najemcy w oparciu o art. 34 ust. 6 ustawy o</w:t>
      </w:r>
      <w:r w:rsidR="00096458">
        <w:rPr>
          <w:sz w:val="22"/>
        </w:rPr>
        <w:t> </w:t>
      </w:r>
      <w:r w:rsidRPr="00425F79">
        <w:rPr>
          <w:sz w:val="22"/>
        </w:rPr>
        <w:t xml:space="preserve">gospodarce nieruchomościami. 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sz w:val="22"/>
        </w:rPr>
        <w:t>Pierwszeństwo w nabyciu nieruchomości nie przysługuje w stosunku do nieruchomości, o których mowa w</w:t>
      </w:r>
      <w:r w:rsidR="00096458">
        <w:rPr>
          <w:sz w:val="22"/>
        </w:rPr>
        <w:t> </w:t>
      </w:r>
      <w:r w:rsidRPr="00425F79">
        <w:rPr>
          <w:sz w:val="22"/>
        </w:rPr>
        <w:t>art.</w:t>
      </w:r>
      <w:r w:rsidR="00096458">
        <w:rPr>
          <w:sz w:val="22"/>
        </w:rPr>
        <w:t> </w:t>
      </w:r>
      <w:r w:rsidRPr="00425F79">
        <w:rPr>
          <w:sz w:val="22"/>
        </w:rPr>
        <w:t xml:space="preserve">216a ustawy o gospodarce nieruchomościami. 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sz w:val="22"/>
        </w:rPr>
        <w:t>Wykaz wywiesza się na okres 21 dni tj. od dnia</w:t>
      </w:r>
      <w:r w:rsidR="008F59D2">
        <w:rPr>
          <w:sz w:val="22"/>
        </w:rPr>
        <w:t xml:space="preserve"> </w:t>
      </w:r>
      <w:r w:rsidR="001715F5">
        <w:rPr>
          <w:b/>
          <w:sz w:val="22"/>
        </w:rPr>
        <w:t>06.05.2024</w:t>
      </w:r>
      <w:r w:rsidR="008F59D2">
        <w:rPr>
          <w:sz w:val="22"/>
        </w:rPr>
        <w:t xml:space="preserve"> </w:t>
      </w:r>
      <w:r w:rsidRPr="00425F79">
        <w:rPr>
          <w:sz w:val="22"/>
        </w:rPr>
        <w:t xml:space="preserve">roku do dnia </w:t>
      </w:r>
      <w:r w:rsidR="001715F5">
        <w:rPr>
          <w:b/>
          <w:sz w:val="22"/>
        </w:rPr>
        <w:t>27.05.2024</w:t>
      </w:r>
      <w:r w:rsidR="008F59D2">
        <w:rPr>
          <w:sz w:val="22"/>
        </w:rPr>
        <w:t xml:space="preserve"> </w:t>
      </w:r>
      <w:r w:rsidRPr="00425F79">
        <w:rPr>
          <w:sz w:val="22"/>
        </w:rPr>
        <w:t xml:space="preserve">roku. 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rFonts w:eastAsia="Times New Roman"/>
          <w:sz w:val="22"/>
          <w:lang w:eastAsia="pl-PL"/>
        </w:rPr>
        <w:t xml:space="preserve">Osoby, którym przysługuje pierwszeństwo w nabyciu nieruchomości z mocy art. 34 ustawy o gospodarce nieruchomościami lub odrębnych </w:t>
      </w:r>
      <w:hyperlink r:id="rId5" w:anchor="/hipertekst/16798871_art%2834%29_1?pit=2016-06-23" w:history="1">
        <w:r w:rsidRPr="00425F79">
          <w:rPr>
            <w:rStyle w:val="Hipercze"/>
            <w:rFonts w:eastAsia="Times New Roman"/>
            <w:color w:val="auto"/>
            <w:sz w:val="22"/>
            <w:u w:val="none"/>
            <w:lang w:eastAsia="pl-PL"/>
          </w:rPr>
          <w:t>przepisów</w:t>
        </w:r>
      </w:hyperlink>
      <w:r w:rsidRPr="00425F79">
        <w:rPr>
          <w:rFonts w:eastAsia="Times New Roman"/>
          <w:sz w:val="22"/>
          <w:lang w:eastAsia="pl-PL"/>
        </w:rPr>
        <w:t xml:space="preserve">, winny złożyć wniosek o nabycie </w:t>
      </w:r>
      <w:r w:rsidRPr="00425F79">
        <w:rPr>
          <w:rFonts w:eastAsia="Times New Roman"/>
          <w:b/>
          <w:sz w:val="22"/>
          <w:lang w:eastAsia="pl-PL"/>
        </w:rPr>
        <w:t>do dnia</w:t>
      </w:r>
      <w:r>
        <w:rPr>
          <w:rFonts w:eastAsia="Times New Roman"/>
          <w:b/>
          <w:sz w:val="22"/>
          <w:lang w:eastAsia="pl-PL"/>
        </w:rPr>
        <w:t xml:space="preserve"> </w:t>
      </w:r>
      <w:r w:rsidR="00E518BF">
        <w:rPr>
          <w:rFonts w:eastAsia="Times New Roman"/>
          <w:b/>
          <w:sz w:val="22"/>
          <w:lang w:eastAsia="pl-PL"/>
        </w:rPr>
        <w:t>17.06.2024</w:t>
      </w:r>
      <w:r w:rsidRPr="00425F79">
        <w:rPr>
          <w:rFonts w:eastAsia="Times New Roman"/>
          <w:b/>
          <w:sz w:val="22"/>
          <w:lang w:eastAsia="pl-PL"/>
        </w:rPr>
        <w:t xml:space="preserve"> </w:t>
      </w:r>
      <w:r w:rsidRPr="00623AA3">
        <w:rPr>
          <w:rFonts w:eastAsia="Times New Roman"/>
          <w:sz w:val="22"/>
          <w:lang w:eastAsia="pl-PL"/>
        </w:rPr>
        <w:t>roku.</w:t>
      </w:r>
    </w:p>
    <w:p w:rsidR="00D92718" w:rsidRPr="00425F79" w:rsidRDefault="00D92718" w:rsidP="00096458">
      <w:pPr>
        <w:pStyle w:val="Akapitzlist"/>
        <w:numPr>
          <w:ilvl w:val="0"/>
          <w:numId w:val="1"/>
        </w:numPr>
        <w:ind w:left="426" w:hanging="425"/>
        <w:rPr>
          <w:sz w:val="22"/>
          <w:lang w:eastAsia="pl-PL"/>
        </w:rPr>
      </w:pPr>
      <w:r w:rsidRPr="00425F79">
        <w:rPr>
          <w:sz w:val="22"/>
        </w:rPr>
        <w:t>Obwieszczenie wchodzi w życie z dniem ogłoszenia.</w:t>
      </w:r>
    </w:p>
    <w:p w:rsidR="00D92718" w:rsidRDefault="00D92718" w:rsidP="00D92718"/>
    <w:p w:rsidR="00BE7BB3" w:rsidRDefault="00DD02B7">
      <w:r>
        <w:t xml:space="preserve">                                                                     Dyrektor Wydziału Gospodarki Nieruchomościami</w:t>
      </w:r>
    </w:p>
    <w:p w:rsidR="00DD02B7" w:rsidRDefault="00DD02B7">
      <w:r>
        <w:t xml:space="preserve">                                                                                      </w:t>
      </w:r>
      <w:bookmarkStart w:id="0" w:name="_GoBack"/>
      <w:bookmarkEnd w:id="0"/>
      <w:r>
        <w:t>(-) Adrian Rynkowski</w:t>
      </w:r>
    </w:p>
    <w:sectPr w:rsidR="00DD02B7" w:rsidSect="007B789B">
      <w:pgSz w:w="11906" w:h="16838"/>
      <w:pgMar w:top="113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C3E"/>
    <w:multiLevelType w:val="hybridMultilevel"/>
    <w:tmpl w:val="9150396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8"/>
    <w:rsid w:val="00096458"/>
    <w:rsid w:val="000F0082"/>
    <w:rsid w:val="001176E4"/>
    <w:rsid w:val="001715F5"/>
    <w:rsid w:val="00206EF5"/>
    <w:rsid w:val="002419C8"/>
    <w:rsid w:val="00247B4E"/>
    <w:rsid w:val="00283B98"/>
    <w:rsid w:val="00444B87"/>
    <w:rsid w:val="0046114D"/>
    <w:rsid w:val="0047572C"/>
    <w:rsid w:val="00623AA3"/>
    <w:rsid w:val="00640D0F"/>
    <w:rsid w:val="00665371"/>
    <w:rsid w:val="006A6A06"/>
    <w:rsid w:val="007B789B"/>
    <w:rsid w:val="00824C1B"/>
    <w:rsid w:val="008F59D2"/>
    <w:rsid w:val="00A45A11"/>
    <w:rsid w:val="00BA775A"/>
    <w:rsid w:val="00BE7BB3"/>
    <w:rsid w:val="00D064E2"/>
    <w:rsid w:val="00D92718"/>
    <w:rsid w:val="00DD02B7"/>
    <w:rsid w:val="00E518BF"/>
    <w:rsid w:val="00E570A1"/>
    <w:rsid w:val="00F0259C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5A6"/>
  <w15:chartTrackingRefBased/>
  <w15:docId w15:val="{83F7CAFC-CB68-4DA8-B4B3-D0DA34C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71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92718"/>
    <w:pPr>
      <w:keepNext/>
      <w:spacing w:after="0"/>
      <w:ind w:right="-851" w:firstLine="0"/>
      <w:jc w:val="center"/>
      <w:outlineLvl w:val="0"/>
    </w:pPr>
    <w:rPr>
      <w:rFonts w:eastAsia="Times New Roman"/>
      <w:b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71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7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2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1B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4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b.scigalska</dc:creator>
  <cp:keywords/>
  <dc:description/>
  <cp:lastModifiedBy>i.wieckowska</cp:lastModifiedBy>
  <cp:revision>9</cp:revision>
  <cp:lastPrinted>2023-10-23T07:17:00Z</cp:lastPrinted>
  <dcterms:created xsi:type="dcterms:W3CDTF">2024-05-13T08:35:00Z</dcterms:created>
  <dcterms:modified xsi:type="dcterms:W3CDTF">2024-05-13T11:35:00Z</dcterms:modified>
</cp:coreProperties>
</file>