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67D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>Toruń,</w:t>
      </w:r>
      <w:r w:rsidR="00B51AEC">
        <w:rPr>
          <w:rFonts w:ascii="Times New Roman" w:hAnsi="Times New Roman" w:cs="Times New Roman"/>
        </w:rPr>
        <w:t xml:space="preserve"> </w:t>
      </w:r>
      <w:r w:rsidR="006416F3">
        <w:rPr>
          <w:rFonts w:ascii="Times New Roman" w:hAnsi="Times New Roman" w:cs="Times New Roman"/>
        </w:rPr>
        <w:t>22</w:t>
      </w:r>
      <w:r w:rsidR="001350FD">
        <w:rPr>
          <w:rFonts w:ascii="Times New Roman" w:hAnsi="Times New Roman" w:cs="Times New Roman"/>
        </w:rPr>
        <w:t>.04.2024r.</w:t>
      </w:r>
    </w:p>
    <w:p w14:paraId="187CB2DF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0A47D5">
        <w:rPr>
          <w:rFonts w:ascii="Times New Roman" w:hAnsi="Times New Roman" w:cs="Times New Roman"/>
        </w:rPr>
        <w:t>iE.7021</w:t>
      </w:r>
      <w:r w:rsidR="000A47D5" w:rsidRPr="001350FD">
        <w:rPr>
          <w:rFonts w:ascii="Times New Roman" w:hAnsi="Times New Roman" w:cs="Times New Roman"/>
        </w:rPr>
        <w:t>.</w:t>
      </w:r>
      <w:r w:rsidR="006416F3">
        <w:rPr>
          <w:rFonts w:ascii="Times New Roman" w:hAnsi="Times New Roman" w:cs="Times New Roman"/>
        </w:rPr>
        <w:t>28</w:t>
      </w:r>
      <w:r w:rsidR="000A47D5" w:rsidRPr="001350FD">
        <w:rPr>
          <w:rFonts w:ascii="Times New Roman" w:hAnsi="Times New Roman" w:cs="Times New Roman"/>
        </w:rPr>
        <w:t>.</w:t>
      </w:r>
      <w:r w:rsidR="000A47D5">
        <w:rPr>
          <w:rFonts w:ascii="Times New Roman" w:hAnsi="Times New Roman" w:cs="Times New Roman"/>
        </w:rPr>
        <w:t>2024</w:t>
      </w:r>
      <w:r w:rsidR="00A53BBB">
        <w:rPr>
          <w:rFonts w:ascii="Times New Roman" w:hAnsi="Times New Roman" w:cs="Times New Roman"/>
        </w:rPr>
        <w:t>LG</w:t>
      </w:r>
    </w:p>
    <w:p w14:paraId="02E6D96D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6D2FD7DA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F78BB4F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35B6B2DF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F8E170" w14:textId="77777777" w:rsidR="007A5A4A" w:rsidRPr="0084425C" w:rsidRDefault="00B56BD0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WSTĘPNA WYCENA</w:t>
      </w:r>
    </w:p>
    <w:p w14:paraId="32ED6A05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5908FD9C" w14:textId="77777777" w:rsidR="006416F3" w:rsidRDefault="006416F3" w:rsidP="006416F3">
      <w:pPr>
        <w:jc w:val="center"/>
        <w:rPr>
          <w:rFonts w:ascii="Times New Roman" w:hAnsi="Times New Roman" w:cs="Times New Roman"/>
        </w:rPr>
      </w:pPr>
      <w:r w:rsidRPr="006416F3">
        <w:rPr>
          <w:rFonts w:ascii="Times New Roman" w:hAnsi="Times New Roman" w:cs="Times New Roman"/>
        </w:rPr>
        <w:t>Wydział Środowiska i Ekologii Urzędu Miasta Torunia, zaprasza do złożenia oferty cenowej w celu rozeznania rynku potencjalnych wyko</w:t>
      </w:r>
      <w:r>
        <w:rPr>
          <w:rFonts w:ascii="Times New Roman" w:hAnsi="Times New Roman" w:cs="Times New Roman"/>
        </w:rPr>
        <w:t>nawców na realizację zadania pn</w:t>
      </w:r>
      <w:r w:rsidR="00EB1CE1">
        <w:rPr>
          <w:rFonts w:ascii="Times New Roman" w:hAnsi="Times New Roman" w:cs="Times New Roman"/>
        </w:rPr>
        <w:t>.</w:t>
      </w:r>
      <w:r w:rsidR="00C43253">
        <w:rPr>
          <w:rFonts w:ascii="Times New Roman" w:hAnsi="Times New Roman" w:cs="Times New Roman"/>
        </w:rPr>
        <w:t>:</w:t>
      </w:r>
    </w:p>
    <w:p w14:paraId="48F62190" w14:textId="77777777" w:rsidR="002B6A20" w:rsidRPr="006416F3" w:rsidRDefault="00A5126D" w:rsidP="006416F3">
      <w:pPr>
        <w:jc w:val="center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„</w:t>
      </w:r>
      <w:r w:rsidR="00B51AEC">
        <w:rPr>
          <w:rFonts w:ascii="Times New Roman" w:hAnsi="Times New Roman" w:cs="Times New Roman"/>
          <w:b/>
          <w:color w:val="000000" w:themeColor="text1"/>
        </w:rPr>
        <w:t>Wymiana urządzeń zabawowych na placach zabaw zarządzanych przez Wydział Środowiska i Ekologii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25726DA0" w14:textId="77777777" w:rsidR="00B24D8D" w:rsidRPr="0060383C" w:rsidRDefault="00B24D8D" w:rsidP="00B72FF7">
      <w:pPr>
        <w:jc w:val="both"/>
        <w:rPr>
          <w:rFonts w:ascii="Times New Roman" w:hAnsi="Times New Roman" w:cs="Times New Roman"/>
          <w:b/>
        </w:rPr>
      </w:pPr>
    </w:p>
    <w:p w14:paraId="31E46493" w14:textId="77777777" w:rsidR="00267DCA" w:rsidRDefault="00267DCA" w:rsidP="00267DCA">
      <w:pPr>
        <w:pStyle w:val="Akapitzlist"/>
        <w:numPr>
          <w:ilvl w:val="0"/>
          <w:numId w:val="14"/>
        </w:numPr>
        <w:ind w:left="284" w:hanging="20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15846" w:rsidRPr="00267DCA">
        <w:rPr>
          <w:rFonts w:ascii="Times New Roman" w:hAnsi="Times New Roman" w:cs="Times New Roman"/>
          <w:bCs/>
        </w:rPr>
        <w:t>Zakres zadania</w:t>
      </w:r>
      <w:r w:rsidR="003938C4" w:rsidRPr="00267DCA">
        <w:rPr>
          <w:rFonts w:ascii="Times New Roman" w:hAnsi="Times New Roman" w:cs="Times New Roman"/>
          <w:bCs/>
        </w:rPr>
        <w:t>:</w:t>
      </w:r>
    </w:p>
    <w:p w14:paraId="21F31FE4" w14:textId="77777777" w:rsidR="00267DCA" w:rsidRPr="00267DCA" w:rsidRDefault="00267DCA" w:rsidP="00267DCA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71B220F" w14:textId="77777777" w:rsidR="00D42A74" w:rsidRDefault="00B51AEC" w:rsidP="00BB5D1E">
      <w:pPr>
        <w:pStyle w:val="Akapitzlist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Cs/>
        </w:rPr>
      </w:pPr>
      <w:r w:rsidRPr="00B24D8D">
        <w:rPr>
          <w:rFonts w:ascii="Times New Roman" w:hAnsi="Times New Roman" w:cs="Times New Roman"/>
          <w:bCs/>
        </w:rPr>
        <w:t>Wymiana pia</w:t>
      </w:r>
      <w:r w:rsidR="00197DE9">
        <w:rPr>
          <w:rFonts w:ascii="Times New Roman" w:hAnsi="Times New Roman" w:cs="Times New Roman"/>
          <w:bCs/>
        </w:rPr>
        <w:t>skownic na czterech</w:t>
      </w:r>
      <w:r w:rsidR="00D42A74" w:rsidRPr="00B24D8D">
        <w:rPr>
          <w:rFonts w:ascii="Times New Roman" w:hAnsi="Times New Roman" w:cs="Times New Roman"/>
          <w:bCs/>
        </w:rPr>
        <w:t xml:space="preserve"> placach zabaw</w:t>
      </w:r>
      <w:r w:rsidR="00E35913" w:rsidRPr="00B24D8D">
        <w:rPr>
          <w:rFonts w:ascii="Times New Roman" w:hAnsi="Times New Roman" w:cs="Times New Roman"/>
          <w:bCs/>
        </w:rPr>
        <w:t xml:space="preserve"> na piaskownice wy</w:t>
      </w:r>
      <w:r w:rsidR="00197DE9">
        <w:rPr>
          <w:rFonts w:ascii="Times New Roman" w:hAnsi="Times New Roman" w:cs="Times New Roman"/>
          <w:bCs/>
        </w:rPr>
        <w:t>konane z płyt HDPE. Trzy piaskownice kwadratowe o wymiarach 300cm x 3</w:t>
      </w:r>
      <w:r w:rsidR="00E35913" w:rsidRPr="00B24D8D">
        <w:rPr>
          <w:rFonts w:ascii="Times New Roman" w:hAnsi="Times New Roman" w:cs="Times New Roman"/>
          <w:bCs/>
        </w:rPr>
        <w:t xml:space="preserve">00cm x 30cm ( zdjęcie poglądowe </w:t>
      </w:r>
      <w:r w:rsidR="00D42A74" w:rsidRPr="00B24D8D">
        <w:rPr>
          <w:rFonts w:ascii="Times New Roman" w:hAnsi="Times New Roman" w:cs="Times New Roman"/>
          <w:bCs/>
        </w:rPr>
        <w:t xml:space="preserve"> zał. nr 1).</w:t>
      </w:r>
      <w:r w:rsidR="00197DE9">
        <w:rPr>
          <w:rFonts w:ascii="Times New Roman" w:hAnsi="Times New Roman" w:cs="Times New Roman"/>
          <w:bCs/>
        </w:rPr>
        <w:t>Jedna</w:t>
      </w:r>
      <w:r w:rsidR="001339D4">
        <w:rPr>
          <w:rFonts w:ascii="Times New Roman" w:hAnsi="Times New Roman" w:cs="Times New Roman"/>
          <w:bCs/>
        </w:rPr>
        <w:t xml:space="preserve"> piaskown</w:t>
      </w:r>
      <w:r w:rsidR="00500ED0">
        <w:rPr>
          <w:rFonts w:ascii="Times New Roman" w:hAnsi="Times New Roman" w:cs="Times New Roman"/>
          <w:bCs/>
        </w:rPr>
        <w:t>ica sześciokątna o wymiarach 358cm x 318cm x 37</w:t>
      </w:r>
      <w:r w:rsidR="001339D4">
        <w:rPr>
          <w:rFonts w:ascii="Times New Roman" w:hAnsi="Times New Roman" w:cs="Times New Roman"/>
          <w:bCs/>
        </w:rPr>
        <w:t>cm</w:t>
      </w:r>
      <w:r w:rsidR="00197DE9">
        <w:rPr>
          <w:rFonts w:ascii="Times New Roman" w:hAnsi="Times New Roman" w:cs="Times New Roman"/>
          <w:bCs/>
        </w:rPr>
        <w:t xml:space="preserve"> </w:t>
      </w:r>
      <w:r w:rsidR="001339D4">
        <w:rPr>
          <w:rFonts w:ascii="Times New Roman" w:hAnsi="Times New Roman" w:cs="Times New Roman"/>
          <w:bCs/>
        </w:rPr>
        <w:t>( zdjęcie poglądowe zał. nr 2)</w:t>
      </w:r>
      <w:r w:rsidR="00084742">
        <w:rPr>
          <w:rFonts w:ascii="Times New Roman" w:hAnsi="Times New Roman" w:cs="Times New Roman"/>
          <w:bCs/>
        </w:rPr>
        <w:t>.</w:t>
      </w:r>
      <w:r w:rsidR="00D42A74" w:rsidRPr="00B24D8D">
        <w:rPr>
          <w:rFonts w:ascii="Times New Roman" w:hAnsi="Times New Roman" w:cs="Times New Roman"/>
          <w:bCs/>
        </w:rPr>
        <w:t xml:space="preserve"> </w:t>
      </w:r>
      <w:r w:rsidR="00BB5D1E">
        <w:rPr>
          <w:rFonts w:ascii="Times New Roman" w:hAnsi="Times New Roman" w:cs="Times New Roman"/>
          <w:bCs/>
        </w:rPr>
        <w:t>Po montażu uzupełnienie piaskownic nowym piaskiem</w:t>
      </w:r>
      <w:r w:rsidR="007A363D">
        <w:rPr>
          <w:rFonts w:ascii="Times New Roman" w:hAnsi="Times New Roman" w:cs="Times New Roman"/>
          <w:bCs/>
        </w:rPr>
        <w:t>.</w:t>
      </w:r>
      <w:r w:rsidR="00BB5D1E">
        <w:rPr>
          <w:rFonts w:ascii="Times New Roman" w:hAnsi="Times New Roman" w:cs="Times New Roman"/>
          <w:bCs/>
        </w:rPr>
        <w:t xml:space="preserve"> </w:t>
      </w:r>
      <w:r w:rsidR="00BB5D1E" w:rsidRPr="00BB5D1E">
        <w:rPr>
          <w:rFonts w:ascii="Times New Roman" w:hAnsi="Times New Roman" w:cs="Times New Roman"/>
          <w:bCs/>
        </w:rPr>
        <w:t>Piasek powinien posiadać granulację na poziomie 0,2–2 mm, dzięki temu podczas użytkowania się nie zbija i jest bezpieczny dla dzieci, musi spełniać wymogi polskiej normy PN-EN 1177-2500/A1. Według Głównego Inspektoratu Sanitarnego najlepszym piaskiem jest piasek kopany.</w:t>
      </w:r>
    </w:p>
    <w:p w14:paraId="36F63DB7" w14:textId="77777777" w:rsidR="00BB5D1E" w:rsidRPr="00B24D8D" w:rsidRDefault="00BB5D1E" w:rsidP="00BB5D1E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1FAA6C06" w14:textId="77777777" w:rsidR="00503E3F" w:rsidRDefault="00D42A74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D42A74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</w:t>
      </w:r>
      <w:r w:rsidR="001339D4">
        <w:rPr>
          <w:rFonts w:ascii="Times New Roman" w:hAnsi="Times New Roman" w:cs="Times New Roman"/>
          <w:bCs/>
        </w:rPr>
        <w:t>ul. Nad Zatoką dz. nr 5 obr.58</w:t>
      </w:r>
      <w:r w:rsidRPr="00D42A74">
        <w:rPr>
          <w:rFonts w:ascii="Times New Roman" w:hAnsi="Times New Roman" w:cs="Times New Roman"/>
          <w:bCs/>
        </w:rPr>
        <w:t>; ul. Rydygiera 6 dz. 46/18 obr.51</w:t>
      </w:r>
      <w:r w:rsidR="001339D4">
        <w:rPr>
          <w:rFonts w:ascii="Times New Roman" w:hAnsi="Times New Roman" w:cs="Times New Roman"/>
          <w:bCs/>
        </w:rPr>
        <w:t>;</w:t>
      </w:r>
      <w:r w:rsidR="00F63A98">
        <w:rPr>
          <w:rFonts w:ascii="Times New Roman" w:hAnsi="Times New Roman" w:cs="Times New Roman"/>
          <w:bCs/>
        </w:rPr>
        <w:t>ul. Rolnicza 11 dz.160/44 obr.33; ul. Lubicka 48 dz. 125 obr.57</w:t>
      </w:r>
    </w:p>
    <w:p w14:paraId="67FEF426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3AE94B11" w14:textId="77777777" w:rsidR="00E35913" w:rsidRPr="00B24D8D" w:rsidRDefault="00E35913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 w:rsidRPr="00B24D8D">
        <w:rPr>
          <w:rFonts w:ascii="Times New Roman" w:hAnsi="Times New Roman" w:cs="Times New Roman"/>
          <w:bCs/>
        </w:rPr>
        <w:t>Wymiana ścianek wspinaczko</w:t>
      </w:r>
      <w:r w:rsidR="00A776DB" w:rsidRPr="00B24D8D">
        <w:rPr>
          <w:rFonts w:ascii="Times New Roman" w:hAnsi="Times New Roman" w:cs="Times New Roman"/>
          <w:bCs/>
        </w:rPr>
        <w:t>wych</w:t>
      </w:r>
      <w:r w:rsidR="00E1564B">
        <w:rPr>
          <w:rFonts w:ascii="Times New Roman" w:hAnsi="Times New Roman" w:cs="Times New Roman"/>
          <w:bCs/>
        </w:rPr>
        <w:t xml:space="preserve"> na </w:t>
      </w:r>
      <w:r w:rsidR="007A79A5">
        <w:rPr>
          <w:rFonts w:ascii="Times New Roman" w:hAnsi="Times New Roman" w:cs="Times New Roman"/>
          <w:bCs/>
        </w:rPr>
        <w:t>dwóch</w:t>
      </w:r>
      <w:r w:rsidR="00A776DB" w:rsidRPr="00B24D8D">
        <w:rPr>
          <w:rFonts w:ascii="Times New Roman" w:hAnsi="Times New Roman" w:cs="Times New Roman"/>
          <w:bCs/>
        </w:rPr>
        <w:t xml:space="preserve"> placach zabaw</w:t>
      </w:r>
      <w:r w:rsidR="00D42A74" w:rsidRPr="00B24D8D">
        <w:rPr>
          <w:rFonts w:ascii="Times New Roman" w:hAnsi="Times New Roman" w:cs="Times New Roman"/>
          <w:bCs/>
        </w:rPr>
        <w:t xml:space="preserve"> na ścianki wspinaczkowe w</w:t>
      </w:r>
      <w:r w:rsidR="00B2133B" w:rsidRPr="00B24D8D">
        <w:rPr>
          <w:rFonts w:ascii="Times New Roman" w:hAnsi="Times New Roman" w:cs="Times New Roman"/>
          <w:bCs/>
        </w:rPr>
        <w:t>ykonane z płyty HDP</w:t>
      </w:r>
      <w:r w:rsidR="0008387B">
        <w:rPr>
          <w:rFonts w:ascii="Times New Roman" w:hAnsi="Times New Roman" w:cs="Times New Roman"/>
          <w:bCs/>
        </w:rPr>
        <w:t>E ( zdjęcia i wymiary zał. nr. 3</w:t>
      </w:r>
      <w:r w:rsidR="00B2133B" w:rsidRPr="00B24D8D">
        <w:rPr>
          <w:rFonts w:ascii="Times New Roman" w:hAnsi="Times New Roman" w:cs="Times New Roman"/>
          <w:bCs/>
        </w:rPr>
        <w:t>)</w:t>
      </w:r>
      <w:r w:rsidR="006416F3">
        <w:rPr>
          <w:rFonts w:ascii="Times New Roman" w:hAnsi="Times New Roman" w:cs="Times New Roman"/>
          <w:bCs/>
        </w:rPr>
        <w:t>.</w:t>
      </w:r>
    </w:p>
    <w:p w14:paraId="22F1AF48" w14:textId="77777777" w:rsidR="00A776DB" w:rsidRDefault="00A776DB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B2133B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</w:t>
      </w:r>
      <w:r w:rsidR="007A79A5">
        <w:rPr>
          <w:rFonts w:ascii="Times New Roman" w:hAnsi="Times New Roman" w:cs="Times New Roman"/>
          <w:bCs/>
        </w:rPr>
        <w:t xml:space="preserve">ul. Gagarina dz. 66 </w:t>
      </w:r>
      <w:proofErr w:type="spellStart"/>
      <w:r w:rsidR="007A79A5">
        <w:rPr>
          <w:rFonts w:ascii="Times New Roman" w:hAnsi="Times New Roman" w:cs="Times New Roman"/>
          <w:bCs/>
        </w:rPr>
        <w:t>obr</w:t>
      </w:r>
      <w:proofErr w:type="spellEnd"/>
      <w:r w:rsidR="007A79A5">
        <w:rPr>
          <w:rFonts w:ascii="Times New Roman" w:hAnsi="Times New Roman" w:cs="Times New Roman"/>
          <w:bCs/>
        </w:rPr>
        <w:t>. 5,</w:t>
      </w:r>
      <w:r w:rsidR="00B24D8D">
        <w:rPr>
          <w:rFonts w:ascii="Times New Roman" w:hAnsi="Times New Roman" w:cs="Times New Roman"/>
          <w:bCs/>
        </w:rPr>
        <w:t xml:space="preserve"> </w:t>
      </w:r>
      <w:r w:rsidR="00CB047A">
        <w:rPr>
          <w:rFonts w:ascii="Times New Roman" w:hAnsi="Times New Roman" w:cs="Times New Roman"/>
          <w:bCs/>
        </w:rPr>
        <w:t xml:space="preserve">ul. Zbożowa dz. 206/2 </w:t>
      </w:r>
      <w:proofErr w:type="spellStart"/>
      <w:r w:rsidR="00CB047A">
        <w:rPr>
          <w:rFonts w:ascii="Times New Roman" w:hAnsi="Times New Roman" w:cs="Times New Roman"/>
          <w:bCs/>
        </w:rPr>
        <w:t>obr</w:t>
      </w:r>
      <w:proofErr w:type="spellEnd"/>
      <w:r w:rsidR="00CB047A">
        <w:rPr>
          <w:rFonts w:ascii="Times New Roman" w:hAnsi="Times New Roman" w:cs="Times New Roman"/>
          <w:bCs/>
        </w:rPr>
        <w:t>. 28</w:t>
      </w:r>
    </w:p>
    <w:p w14:paraId="2CDE2A69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620DBC09" w14:textId="77777777" w:rsidR="0008387B" w:rsidRPr="00CF5BCC" w:rsidRDefault="00157506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 w:rsidRPr="00CF5BCC">
        <w:rPr>
          <w:rFonts w:ascii="Times New Roman" w:hAnsi="Times New Roman" w:cs="Times New Roman"/>
          <w:bCs/>
        </w:rPr>
        <w:t>Montaż drewnianego stelaża huśtawki „</w:t>
      </w:r>
      <w:r w:rsidR="006416F3">
        <w:rPr>
          <w:rFonts w:ascii="Times New Roman" w:hAnsi="Times New Roman" w:cs="Times New Roman"/>
          <w:bCs/>
        </w:rPr>
        <w:t xml:space="preserve">bocianie gniazdo” </w:t>
      </w:r>
      <w:r w:rsidR="00CF5BCC" w:rsidRPr="00CF5BCC">
        <w:rPr>
          <w:rFonts w:ascii="Times New Roman" w:hAnsi="Times New Roman" w:cs="Times New Roman"/>
          <w:bCs/>
        </w:rPr>
        <w:t>( zdjęcie poglądowe</w:t>
      </w:r>
      <w:r w:rsidR="0008387B" w:rsidRPr="00CF5BCC">
        <w:rPr>
          <w:rFonts w:ascii="Times New Roman" w:hAnsi="Times New Roman" w:cs="Times New Roman"/>
          <w:bCs/>
        </w:rPr>
        <w:t xml:space="preserve"> zał. nr 4)</w:t>
      </w:r>
      <w:r w:rsidR="006416F3">
        <w:rPr>
          <w:rFonts w:ascii="Times New Roman" w:hAnsi="Times New Roman" w:cs="Times New Roman"/>
          <w:bCs/>
        </w:rPr>
        <w:t>.</w:t>
      </w:r>
    </w:p>
    <w:p w14:paraId="43F38075" w14:textId="77777777" w:rsidR="00157506" w:rsidRDefault="0008387B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08387B">
        <w:rPr>
          <w:rFonts w:ascii="Times New Roman" w:hAnsi="Times New Roman" w:cs="Times New Roman"/>
          <w:b/>
          <w:bCs/>
        </w:rPr>
        <w:t>Lokalizacja</w:t>
      </w:r>
      <w:r w:rsidRPr="0008387B">
        <w:rPr>
          <w:rFonts w:ascii="Times New Roman" w:hAnsi="Times New Roman" w:cs="Times New Roman"/>
          <w:bCs/>
        </w:rPr>
        <w:t>:</w:t>
      </w:r>
      <w:r w:rsidR="00157506" w:rsidRPr="0008387B">
        <w:rPr>
          <w:rFonts w:ascii="Times New Roman" w:hAnsi="Times New Roman" w:cs="Times New Roman"/>
          <w:bCs/>
        </w:rPr>
        <w:t xml:space="preserve"> ul. Bema dz.207/2 </w:t>
      </w:r>
      <w:proofErr w:type="spellStart"/>
      <w:r w:rsidR="00157506" w:rsidRPr="0008387B">
        <w:rPr>
          <w:rFonts w:ascii="Times New Roman" w:hAnsi="Times New Roman" w:cs="Times New Roman"/>
          <w:bCs/>
        </w:rPr>
        <w:t>obr</w:t>
      </w:r>
      <w:proofErr w:type="spellEnd"/>
      <w:r w:rsidR="00157506" w:rsidRPr="0008387B">
        <w:rPr>
          <w:rFonts w:ascii="Times New Roman" w:hAnsi="Times New Roman" w:cs="Times New Roman"/>
          <w:bCs/>
        </w:rPr>
        <w:t>.</w:t>
      </w:r>
      <w:r w:rsidRPr="0008387B">
        <w:rPr>
          <w:rFonts w:ascii="Times New Roman" w:hAnsi="Times New Roman" w:cs="Times New Roman"/>
          <w:bCs/>
        </w:rPr>
        <w:t xml:space="preserve"> 6 </w:t>
      </w:r>
    </w:p>
    <w:p w14:paraId="6F93E483" w14:textId="77777777" w:rsidR="00CF5BCC" w:rsidRPr="0008387B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17B277E5" w14:textId="77777777" w:rsidR="0008387B" w:rsidRPr="00157506" w:rsidRDefault="0008387B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urządzenia zabawowego Lokomotywa z wagonem</w:t>
      </w:r>
      <w:r w:rsidR="00CF5BCC">
        <w:rPr>
          <w:rFonts w:ascii="Times New Roman" w:hAnsi="Times New Roman" w:cs="Times New Roman"/>
          <w:bCs/>
        </w:rPr>
        <w:t xml:space="preserve"> ( zdjęcie poglądowe zał. nr 5)</w:t>
      </w:r>
      <w:r w:rsidR="006416F3">
        <w:rPr>
          <w:rFonts w:ascii="Times New Roman" w:hAnsi="Times New Roman" w:cs="Times New Roman"/>
          <w:bCs/>
        </w:rPr>
        <w:t>.</w:t>
      </w:r>
    </w:p>
    <w:p w14:paraId="34AE3ADF" w14:textId="77777777" w:rsidR="00B51AE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F5BCC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>: ul. Tataraków 27 dz. 879 obr.74</w:t>
      </w:r>
    </w:p>
    <w:p w14:paraId="1B155D13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1DA05023" w14:textId="77777777" w:rsidR="009E30D0" w:rsidRDefault="001D0CD4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Zakup i montaż </w:t>
      </w:r>
      <w:proofErr w:type="spellStart"/>
      <w:r>
        <w:rPr>
          <w:rFonts w:ascii="Times New Roman" w:hAnsi="Times New Roman" w:cs="Times New Roman"/>
          <w:bCs/>
        </w:rPr>
        <w:t>Linarium</w:t>
      </w:r>
      <w:proofErr w:type="spellEnd"/>
      <w:r>
        <w:rPr>
          <w:rFonts w:ascii="Times New Roman" w:hAnsi="Times New Roman" w:cs="Times New Roman"/>
          <w:bCs/>
        </w:rPr>
        <w:t xml:space="preserve"> stożkowego</w:t>
      </w:r>
      <w:r w:rsidR="00CF5BCC">
        <w:rPr>
          <w:rFonts w:ascii="Times New Roman" w:hAnsi="Times New Roman" w:cs="Times New Roman"/>
          <w:bCs/>
        </w:rPr>
        <w:t xml:space="preserve"> po uprzednim demontażu kostki brukowej wraz z krawężnikami o powierzchni około 42 m</w:t>
      </w:r>
      <w:r w:rsidR="00CF5BCC">
        <w:rPr>
          <w:rFonts w:ascii="Times New Roman" w:hAnsi="Times New Roman" w:cs="Times New Roman"/>
          <w:bCs/>
          <w:vertAlign w:val="superscript"/>
        </w:rPr>
        <w:t>2</w:t>
      </w:r>
      <w:r w:rsidR="00BB5D1E">
        <w:rPr>
          <w:rFonts w:ascii="Times New Roman" w:hAnsi="Times New Roman" w:cs="Times New Roman"/>
          <w:bCs/>
        </w:rPr>
        <w:t xml:space="preserve"> i przekazaniu Zamawiającemu. Korytowanie, zastosowanie</w:t>
      </w:r>
      <w:r w:rsidR="00C34BC7">
        <w:rPr>
          <w:rFonts w:ascii="Times New Roman" w:hAnsi="Times New Roman" w:cs="Times New Roman"/>
          <w:bCs/>
        </w:rPr>
        <w:t xml:space="preserve"> geowłókniny filtrującej oraz nawierzchni bezpiecznej </w:t>
      </w:r>
      <w:r w:rsidR="00C34BC7" w:rsidRPr="00C34BC7">
        <w:rPr>
          <w:rFonts w:ascii="Times New Roman" w:hAnsi="Times New Roman" w:cs="Times New Roman"/>
          <w:bCs/>
        </w:rPr>
        <w:t>z piasku lub żwiru o wielkości ziaren od 0,25mm do 8 mm oraz grubości warstwy nie mniej niż 30 c</w:t>
      </w:r>
      <w:r w:rsidR="006416F3">
        <w:rPr>
          <w:rFonts w:ascii="Times New Roman" w:hAnsi="Times New Roman" w:cs="Times New Roman"/>
          <w:bCs/>
        </w:rPr>
        <w:t>m</w:t>
      </w:r>
      <w:r w:rsidR="00C34BC7">
        <w:rPr>
          <w:rFonts w:ascii="Times New Roman" w:hAnsi="Times New Roman" w:cs="Times New Roman"/>
          <w:bCs/>
        </w:rPr>
        <w:t xml:space="preserve"> ( zdjęcie poglądowe</w:t>
      </w:r>
      <w:r w:rsidR="009E30D0">
        <w:rPr>
          <w:rFonts w:ascii="Times New Roman" w:hAnsi="Times New Roman" w:cs="Times New Roman"/>
          <w:bCs/>
        </w:rPr>
        <w:t xml:space="preserve"> zał. nr 6)</w:t>
      </w:r>
      <w:r w:rsidR="006416F3">
        <w:rPr>
          <w:rFonts w:ascii="Times New Roman" w:hAnsi="Times New Roman" w:cs="Times New Roman"/>
          <w:bCs/>
        </w:rPr>
        <w:t>.</w:t>
      </w:r>
    </w:p>
    <w:p w14:paraId="2A2F04F7" w14:textId="77777777" w:rsidR="00CF5BCC" w:rsidRDefault="009E30D0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7A79A5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 : ul. Wojska Polskiego 23 dz. 27/1, 24/2 </w:t>
      </w:r>
      <w:proofErr w:type="spellStart"/>
      <w:r>
        <w:rPr>
          <w:rFonts w:ascii="Times New Roman" w:hAnsi="Times New Roman" w:cs="Times New Roman"/>
          <w:bCs/>
        </w:rPr>
        <w:t>obr</w:t>
      </w:r>
      <w:proofErr w:type="spellEnd"/>
      <w:r>
        <w:rPr>
          <w:rFonts w:ascii="Times New Roman" w:hAnsi="Times New Roman" w:cs="Times New Roman"/>
          <w:bCs/>
        </w:rPr>
        <w:t>. 11</w:t>
      </w:r>
      <w:r w:rsidR="00C34BC7" w:rsidRPr="009E30D0">
        <w:rPr>
          <w:rFonts w:ascii="Times New Roman" w:hAnsi="Times New Roman" w:cs="Times New Roman"/>
          <w:bCs/>
        </w:rPr>
        <w:t xml:space="preserve"> </w:t>
      </w:r>
    </w:p>
    <w:p w14:paraId="68DE3EAF" w14:textId="77777777" w:rsidR="007E6743" w:rsidRDefault="007E6743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3117C04D" w14:textId="77777777" w:rsidR="006416F3" w:rsidRPr="006416F3" w:rsidRDefault="007E6743" w:rsidP="006416F3">
      <w:pPr>
        <w:pStyle w:val="Akapitzlist"/>
        <w:numPr>
          <w:ilvl w:val="0"/>
          <w:numId w:val="13"/>
        </w:numPr>
        <w:ind w:left="142"/>
        <w:rPr>
          <w:rFonts w:ascii="Times New Roman" w:hAnsi="Times New Roman" w:cs="Times New Roman"/>
          <w:bCs/>
        </w:rPr>
      </w:pPr>
      <w:r w:rsidRPr="006416F3">
        <w:rPr>
          <w:rFonts w:ascii="Times New Roman" w:hAnsi="Times New Roman" w:cs="Times New Roman"/>
          <w:bCs/>
        </w:rPr>
        <w:t xml:space="preserve">Zakup i montaż </w:t>
      </w:r>
      <w:proofErr w:type="spellStart"/>
      <w:r w:rsidRPr="006416F3">
        <w:rPr>
          <w:rFonts w:ascii="Times New Roman" w:hAnsi="Times New Roman" w:cs="Times New Roman"/>
          <w:bCs/>
        </w:rPr>
        <w:t>linarium</w:t>
      </w:r>
      <w:proofErr w:type="spellEnd"/>
      <w:r w:rsidRPr="006416F3">
        <w:rPr>
          <w:rFonts w:ascii="Times New Roman" w:hAnsi="Times New Roman" w:cs="Times New Roman"/>
          <w:bCs/>
        </w:rPr>
        <w:t xml:space="preserve"> stożkowego,</w:t>
      </w:r>
      <w:r w:rsidRPr="007E6743">
        <w:t xml:space="preserve"> </w:t>
      </w:r>
      <w:r w:rsidRPr="006416F3">
        <w:rPr>
          <w:rFonts w:ascii="Times New Roman" w:hAnsi="Times New Roman" w:cs="Times New Roman"/>
          <w:bCs/>
        </w:rPr>
        <w:t xml:space="preserve">korytowanie, zastosowaniu geowłókniny filtrującej oraz nawierzchni bezpiecznej z piasku lub żwiru o wielkości ziaren od 0,25mm do 8 mm oraz grubości warstwy nie mniej niż 30 cm. Granicę strefy bezpieczeństwa stanowić mają krawężniki </w:t>
      </w:r>
      <w:r w:rsidR="006416F3" w:rsidRPr="006416F3">
        <w:rPr>
          <w:rFonts w:ascii="Times New Roman" w:hAnsi="Times New Roman" w:cs="Times New Roman"/>
          <w:bCs/>
        </w:rPr>
        <w:t>gumowe wykonane z granulatu SBR ( zdjęcie poglądowe zał. nr 6).</w:t>
      </w:r>
    </w:p>
    <w:p w14:paraId="7739260E" w14:textId="77777777" w:rsidR="007E6743" w:rsidRDefault="007E6743" w:rsidP="006416F3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6675F05A" w14:textId="77777777" w:rsidR="007E6743" w:rsidRPr="00BB5D1E" w:rsidRDefault="007E6743" w:rsidP="007E6743">
      <w:pPr>
        <w:pStyle w:val="Akapitzlist"/>
        <w:ind w:left="142"/>
        <w:jc w:val="both"/>
        <w:rPr>
          <w:rFonts w:ascii="Times New Roman" w:hAnsi="Times New Roman" w:cs="Times New Roman"/>
          <w:b/>
          <w:bCs/>
        </w:rPr>
      </w:pPr>
      <w:r w:rsidRPr="00BB5D1E">
        <w:rPr>
          <w:rFonts w:ascii="Times New Roman" w:hAnsi="Times New Roman" w:cs="Times New Roman"/>
          <w:b/>
          <w:bCs/>
        </w:rPr>
        <w:t>Lokalizacja</w:t>
      </w:r>
      <w:r w:rsidR="00BB5D1E">
        <w:rPr>
          <w:rFonts w:ascii="Times New Roman" w:hAnsi="Times New Roman" w:cs="Times New Roman"/>
          <w:b/>
          <w:bCs/>
        </w:rPr>
        <w:t xml:space="preserve">: </w:t>
      </w:r>
      <w:r w:rsidR="00BB5D1E" w:rsidRPr="00BB5D1E">
        <w:rPr>
          <w:rFonts w:ascii="Times New Roman" w:hAnsi="Times New Roman" w:cs="Times New Roman"/>
          <w:bCs/>
        </w:rPr>
        <w:t xml:space="preserve">ul. Jana Matejki 41/ Juliusza Słowackiego 35 dz. 160 </w:t>
      </w:r>
      <w:proofErr w:type="spellStart"/>
      <w:r w:rsidR="00BB5D1E" w:rsidRPr="00BB5D1E">
        <w:rPr>
          <w:rFonts w:ascii="Times New Roman" w:hAnsi="Times New Roman" w:cs="Times New Roman"/>
          <w:bCs/>
        </w:rPr>
        <w:t>obr</w:t>
      </w:r>
      <w:proofErr w:type="spellEnd"/>
      <w:r w:rsidR="00BB5D1E" w:rsidRPr="00BB5D1E">
        <w:rPr>
          <w:rFonts w:ascii="Times New Roman" w:hAnsi="Times New Roman" w:cs="Times New Roman"/>
          <w:bCs/>
        </w:rPr>
        <w:t>. 8</w:t>
      </w:r>
    </w:p>
    <w:p w14:paraId="5592A3E8" w14:textId="77777777" w:rsidR="007A79A5" w:rsidRDefault="007A79A5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75A6D4BE" w14:textId="77777777" w:rsidR="007A79A5" w:rsidRDefault="00462ACA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Montaż dwóch huśtawek wagowych ( zdjęcie poglądowe zał. nr 7)</w:t>
      </w:r>
    </w:p>
    <w:p w14:paraId="1C3C7895" w14:textId="77777777" w:rsidR="00462ACA" w:rsidRDefault="00462ACA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  <w:r w:rsidRPr="00462ACA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ul. Narutowicza 5 dz. 359 </w:t>
      </w:r>
      <w:proofErr w:type="spellStart"/>
      <w:r>
        <w:rPr>
          <w:rFonts w:ascii="Times New Roman" w:hAnsi="Times New Roman" w:cs="Times New Roman"/>
          <w:bCs/>
        </w:rPr>
        <w:t>obr</w:t>
      </w:r>
      <w:proofErr w:type="spellEnd"/>
      <w:r>
        <w:rPr>
          <w:rFonts w:ascii="Times New Roman" w:hAnsi="Times New Roman" w:cs="Times New Roman"/>
          <w:bCs/>
        </w:rPr>
        <w:t>. 70, ul. Podgórska 17 dz. 587 obr.67</w:t>
      </w:r>
    </w:p>
    <w:p w14:paraId="56EAB3D6" w14:textId="77777777" w:rsidR="00BB5D1E" w:rsidRDefault="00BB5D1E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0501EC11" w14:textId="77777777" w:rsidR="00BB5D1E" w:rsidRDefault="00BB5D1E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35C9FB0E" w14:textId="77777777" w:rsidR="00C34E7A" w:rsidRDefault="00C34E7A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20B10860" w14:textId="77777777" w:rsidR="00C34E7A" w:rsidRDefault="00D045C1" w:rsidP="00D045C1">
      <w:pPr>
        <w:pStyle w:val="Akapitzlis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Wymagania materiałowe:</w:t>
      </w:r>
    </w:p>
    <w:p w14:paraId="429B1EDF" w14:textId="77777777" w:rsidR="00D045C1" w:rsidRDefault="00D045C1" w:rsidP="00D045C1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53FC1C3D" w14:textId="77777777" w:rsidR="002B7A6B" w:rsidRPr="00E00592" w:rsidRDefault="002B7A6B" w:rsidP="00E00592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Cechy obiektu dotyczące rozwiązań budowlano-konstrukcyjnych</w:t>
      </w:r>
      <w:r w:rsidR="00E00592">
        <w:rPr>
          <w:rFonts w:ascii="Times New Roman" w:hAnsi="Times New Roman" w:cs="Times New Roman"/>
          <w:bCs/>
        </w:rPr>
        <w:t xml:space="preserve"> oraz </w:t>
      </w:r>
      <w:r w:rsidR="00E00592" w:rsidRPr="00E00592">
        <w:rPr>
          <w:rFonts w:ascii="Times New Roman" w:hAnsi="Times New Roman" w:cs="Times New Roman"/>
          <w:bCs/>
        </w:rPr>
        <w:t>o</w:t>
      </w:r>
      <w:r w:rsidRPr="00E00592">
        <w:rPr>
          <w:rFonts w:ascii="Times New Roman" w:hAnsi="Times New Roman" w:cs="Times New Roman"/>
          <w:bCs/>
        </w:rPr>
        <w:t>gólne wymagania dla wykonani</w:t>
      </w:r>
      <w:r w:rsidR="00BE7D04" w:rsidRPr="00E00592">
        <w:rPr>
          <w:rFonts w:ascii="Times New Roman" w:hAnsi="Times New Roman" w:cs="Times New Roman"/>
          <w:bCs/>
        </w:rPr>
        <w:t>a i montażu urządzeń zabawowych:</w:t>
      </w:r>
    </w:p>
    <w:p w14:paraId="09D43817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1)</w:t>
      </w:r>
      <w:r w:rsidRPr="002B7A6B">
        <w:rPr>
          <w:rFonts w:ascii="Times New Roman" w:hAnsi="Times New Roman" w:cs="Times New Roman"/>
          <w:bCs/>
        </w:rPr>
        <w:tab/>
        <w:t>powinien posiadać min. 36 miesięczny okres gwarancji;</w:t>
      </w:r>
    </w:p>
    <w:p w14:paraId="2D787B5C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2)</w:t>
      </w:r>
      <w:r w:rsidRPr="002B7A6B">
        <w:rPr>
          <w:rFonts w:ascii="Times New Roman" w:hAnsi="Times New Roman" w:cs="Times New Roman"/>
          <w:bCs/>
        </w:rPr>
        <w:tab/>
        <w:t>powinien być wykonany z bezpiecznych i trwałych materiałów;</w:t>
      </w:r>
    </w:p>
    <w:p w14:paraId="02214A53" w14:textId="77777777" w:rsidR="002B7A6B" w:rsidRPr="008A2E25" w:rsidRDefault="002B7A6B" w:rsidP="008A2E25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3)</w:t>
      </w:r>
      <w:r w:rsidRPr="002B7A6B">
        <w:rPr>
          <w:rFonts w:ascii="Times New Roman" w:hAnsi="Times New Roman" w:cs="Times New Roman"/>
          <w:bCs/>
        </w:rPr>
        <w:tab/>
        <w:t>powinien być zgodny z Polskimi Normami oraz warunk</w:t>
      </w:r>
      <w:r w:rsidR="008A2E25">
        <w:rPr>
          <w:rFonts w:ascii="Times New Roman" w:hAnsi="Times New Roman" w:cs="Times New Roman"/>
          <w:bCs/>
        </w:rPr>
        <w:t xml:space="preserve">ami bezpieczeństwa określonymi </w:t>
      </w:r>
      <w:r w:rsidRPr="008A2E25">
        <w:rPr>
          <w:rFonts w:ascii="Times New Roman" w:hAnsi="Times New Roman" w:cs="Times New Roman"/>
          <w:bCs/>
        </w:rPr>
        <w:t>w szczególności w przepisach o ogólnym bezpieczeństwie produktów;</w:t>
      </w:r>
    </w:p>
    <w:p w14:paraId="522CF3B8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4)</w:t>
      </w:r>
      <w:r w:rsidRPr="002B7A6B">
        <w:rPr>
          <w:rFonts w:ascii="Times New Roman" w:hAnsi="Times New Roman" w:cs="Times New Roman"/>
          <w:bCs/>
        </w:rPr>
        <w:tab/>
        <w:t>powinien być rozmieszczony na placu zabaw w sposób umożliwiający zachowania bezpiecznych stref pomiędzy urządzeniami, określonych w dokumentacji dotyczącej utworzenia placu zabaw;</w:t>
      </w:r>
    </w:p>
    <w:p w14:paraId="218EC213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5)</w:t>
      </w:r>
      <w:r w:rsidRPr="002B7A6B">
        <w:rPr>
          <w:rFonts w:ascii="Times New Roman" w:hAnsi="Times New Roman" w:cs="Times New Roman"/>
          <w:bCs/>
        </w:rPr>
        <w:tab/>
        <w:t>wszystkie urządzenia przeznaczone do zamontowania na placu zabaw muszą być fabrycznie nowe i posiadać atesty i certyfikaty wydane przez jednostki certyfikujące, posiadające akredytacje polskiego Centrum Akredytacji</w:t>
      </w:r>
    </w:p>
    <w:p w14:paraId="7CB8106A" w14:textId="77777777" w:rsidR="00D045C1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•</w:t>
      </w:r>
      <w:r w:rsidRPr="002B7A6B">
        <w:rPr>
          <w:rFonts w:ascii="Times New Roman" w:hAnsi="Times New Roman" w:cs="Times New Roman"/>
          <w:bCs/>
        </w:rPr>
        <w:tab/>
        <w:t>PN - EN 1176-1 :2017-12</w:t>
      </w:r>
      <w:r w:rsidR="00BE7D04">
        <w:rPr>
          <w:rFonts w:ascii="Times New Roman" w:hAnsi="Times New Roman" w:cs="Times New Roman"/>
          <w:bCs/>
        </w:rPr>
        <w:t xml:space="preserve"> </w:t>
      </w:r>
      <w:r w:rsidR="00BE7D04" w:rsidRPr="00BE7D04">
        <w:rPr>
          <w:rFonts w:ascii="Times New Roman" w:hAnsi="Times New Roman" w:cs="Times New Roman"/>
          <w:bCs/>
        </w:rPr>
        <w:t>Wyposażenie placów zabaw i nawierzchnie. Część 1: Ogólne wymagania bezpieczeństwa i metody badań.</w:t>
      </w:r>
    </w:p>
    <w:p w14:paraId="3C5AB795" w14:textId="77777777" w:rsidR="00FC5CCB" w:rsidRDefault="00FC5CC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7F419961" w14:textId="77777777" w:rsidR="00FC5CCB" w:rsidRDefault="00FC5CCB" w:rsidP="00FC5CC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Sporządzenie dokumentacji powykonawczej.</w:t>
      </w:r>
    </w:p>
    <w:p w14:paraId="12A61EAB" w14:textId="77777777" w:rsidR="00B51AEC" w:rsidRDefault="00B51AEC" w:rsidP="00A53BBB">
      <w:pPr>
        <w:jc w:val="both"/>
        <w:rPr>
          <w:rFonts w:ascii="Times New Roman" w:hAnsi="Times New Roman" w:cs="Times New Roman"/>
          <w:bCs/>
        </w:rPr>
      </w:pPr>
    </w:p>
    <w:p w14:paraId="09F3467D" w14:textId="77777777" w:rsidR="008D3485" w:rsidRDefault="00FC5CCB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54E3DE02" w14:textId="77777777" w:rsidR="00A5126D" w:rsidRPr="00FA32D3" w:rsidRDefault="006416F3" w:rsidP="00FA32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15.07</w:t>
      </w:r>
      <w:r w:rsidR="00FA32D3">
        <w:rPr>
          <w:rFonts w:ascii="Times New Roman" w:hAnsi="Times New Roman" w:cs="Times New Roman"/>
          <w:b/>
          <w:bCs/>
        </w:rPr>
        <w:t>.2024</w:t>
      </w:r>
      <w:r w:rsidR="00A5126D" w:rsidRPr="00FA32D3">
        <w:rPr>
          <w:rFonts w:ascii="Times New Roman" w:hAnsi="Times New Roman" w:cs="Times New Roman"/>
          <w:b/>
          <w:bCs/>
        </w:rPr>
        <w:t>r.</w:t>
      </w:r>
    </w:p>
    <w:p w14:paraId="44C8E032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94DC676" w14:textId="77777777" w:rsidR="001615E3" w:rsidRPr="001615E3" w:rsidRDefault="00FC5CCB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67C39713" w14:textId="77777777" w:rsidR="001615E3" w:rsidRPr="001615E3" w:rsidRDefault="006A7C19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37535200-9 Wyposażenie placów zabaw</w:t>
      </w:r>
    </w:p>
    <w:p w14:paraId="5587978E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4DCE12C1" w14:textId="77777777" w:rsidR="00156CC0" w:rsidRDefault="00FC5CCB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75B24CBA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54367ADF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4914AE3A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396CD285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1ED4FDED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C1E3D1E" w14:textId="77777777" w:rsidR="0060383C" w:rsidRPr="0060383C" w:rsidRDefault="00FC5CCB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0383C" w:rsidRPr="0060383C">
        <w:rPr>
          <w:rFonts w:ascii="Times New Roman" w:hAnsi="Times New Roman" w:cs="Times New Roman"/>
          <w:b/>
        </w:rPr>
        <w:t>.</w:t>
      </w:r>
      <w:r w:rsidR="0060383C"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5F1BA7CD" w14:textId="77777777" w:rsidR="00D60989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43013FB6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21F5F399" w14:textId="77777777" w:rsidR="0057287E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8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738EFD2F" w14:textId="77777777" w:rsidR="002540E5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4F93F4A7" w14:textId="77777777" w:rsidR="0060383C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A7C19">
        <w:rPr>
          <w:rFonts w:ascii="Times New Roman" w:hAnsi="Times New Roman" w:cs="Times New Roman"/>
          <w:b/>
          <w:color w:val="000000"/>
        </w:rPr>
        <w:t>Do oferty należy dołączyć min. 1 referencję dot. podobnego zakresu robót oraz kopię wpisu do CEIDG lub KRS.</w:t>
      </w:r>
    </w:p>
    <w:p w14:paraId="7A1D78D1" w14:textId="77777777" w:rsidR="001A1C6A" w:rsidRDefault="001A1C6A" w:rsidP="001A1C6A">
      <w:pPr>
        <w:rPr>
          <w:rFonts w:ascii="Times New Roman" w:hAnsi="Times New Roman" w:cs="Times New Roman"/>
          <w:b/>
          <w:color w:val="000000"/>
        </w:rPr>
      </w:pPr>
    </w:p>
    <w:p w14:paraId="57B0D512" w14:textId="77777777" w:rsidR="001A1C6A" w:rsidRDefault="001A1C6A" w:rsidP="001A1C6A">
      <w:pPr>
        <w:rPr>
          <w:rFonts w:ascii="Times New Roman" w:hAnsi="Times New Roman" w:cs="Times New Roman"/>
          <w:b/>
          <w:color w:val="000000"/>
        </w:rPr>
      </w:pPr>
    </w:p>
    <w:p w14:paraId="35EB0A27" w14:textId="77777777" w:rsidR="001A1C6A" w:rsidRPr="001A1C6A" w:rsidRDefault="00FC5CCB" w:rsidP="001A1C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11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 w:rsidR="006416F3">
        <w:rPr>
          <w:rFonts w:ascii="Times New Roman" w:hAnsi="Times New Roman" w:cs="Times New Roman"/>
          <w:b/>
          <w:color w:val="000000" w:themeColor="text1"/>
        </w:rPr>
        <w:t>30.04</w:t>
      </w:r>
      <w:r w:rsidR="001121C4" w:rsidRPr="001121C4">
        <w:rPr>
          <w:rFonts w:ascii="Times New Roman" w:hAnsi="Times New Roman" w:cs="Times New Roman"/>
          <w:b/>
          <w:color w:val="000000" w:themeColor="text1"/>
        </w:rPr>
        <w:t>.2024</w:t>
      </w:r>
      <w:r w:rsidR="00A56F51" w:rsidRPr="001121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r. do godz. 10ºº </w:t>
      </w:r>
      <w:r w:rsidR="00A56F51"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</w:t>
      </w:r>
      <w:r w:rsidR="00D60989">
        <w:rPr>
          <w:rFonts w:ascii="Times New Roman" w:hAnsi="Times New Roman" w:cs="Times New Roman"/>
          <w:color w:val="000000"/>
        </w:rPr>
        <w:t xml:space="preserve"> wsie@um.torun.pl, z dopiskiem </w:t>
      </w:r>
      <w:r w:rsidR="001A1C6A" w:rsidRPr="001A1C6A">
        <w:rPr>
          <w:rFonts w:ascii="Times New Roman" w:hAnsi="Times New Roman" w:cs="Times New Roman"/>
          <w:color w:val="000000"/>
        </w:rPr>
        <w:t>„Wymiana urządzeń zabawowych na placach zabaw zarządzanych przez Wydział Środowiska i Ekologii”</w:t>
      </w:r>
    </w:p>
    <w:p w14:paraId="14F14240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0687610D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12A2F45C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10852F96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607F4FE1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0F284208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1679F7D6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602598CB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D638B99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0EEF3CF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0B033F3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69C757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B52822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758406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FAA88C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C4E155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A952BF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7C413D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839339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57CC23B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10A" w14:textId="77777777" w:rsidR="00816862" w:rsidRDefault="00816862" w:rsidP="0066549A">
      <w:r>
        <w:separator/>
      </w:r>
    </w:p>
  </w:endnote>
  <w:endnote w:type="continuationSeparator" w:id="0">
    <w:p w14:paraId="72DA1D23" w14:textId="77777777" w:rsidR="00816862" w:rsidRDefault="00816862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28E0" w14:textId="77777777" w:rsidR="00816862" w:rsidRDefault="00816862" w:rsidP="0066549A">
      <w:r>
        <w:separator/>
      </w:r>
    </w:p>
  </w:footnote>
  <w:footnote w:type="continuationSeparator" w:id="0">
    <w:p w14:paraId="7F29F854" w14:textId="77777777" w:rsidR="00816862" w:rsidRDefault="00816862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6E71F8"/>
    <w:multiLevelType w:val="hybridMultilevel"/>
    <w:tmpl w:val="748ED6A8"/>
    <w:lvl w:ilvl="0" w:tplc="0C846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3064"/>
    <w:multiLevelType w:val="hybridMultilevel"/>
    <w:tmpl w:val="3A7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1D0EB1"/>
    <w:multiLevelType w:val="hybridMultilevel"/>
    <w:tmpl w:val="E38E3D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44B77D5"/>
    <w:multiLevelType w:val="hybridMultilevel"/>
    <w:tmpl w:val="24D4574E"/>
    <w:lvl w:ilvl="0" w:tplc="B0205A8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4C3A9E"/>
    <w:multiLevelType w:val="hybridMultilevel"/>
    <w:tmpl w:val="7960B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B21080"/>
    <w:multiLevelType w:val="hybridMultilevel"/>
    <w:tmpl w:val="53FAFA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02EA2"/>
    <w:rsid w:val="0000649B"/>
    <w:rsid w:val="00021353"/>
    <w:rsid w:val="00021683"/>
    <w:rsid w:val="00027B39"/>
    <w:rsid w:val="0003045E"/>
    <w:rsid w:val="0003167D"/>
    <w:rsid w:val="00041252"/>
    <w:rsid w:val="00042274"/>
    <w:rsid w:val="000500AF"/>
    <w:rsid w:val="00055876"/>
    <w:rsid w:val="0008387B"/>
    <w:rsid w:val="00084742"/>
    <w:rsid w:val="00093EAF"/>
    <w:rsid w:val="000A47D5"/>
    <w:rsid w:val="000C0BA7"/>
    <w:rsid w:val="000C2B9E"/>
    <w:rsid w:val="000C51CD"/>
    <w:rsid w:val="001121C4"/>
    <w:rsid w:val="00116148"/>
    <w:rsid w:val="00126FC1"/>
    <w:rsid w:val="00127055"/>
    <w:rsid w:val="00133953"/>
    <w:rsid w:val="001339D4"/>
    <w:rsid w:val="001350FD"/>
    <w:rsid w:val="001467E0"/>
    <w:rsid w:val="00156CC0"/>
    <w:rsid w:val="00157506"/>
    <w:rsid w:val="001615E3"/>
    <w:rsid w:val="001731BA"/>
    <w:rsid w:val="00187AB8"/>
    <w:rsid w:val="00190CC2"/>
    <w:rsid w:val="001927D5"/>
    <w:rsid w:val="00197DE9"/>
    <w:rsid w:val="001A1C6A"/>
    <w:rsid w:val="001B6164"/>
    <w:rsid w:val="001C62BB"/>
    <w:rsid w:val="001D0CD4"/>
    <w:rsid w:val="001E2CC8"/>
    <w:rsid w:val="001E7936"/>
    <w:rsid w:val="001F1538"/>
    <w:rsid w:val="00201327"/>
    <w:rsid w:val="0021355F"/>
    <w:rsid w:val="002158C8"/>
    <w:rsid w:val="00220D67"/>
    <w:rsid w:val="0022182B"/>
    <w:rsid w:val="00241752"/>
    <w:rsid w:val="002540E5"/>
    <w:rsid w:val="00267DCA"/>
    <w:rsid w:val="002712BF"/>
    <w:rsid w:val="002A70DE"/>
    <w:rsid w:val="002B6A20"/>
    <w:rsid w:val="002B7A6B"/>
    <w:rsid w:val="002D70F1"/>
    <w:rsid w:val="002E4837"/>
    <w:rsid w:val="002F0AF9"/>
    <w:rsid w:val="0031259F"/>
    <w:rsid w:val="003753E4"/>
    <w:rsid w:val="00377740"/>
    <w:rsid w:val="00382B6F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62ACA"/>
    <w:rsid w:val="004870E3"/>
    <w:rsid w:val="00496A2B"/>
    <w:rsid w:val="004B0ACD"/>
    <w:rsid w:val="004E4AF6"/>
    <w:rsid w:val="004F6361"/>
    <w:rsid w:val="00500ED0"/>
    <w:rsid w:val="00503E3F"/>
    <w:rsid w:val="00505081"/>
    <w:rsid w:val="0052750B"/>
    <w:rsid w:val="00545E8D"/>
    <w:rsid w:val="00553A7F"/>
    <w:rsid w:val="00554499"/>
    <w:rsid w:val="0057287E"/>
    <w:rsid w:val="0059175D"/>
    <w:rsid w:val="005A76AF"/>
    <w:rsid w:val="005C5652"/>
    <w:rsid w:val="005E11B4"/>
    <w:rsid w:val="005F2A4A"/>
    <w:rsid w:val="0060383C"/>
    <w:rsid w:val="006416F3"/>
    <w:rsid w:val="006420E9"/>
    <w:rsid w:val="00652F00"/>
    <w:rsid w:val="0066549A"/>
    <w:rsid w:val="00673CF7"/>
    <w:rsid w:val="00684DFA"/>
    <w:rsid w:val="00687BC1"/>
    <w:rsid w:val="006A5834"/>
    <w:rsid w:val="006A7C19"/>
    <w:rsid w:val="006E5319"/>
    <w:rsid w:val="006F6D6F"/>
    <w:rsid w:val="00702AFF"/>
    <w:rsid w:val="00703054"/>
    <w:rsid w:val="00726BA1"/>
    <w:rsid w:val="00767F1D"/>
    <w:rsid w:val="007A363D"/>
    <w:rsid w:val="007A5A4A"/>
    <w:rsid w:val="007A79A5"/>
    <w:rsid w:val="007B7B0E"/>
    <w:rsid w:val="007E59C1"/>
    <w:rsid w:val="007E6743"/>
    <w:rsid w:val="007F33B8"/>
    <w:rsid w:val="00804792"/>
    <w:rsid w:val="00810344"/>
    <w:rsid w:val="008109D7"/>
    <w:rsid w:val="00815846"/>
    <w:rsid w:val="00816862"/>
    <w:rsid w:val="00831725"/>
    <w:rsid w:val="008324E4"/>
    <w:rsid w:val="0084425C"/>
    <w:rsid w:val="008457DF"/>
    <w:rsid w:val="00847A1E"/>
    <w:rsid w:val="0085606F"/>
    <w:rsid w:val="00861FF2"/>
    <w:rsid w:val="008A06F1"/>
    <w:rsid w:val="008A2E25"/>
    <w:rsid w:val="008B6B50"/>
    <w:rsid w:val="008D3485"/>
    <w:rsid w:val="008F6ECA"/>
    <w:rsid w:val="00901AB8"/>
    <w:rsid w:val="00903575"/>
    <w:rsid w:val="00920C62"/>
    <w:rsid w:val="009248B7"/>
    <w:rsid w:val="00934799"/>
    <w:rsid w:val="009510A7"/>
    <w:rsid w:val="0095598F"/>
    <w:rsid w:val="009739DC"/>
    <w:rsid w:val="009757C1"/>
    <w:rsid w:val="00985CD6"/>
    <w:rsid w:val="00991297"/>
    <w:rsid w:val="009931A8"/>
    <w:rsid w:val="00996813"/>
    <w:rsid w:val="009A071F"/>
    <w:rsid w:val="009A4918"/>
    <w:rsid w:val="009B57D9"/>
    <w:rsid w:val="009D45B2"/>
    <w:rsid w:val="009E30D0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776DB"/>
    <w:rsid w:val="00AA1BAD"/>
    <w:rsid w:val="00AC7029"/>
    <w:rsid w:val="00AC7D0F"/>
    <w:rsid w:val="00AF6436"/>
    <w:rsid w:val="00B2133B"/>
    <w:rsid w:val="00B24D8D"/>
    <w:rsid w:val="00B44E96"/>
    <w:rsid w:val="00B51698"/>
    <w:rsid w:val="00B51AEC"/>
    <w:rsid w:val="00B56BD0"/>
    <w:rsid w:val="00B72A7E"/>
    <w:rsid w:val="00B72FF7"/>
    <w:rsid w:val="00B776C9"/>
    <w:rsid w:val="00B8098F"/>
    <w:rsid w:val="00B81649"/>
    <w:rsid w:val="00B90AFB"/>
    <w:rsid w:val="00B915FB"/>
    <w:rsid w:val="00BB5D1E"/>
    <w:rsid w:val="00BC3C7A"/>
    <w:rsid w:val="00BD0323"/>
    <w:rsid w:val="00BE0F83"/>
    <w:rsid w:val="00BE7D04"/>
    <w:rsid w:val="00BF724F"/>
    <w:rsid w:val="00C31C24"/>
    <w:rsid w:val="00C34BC7"/>
    <w:rsid w:val="00C34E7A"/>
    <w:rsid w:val="00C43253"/>
    <w:rsid w:val="00C45DD9"/>
    <w:rsid w:val="00C541D4"/>
    <w:rsid w:val="00C62D12"/>
    <w:rsid w:val="00C737C7"/>
    <w:rsid w:val="00C8338C"/>
    <w:rsid w:val="00C938C3"/>
    <w:rsid w:val="00CA4D57"/>
    <w:rsid w:val="00CB047A"/>
    <w:rsid w:val="00CE2617"/>
    <w:rsid w:val="00CE719E"/>
    <w:rsid w:val="00CF5BCC"/>
    <w:rsid w:val="00D045C1"/>
    <w:rsid w:val="00D0738E"/>
    <w:rsid w:val="00D2237E"/>
    <w:rsid w:val="00D42A74"/>
    <w:rsid w:val="00D45841"/>
    <w:rsid w:val="00D60989"/>
    <w:rsid w:val="00D73238"/>
    <w:rsid w:val="00DA6FDF"/>
    <w:rsid w:val="00DB3F5A"/>
    <w:rsid w:val="00DF483C"/>
    <w:rsid w:val="00E00592"/>
    <w:rsid w:val="00E06CAE"/>
    <w:rsid w:val="00E1564B"/>
    <w:rsid w:val="00E15B6C"/>
    <w:rsid w:val="00E27C16"/>
    <w:rsid w:val="00E35913"/>
    <w:rsid w:val="00E53598"/>
    <w:rsid w:val="00E871C3"/>
    <w:rsid w:val="00EB1CE1"/>
    <w:rsid w:val="00EC2A8F"/>
    <w:rsid w:val="00EC4BF3"/>
    <w:rsid w:val="00ED7ED2"/>
    <w:rsid w:val="00EF64C1"/>
    <w:rsid w:val="00F246CF"/>
    <w:rsid w:val="00F264E9"/>
    <w:rsid w:val="00F311C9"/>
    <w:rsid w:val="00F3254A"/>
    <w:rsid w:val="00F63A98"/>
    <w:rsid w:val="00F66E4F"/>
    <w:rsid w:val="00FA32D3"/>
    <w:rsid w:val="00FC07F7"/>
    <w:rsid w:val="00FC5CCB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5C81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A688-6170-45CA-8ED0-5ED0799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2024-04-22T08:35:00Z</cp:lastPrinted>
  <dcterms:created xsi:type="dcterms:W3CDTF">2024-04-23T10:13:00Z</dcterms:created>
  <dcterms:modified xsi:type="dcterms:W3CDTF">2024-04-23T10:13:00Z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