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bookmarkStart w:id="0" w:name="_GoBack"/>
      <w:bookmarkEnd w:id="0"/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225E81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12</w:t>
      </w:r>
      <w:r w:rsidR="00EE080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marca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EE080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EE0805">
        <w:rPr>
          <w:rFonts w:ascii="Times New Roman" w:eastAsia="Times New Roman" w:hAnsi="Times New Roman" w:cs="Times New Roman"/>
          <w:color w:val="000000"/>
          <w:lang w:eastAsia="pl-PL"/>
        </w:rPr>
        <w:t>23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22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EE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826BB7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BB7">
        <w:rPr>
          <w:rFonts w:ascii="Times New Roman" w:eastAsia="Times New Roman" w:hAnsi="Times New Roman" w:cs="Times New Roman"/>
          <w:color w:val="000000"/>
          <w:lang w:eastAsia="pl-PL"/>
        </w:rPr>
        <w:t>Na podstawie:</w:t>
      </w:r>
    </w:p>
    <w:p w:rsidR="00982267" w:rsidRDefault="00BD1EE6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EE0805">
        <w:rPr>
          <w:rFonts w:ascii="Times New Roman" w:eastAsia="Times New Roman" w:hAnsi="Times New Roman" w:cs="Times New Roman"/>
          <w:color w:val="000000"/>
          <w:lang w:eastAsia="pl-PL"/>
        </w:rPr>
        <w:t>; dalej: uouioś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6D58DA" w:rsidRPr="00982267" w:rsidRDefault="00982267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82267">
        <w:rPr>
          <w:rFonts w:ascii="Times New Roman" w:hAnsi="Times New Roman"/>
        </w:rPr>
        <w:t xml:space="preserve">§ 3 ust. </w:t>
      </w:r>
      <w:r w:rsidR="00EE0805">
        <w:rPr>
          <w:rFonts w:ascii="Times New Roman" w:hAnsi="Times New Roman"/>
        </w:rPr>
        <w:t>1</w:t>
      </w:r>
      <w:r w:rsidRPr="00982267">
        <w:rPr>
          <w:rFonts w:ascii="Times New Roman" w:hAnsi="Times New Roman"/>
        </w:rPr>
        <w:t xml:space="preserve"> pkt </w:t>
      </w:r>
      <w:r w:rsidR="00EE0805">
        <w:rPr>
          <w:rFonts w:ascii="Times New Roman" w:hAnsi="Times New Roman"/>
        </w:rPr>
        <w:t xml:space="preserve">34 lit. b), </w:t>
      </w:r>
      <w:r w:rsidR="006D58DA" w:rsidRPr="00982267">
        <w:rPr>
          <w:rFonts w:ascii="Times New Roman" w:hAnsi="Times New Roman"/>
        </w:rPr>
        <w:t xml:space="preserve">pkt </w:t>
      </w:r>
      <w:r w:rsidR="00EE0805">
        <w:rPr>
          <w:rFonts w:ascii="Times New Roman" w:hAnsi="Times New Roman"/>
        </w:rPr>
        <w:t>35</w:t>
      </w:r>
      <w:r w:rsidR="006D58DA" w:rsidRPr="00982267">
        <w:rPr>
          <w:rFonts w:ascii="Times New Roman" w:hAnsi="Times New Roman"/>
        </w:rPr>
        <w:t xml:space="preserve"> lit. b)</w:t>
      </w:r>
      <w:r w:rsidR="00EE0805">
        <w:rPr>
          <w:rFonts w:ascii="Times New Roman" w:hAnsi="Times New Roman"/>
        </w:rPr>
        <w:t xml:space="preserve"> </w:t>
      </w:r>
      <w:r w:rsidR="00BD1EE6" w:rsidRPr="00982267">
        <w:rPr>
          <w:rFonts w:ascii="Times New Roman" w:hAnsi="Times New Roman"/>
          <w:color w:val="000000"/>
        </w:rPr>
        <w:t xml:space="preserve">rozporządzenia Rady Ministrów z dnia </w:t>
      </w:r>
      <w:r w:rsidR="00E95626" w:rsidRPr="00982267">
        <w:rPr>
          <w:rFonts w:ascii="Times New Roman" w:hAnsi="Times New Roman"/>
          <w:color w:val="000000"/>
        </w:rPr>
        <w:t>10 września 2019</w:t>
      </w:r>
      <w:r w:rsidR="00BD1EE6" w:rsidRPr="00982267">
        <w:rPr>
          <w:rFonts w:ascii="Times New Roman" w:hAnsi="Times New Roman"/>
          <w:color w:val="000000"/>
        </w:rPr>
        <w:t xml:space="preserve"> r. </w:t>
      </w:r>
      <w:r w:rsidR="000C57E7">
        <w:rPr>
          <w:rFonts w:ascii="Times New Roman" w:hAnsi="Times New Roman"/>
          <w:color w:val="000000"/>
        </w:rPr>
        <w:br/>
      </w:r>
      <w:r w:rsidR="00BD1EE6" w:rsidRPr="00982267">
        <w:rPr>
          <w:rFonts w:ascii="Times New Roman" w:hAnsi="Times New Roman"/>
          <w:color w:val="000000"/>
        </w:rPr>
        <w:t>w sprawie przedsięwzięć mogących znacząco oddziaływać na środowisko (</w:t>
      </w:r>
      <w:r w:rsidR="003A2918" w:rsidRPr="00982267">
        <w:rPr>
          <w:rFonts w:ascii="Times New Roman" w:hAnsi="Times New Roman"/>
          <w:color w:val="000000"/>
        </w:rPr>
        <w:t xml:space="preserve">tekst jednolity </w:t>
      </w:r>
      <w:r w:rsidR="00BD1EE6" w:rsidRPr="00982267">
        <w:rPr>
          <w:rFonts w:ascii="Times New Roman" w:hAnsi="Times New Roman"/>
          <w:color w:val="000000"/>
        </w:rPr>
        <w:t xml:space="preserve">Dz. U. </w:t>
      </w:r>
      <w:r w:rsidR="000C57E7">
        <w:rPr>
          <w:rFonts w:ascii="Times New Roman" w:hAnsi="Times New Roman"/>
          <w:color w:val="000000"/>
        </w:rPr>
        <w:br/>
      </w:r>
      <w:r w:rsidR="00BD1EE6" w:rsidRPr="00982267">
        <w:rPr>
          <w:rFonts w:ascii="Times New Roman" w:hAnsi="Times New Roman"/>
          <w:color w:val="000000"/>
        </w:rPr>
        <w:t>z 201</w:t>
      </w:r>
      <w:r w:rsidR="00E95626" w:rsidRPr="00982267">
        <w:rPr>
          <w:rFonts w:ascii="Times New Roman" w:hAnsi="Times New Roman"/>
          <w:color w:val="000000"/>
        </w:rPr>
        <w:t>9</w:t>
      </w:r>
      <w:r w:rsidR="003A2918" w:rsidRPr="00982267">
        <w:rPr>
          <w:rFonts w:ascii="Times New Roman" w:hAnsi="Times New Roman"/>
          <w:color w:val="000000"/>
        </w:rPr>
        <w:t xml:space="preserve"> r.</w:t>
      </w:r>
      <w:r w:rsidR="00BD1EE6" w:rsidRPr="00982267">
        <w:rPr>
          <w:rFonts w:ascii="Times New Roman" w:hAnsi="Times New Roman"/>
          <w:color w:val="000000"/>
        </w:rPr>
        <w:t>, poz.</w:t>
      </w:r>
      <w:r w:rsidR="00E95626" w:rsidRPr="00982267">
        <w:rPr>
          <w:rFonts w:ascii="Times New Roman" w:hAnsi="Times New Roman"/>
          <w:color w:val="000000"/>
        </w:rPr>
        <w:t xml:space="preserve"> 1839</w:t>
      </w:r>
      <w:r w:rsidR="001E0B82" w:rsidRPr="00982267">
        <w:rPr>
          <w:rFonts w:ascii="Times New Roman" w:hAnsi="Times New Roman"/>
          <w:color w:val="000000"/>
        </w:rPr>
        <w:t xml:space="preserve"> ze zm.</w:t>
      </w:r>
      <w:r w:rsidR="00121C15">
        <w:rPr>
          <w:rFonts w:ascii="Times New Roman" w:hAnsi="Times New Roman"/>
          <w:color w:val="000000"/>
        </w:rPr>
        <w:t>)</w:t>
      </w:r>
      <w:r w:rsidR="006D58DA" w:rsidRPr="00982267">
        <w:rPr>
          <w:rFonts w:ascii="Times New Roman" w:hAnsi="Times New Roman"/>
          <w:color w:val="000000"/>
        </w:rPr>
        <w:t xml:space="preserve">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121C15">
        <w:rPr>
          <w:rFonts w:ascii="Times New Roman" w:eastAsia="Times New Roman" w:hAnsi="Times New Roman" w:cs="Times New Roman"/>
          <w:color w:val="000000"/>
          <w:lang w:eastAsia="pl-PL"/>
        </w:rPr>
        <w:t>; dalej: Kpa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Default="00826BB7" w:rsidP="00A45019">
      <w:pPr>
        <w:pStyle w:val="Standard"/>
        <w:jc w:val="both"/>
        <w:rPr>
          <w:rStyle w:val="Domylnaczcionkaakapitu1"/>
          <w:sz w:val="22"/>
          <w:szCs w:val="22"/>
        </w:rPr>
      </w:pPr>
      <w:r>
        <w:rPr>
          <w:sz w:val="22"/>
          <w:szCs w:val="22"/>
        </w:rPr>
        <w:t>po rozpatrzeniu wniosku</w:t>
      </w:r>
      <w:r w:rsidR="00BD1EE6" w:rsidRPr="00826BB7">
        <w:rPr>
          <w:rStyle w:val="Domylnaczcionkaakapitu1"/>
        </w:rPr>
        <w:t xml:space="preserve"> </w:t>
      </w:r>
      <w:r w:rsidR="00121C15" w:rsidRPr="00121C15">
        <w:rPr>
          <w:rStyle w:val="Domylnaczcionkaakapitu1"/>
          <w:sz w:val="22"/>
          <w:szCs w:val="22"/>
        </w:rPr>
        <w:t xml:space="preserve">Państwa Iwony i Piotra Matyjasik, reprezentowanych przez Pana Krzysztofa Lisewskiego, złożonego w dniu: 12 października 2023 r., RPW/78777/2023, uzupełnionego w dniu: </w:t>
      </w:r>
      <w:r w:rsidR="00121C15">
        <w:rPr>
          <w:rStyle w:val="Domylnaczcionkaakapitu1"/>
          <w:sz w:val="22"/>
          <w:szCs w:val="22"/>
        </w:rPr>
        <w:br/>
      </w:r>
      <w:r w:rsidR="00121C15" w:rsidRPr="00121C15">
        <w:rPr>
          <w:rStyle w:val="Domylnaczcionkaakapitu1"/>
          <w:sz w:val="22"/>
          <w:szCs w:val="22"/>
        </w:rPr>
        <w:t>24 października 2023 r. RPW/83033/2023</w:t>
      </w:r>
      <w:r w:rsidR="006D58DA">
        <w:rPr>
          <w:rStyle w:val="Domylnaczcionkaakapitu1"/>
          <w:sz w:val="22"/>
          <w:szCs w:val="22"/>
        </w:rPr>
        <w:t>,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826BB7" w:rsidP="00826B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BD1EE6"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twierdzam brak potrzeby przeprowadzenia oceny oddziaływania przedsięwzięcia na środowisko </w:t>
      </w:r>
    </w:p>
    <w:p w:rsidR="00121C15" w:rsidRPr="00826BB7" w:rsidRDefault="00BD1EE6" w:rsidP="00826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BB7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826BB7" w:rsidRPr="00826BB7">
        <w:rPr>
          <w:rFonts w:ascii="Times New Roman" w:eastAsia="Times New Roman" w:hAnsi="Times New Roman" w:cs="Times New Roman"/>
          <w:lang w:eastAsia="ar-SA"/>
        </w:rPr>
        <w:t>„budowy</w:t>
      </w:r>
      <w:r w:rsidR="00121C15" w:rsidRPr="00826BB7">
        <w:rPr>
          <w:rFonts w:ascii="Times New Roman" w:eastAsia="Times New Roman" w:hAnsi="Times New Roman" w:cs="Times New Roman"/>
          <w:lang w:eastAsia="ar-SA"/>
        </w:rPr>
        <w:t xml:space="preserve"> stacji paliw płynnych wraz z niezbędną infrastrukturą przy ul. Płaskiej 22a </w:t>
      </w:r>
      <w:r w:rsidR="001F3F04" w:rsidRPr="00826BB7">
        <w:rPr>
          <w:rFonts w:ascii="Times New Roman" w:eastAsia="Times New Roman" w:hAnsi="Times New Roman" w:cs="Times New Roman"/>
          <w:lang w:eastAsia="ar-SA"/>
        </w:rPr>
        <w:br/>
      </w:r>
      <w:r w:rsidR="00121C15" w:rsidRPr="00826BB7">
        <w:rPr>
          <w:rFonts w:ascii="Times New Roman" w:eastAsia="Times New Roman" w:hAnsi="Times New Roman" w:cs="Times New Roman"/>
          <w:lang w:eastAsia="ar-SA"/>
        </w:rPr>
        <w:t>w Toruniu</w:t>
      </w:r>
      <w:r w:rsidR="001F3F04" w:rsidRPr="00826BB7">
        <w:rPr>
          <w:rFonts w:ascii="Times New Roman" w:eastAsia="Times New Roman" w:hAnsi="Times New Roman" w:cs="Times New Roman"/>
          <w:lang w:eastAsia="ar-SA"/>
        </w:rPr>
        <w:t>”</w:t>
      </w:r>
      <w:r w:rsidR="00121C15" w:rsidRPr="00826BB7">
        <w:rPr>
          <w:rFonts w:ascii="Times New Roman" w:eastAsia="Times New Roman" w:hAnsi="Times New Roman" w:cs="Times New Roman"/>
          <w:lang w:eastAsia="ar-SA"/>
        </w:rPr>
        <w:t xml:space="preserve"> (dz. nr 1</w:t>
      </w:r>
      <w:r w:rsidR="001F3F04" w:rsidRPr="00826BB7">
        <w:rPr>
          <w:rFonts w:ascii="Times New Roman" w:eastAsia="Times New Roman" w:hAnsi="Times New Roman" w:cs="Times New Roman"/>
          <w:lang w:eastAsia="ar-SA"/>
        </w:rPr>
        <w:t xml:space="preserve">99/10, 32/36, 32/41 </w:t>
      </w:r>
      <w:r w:rsidR="00826BB7">
        <w:rPr>
          <w:rFonts w:ascii="Times New Roman" w:eastAsia="Times New Roman" w:hAnsi="Times New Roman" w:cs="Times New Roman"/>
          <w:lang w:eastAsia="ar-SA"/>
        </w:rPr>
        <w:t>z</w:t>
      </w:r>
      <w:r w:rsidR="001F3F04" w:rsidRPr="00826BB7">
        <w:rPr>
          <w:rFonts w:ascii="Times New Roman" w:eastAsia="Times New Roman" w:hAnsi="Times New Roman" w:cs="Times New Roman"/>
          <w:lang w:eastAsia="ar-SA"/>
        </w:rPr>
        <w:t xml:space="preserve"> obręb</w:t>
      </w:r>
      <w:r w:rsidR="00826BB7">
        <w:rPr>
          <w:rFonts w:ascii="Times New Roman" w:eastAsia="Times New Roman" w:hAnsi="Times New Roman" w:cs="Times New Roman"/>
          <w:lang w:eastAsia="ar-SA"/>
        </w:rPr>
        <w:t>u</w:t>
      </w:r>
      <w:r w:rsidR="001F3F04" w:rsidRPr="00826BB7">
        <w:rPr>
          <w:rFonts w:ascii="Times New Roman" w:eastAsia="Times New Roman" w:hAnsi="Times New Roman" w:cs="Times New Roman"/>
          <w:lang w:eastAsia="ar-SA"/>
        </w:rPr>
        <w:t xml:space="preserve"> 45)</w:t>
      </w:r>
    </w:p>
    <w:p w:rsidR="00121C15" w:rsidRPr="00826BB7" w:rsidRDefault="00121C15" w:rsidP="00826BB7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ar-SA"/>
        </w:rPr>
      </w:pPr>
      <w:r w:rsidRPr="00826BB7">
        <w:rPr>
          <w:rFonts w:eastAsia="Times New Roman" w:cs="Times New Roman"/>
          <w:kern w:val="0"/>
          <w:sz w:val="22"/>
          <w:szCs w:val="22"/>
          <w:lang w:eastAsia="ar-SA"/>
        </w:rPr>
        <w:t>wykaz działek sąsiadujących z terenem przedsięwzięcia:</w:t>
      </w:r>
    </w:p>
    <w:p w:rsidR="006D58DA" w:rsidRPr="00826BB7" w:rsidRDefault="00121C15" w:rsidP="00826BB7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ar-SA"/>
        </w:rPr>
      </w:pPr>
      <w:r w:rsidRPr="00826BB7">
        <w:rPr>
          <w:rFonts w:eastAsia="Times New Roman" w:cs="Times New Roman"/>
          <w:kern w:val="0"/>
          <w:sz w:val="22"/>
          <w:szCs w:val="22"/>
          <w:lang w:eastAsia="ar-SA"/>
        </w:rPr>
        <w:t>dz. nr 15/19, 15/32, 28/15, 28/16, 28/17, 28/18, 28/20, 28/24, 28/25, 32/1, 32/18,32/21,  32/25, 32/26, 32/30, 32/31, 32/34, 32/35, 32/37, 32/38, 32/39, 32/40, 32/42, 32/43, 32/44, 193/1, 193/2, 194/1, 194/9, 199/2, 199/7, 199/8, 199/9, 199/11, 199/12, 199/13, 212/4, 212/5, 212/6, 212/7, 212/8, 212/9, 212/10, 212/11, 212/12, 212/13, 212/14, 212/15, 213</w:t>
      </w:r>
      <w:r w:rsidR="00826BB7">
        <w:rPr>
          <w:rFonts w:eastAsia="Times New Roman" w:cs="Times New Roman"/>
          <w:kern w:val="0"/>
          <w:sz w:val="22"/>
          <w:szCs w:val="22"/>
          <w:lang w:eastAsia="ar-SA"/>
        </w:rPr>
        <w:t xml:space="preserve"> z obrębu 45</w:t>
      </w:r>
      <w:r w:rsidRPr="00826BB7">
        <w:rPr>
          <w:rFonts w:eastAsia="Times New Roman" w:cs="Times New Roman"/>
          <w:kern w:val="0"/>
          <w:sz w:val="22"/>
          <w:szCs w:val="22"/>
          <w:lang w:eastAsia="ar-SA"/>
        </w:rPr>
        <w:t>.</w:t>
      </w:r>
    </w:p>
    <w:p w:rsidR="00121C15" w:rsidRPr="004B3DA6" w:rsidRDefault="00121C15" w:rsidP="00121C15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="00121C15">
        <w:rPr>
          <w:rFonts w:eastAsia="Arial"/>
          <w:b/>
          <w:bCs/>
          <w:color w:val="000000"/>
          <w:sz w:val="22"/>
          <w:szCs w:val="22"/>
        </w:rPr>
        <w:t>uouioś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867052" w:rsidRDefault="00267CC8" w:rsidP="00232FB6">
      <w:pPr>
        <w:pStyle w:val="Standard"/>
        <w:numPr>
          <w:ilvl w:val="0"/>
          <w:numId w:val="8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121C15">
        <w:rPr>
          <w:rFonts w:ascii="Times New Roman" w:eastAsia="Arial Unicode MS" w:hAnsi="Times New Roman"/>
          <w:kern w:val="3"/>
        </w:rPr>
        <w:t>W celu zabezpieczenia gruntu oraz wód podziemnych i powierzchniowych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121C15">
        <w:rPr>
          <w:rFonts w:ascii="Times New Roman" w:eastAsia="Arial Unicode MS" w:hAnsi="Times New Roman"/>
          <w:kern w:val="3"/>
        </w:rPr>
        <w:t>przed zanieczyszczeniem substancjami ropopochodnymi, podczas realizacji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121C15">
        <w:rPr>
          <w:rFonts w:ascii="Times New Roman" w:eastAsia="Arial Unicode MS" w:hAnsi="Times New Roman"/>
          <w:kern w:val="3"/>
        </w:rPr>
        <w:t>inwestycji używać wyłącznie sprawnego sprzętu i monitorować ewentualne</w:t>
      </w:r>
      <w:r>
        <w:rPr>
          <w:rFonts w:ascii="Times New Roman" w:eastAsia="Arial Unicode MS" w:hAnsi="Times New Roman"/>
          <w:kern w:val="3"/>
        </w:rPr>
        <w:t xml:space="preserve"> </w:t>
      </w:r>
      <w:r w:rsidRPr="00121C15">
        <w:rPr>
          <w:rFonts w:ascii="Times New Roman" w:eastAsia="Arial Unicode MS" w:hAnsi="Times New Roman"/>
          <w:kern w:val="3"/>
        </w:rPr>
        <w:t xml:space="preserve">wycieki substancji ropopochodnych, które mogą powstać w wyniku </w:t>
      </w:r>
      <w:r w:rsidR="00E25881">
        <w:rPr>
          <w:rFonts w:ascii="Times New Roman" w:eastAsia="Arial Unicode MS" w:hAnsi="Times New Roman"/>
          <w:kern w:val="3"/>
        </w:rPr>
        <w:t xml:space="preserve">konserwacji lub </w:t>
      </w:r>
      <w:r w:rsidRPr="00121C15">
        <w:rPr>
          <w:rFonts w:ascii="Times New Roman" w:eastAsia="Arial Unicode MS" w:hAnsi="Times New Roman"/>
          <w:kern w:val="3"/>
        </w:rPr>
        <w:t>awarii</w:t>
      </w:r>
      <w:r w:rsidR="00E25881">
        <w:rPr>
          <w:rFonts w:ascii="Times New Roman" w:eastAsia="Arial Unicode MS" w:hAnsi="Times New Roman"/>
          <w:kern w:val="3"/>
        </w:rPr>
        <w:t xml:space="preserve"> sprzętu</w:t>
      </w:r>
      <w:r w:rsidRPr="00121C15">
        <w:rPr>
          <w:rFonts w:ascii="Times New Roman" w:eastAsia="Arial Unicode MS" w:hAnsi="Times New Roman"/>
          <w:kern w:val="3"/>
        </w:rPr>
        <w:t>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Zarówno na etapie realizacji, jak i użytkowania, teren przedsięwzięcia wyposażyć w sorbenty do neutralizacji ewentualnych wycieków substancji ropopochodnych.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Tymczasowe zaplecze budowy oraz miejsca składowania materiałów budowlanych lub postoju pojazdów i maszyn zorg</w:t>
      </w:r>
      <w:r w:rsidR="00E25881">
        <w:rPr>
          <w:rFonts w:ascii="Times New Roman" w:eastAsia="Arial Unicode MS" w:hAnsi="Times New Roman"/>
          <w:kern w:val="3"/>
        </w:rPr>
        <w:t xml:space="preserve">anizować na terenie utwardzonym, </w:t>
      </w:r>
      <w:r w:rsidRPr="000C57E7">
        <w:rPr>
          <w:rFonts w:ascii="Times New Roman" w:eastAsia="Arial Unicode MS" w:hAnsi="Times New Roman"/>
          <w:kern w:val="3"/>
        </w:rPr>
        <w:t>posiadającym szczelną nawierzchnię.</w:t>
      </w:r>
    </w:p>
    <w:p w:rsidR="00E25881" w:rsidRDefault="00E25881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 xml:space="preserve">Zabiegi związane z konserwacją i naprawami maszyn i urządzeń należy wykonywać </w:t>
      </w:r>
      <w:r w:rsidR="00826BB7">
        <w:rPr>
          <w:rFonts w:ascii="Times New Roman" w:eastAsia="Arial Unicode MS" w:hAnsi="Times New Roman"/>
          <w:kern w:val="3"/>
        </w:rPr>
        <w:br/>
      </w:r>
      <w:r>
        <w:rPr>
          <w:rFonts w:ascii="Times New Roman" w:eastAsia="Arial Unicode MS" w:hAnsi="Times New Roman"/>
          <w:kern w:val="3"/>
        </w:rPr>
        <w:t>w miejscach do tego odpowiednio przystosowanych o podłożu zabezpieczonym przed przedostaniem się do gruntu i wód podziemnych zanieczyszczeń.</w:t>
      </w:r>
    </w:p>
    <w:p w:rsidR="00E25881" w:rsidRDefault="00E25881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W celu neutralizacji ewentualnych wycieków substancji ropopochodnych należy na bieżąco usuwać je z wykorzystaniem sorbentów, których odpowiednia ilość powinna być stale zagwarantowana na placu budowy.</w:t>
      </w:r>
    </w:p>
    <w:p w:rsidR="00E25881" w:rsidRDefault="00E25881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Ścieki bytowe w fazie realizacji inwestycji należy gromadzić w szczelnych zbiornikach, które będą opróżniane przez uprawnione podmioty.</w:t>
      </w:r>
    </w:p>
    <w:p w:rsidR="00E25881" w:rsidRDefault="00E25881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Należy zapewnić odpowiednią ilość szczelnych pojemników do selektywnego składowania odpadów w specjalnie wydzielonych do tego celu miejscach.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lastRenderedPageBreak/>
        <w:t>Wycinkę drzew i krzewów kolidujących z realizacją planowanego przedsięwzięcia prowadzić poza okresem lęgowym ptaków, przypadającym od 1 marca do 31 sierpnia. Prowadzenie przedmiotowych prac w okresie lęgowym jest możliwe wyłącznie pod warunkiem potwierdzenia przez specjalistę przyrodnika - ornitologa braku zajęcia objętych planowaną wycinką siedlisk gatunków chronionych. Kontrola zajęcia siedlisk powinna zostać przeprowadzona nie wcześniej niż 2 dni przed rozpoczęciem prac. W przypadku wykrycia lęgów gatunków chronionych wycinka nie może być przeprowadzona do czasu stwierdzenia przez nadzór ornitologiczny wyprowadzenia młodych z gniazda.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Z uwagi na wycinkę zadrzewień zapewnić wykonanie nasadzeń zastępczych w ilości odpowiadającej skali wycinki, uwzględniając warunki siedliskowe w miejscu wykonania ww. nasadzeń i wymagania ekologiczne stosowanych do nasadzeń gatunków oraz preferując gatunki rodzime. Nasadzenia wykonać w granicach projektowanego pasa drogowego lub przy innej drodze, w możliwie najbliższej lokalizacji przedmiotowej inwestycji.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Prowadzić monitoring udatności wprowadzonych nasadzeń roślinności (drzew) przez okres co najmniej 3 lat oraz w razie potrzeby dokonywać nasadzeń uzupełniających, w miejscach obumarłych sadzonek, zapewniając trwałość wykonanych nasadzeń.</w:t>
      </w:r>
    </w:p>
    <w:p w:rsidR="00121C15" w:rsidRP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Zadrzewienia pozostające w zasięgu prac i niepodlegające usunięciu, zabezpieczyć na czas prowadzenia robót przed:</w:t>
      </w:r>
    </w:p>
    <w:p w:rsidR="000C57E7" w:rsidRDefault="00121C15" w:rsidP="00232FB6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Arial Unicode MS" w:hAnsi="Times New Roman"/>
          <w:kern w:val="3"/>
        </w:rPr>
      </w:pPr>
      <w:r w:rsidRPr="00121C15">
        <w:rPr>
          <w:rFonts w:ascii="Times New Roman" w:eastAsia="Arial Unicode MS" w:hAnsi="Times New Roman"/>
          <w:kern w:val="3"/>
        </w:rPr>
        <w:t>możliwością mechanicznego uszkodzenia, np. poprzez odeskowanie pni</w:t>
      </w:r>
      <w:r>
        <w:rPr>
          <w:rFonts w:ascii="Times New Roman" w:eastAsia="Arial Unicode MS" w:hAnsi="Times New Roman"/>
          <w:kern w:val="3"/>
        </w:rPr>
        <w:t xml:space="preserve"> </w:t>
      </w:r>
      <w:r w:rsidRPr="00121C15">
        <w:rPr>
          <w:rFonts w:ascii="Times New Roman" w:eastAsia="Arial Unicode MS" w:hAnsi="Times New Roman"/>
          <w:kern w:val="3"/>
        </w:rPr>
        <w:t>drzew,</w:t>
      </w:r>
    </w:p>
    <w:p w:rsidR="000C57E7" w:rsidRDefault="00121C15" w:rsidP="00232FB6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fizycznym uszkodzeniem krzewów poprzez wygrodzenie obszaru występowania krzewów,</w:t>
      </w:r>
    </w:p>
    <w:p w:rsidR="000C57E7" w:rsidRDefault="00121C15" w:rsidP="00232FB6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przesuszeniem bryły korzeniowej, np. poprzez zastosowanie mat ograniczających transpirację oraz prowadzenie wykopów w ich sąsiedztwie krótkimi odcinkami, ograniczając czas otwarcia wykopów,</w:t>
      </w:r>
    </w:p>
    <w:p w:rsidR="00121C15" w:rsidRPr="000C57E7" w:rsidRDefault="00121C15" w:rsidP="00232FB6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 xml:space="preserve">mechanicznym uszkodzeniem bryły korzeniowej poprzez prowadzenie prac </w:t>
      </w:r>
      <w:r w:rsidR="000C57E7">
        <w:rPr>
          <w:rFonts w:ascii="Times New Roman" w:eastAsia="Arial Unicode MS" w:hAnsi="Times New Roman"/>
          <w:kern w:val="3"/>
        </w:rPr>
        <w:br/>
      </w:r>
      <w:r w:rsidRPr="000C57E7">
        <w:rPr>
          <w:rFonts w:ascii="Times New Roman" w:eastAsia="Arial Unicode MS" w:hAnsi="Times New Roman"/>
          <w:kern w:val="3"/>
        </w:rPr>
        <w:t xml:space="preserve">w bezpośrednim sąsiedztwie systemów korzeniowych drzew i krzewów w sposób ręczny, </w:t>
      </w:r>
      <w:r w:rsidR="000C57E7">
        <w:rPr>
          <w:rFonts w:ascii="Times New Roman" w:eastAsia="Arial Unicode MS" w:hAnsi="Times New Roman"/>
          <w:kern w:val="3"/>
        </w:rPr>
        <w:br/>
      </w:r>
      <w:r w:rsidRPr="000C57E7">
        <w:rPr>
          <w:rFonts w:ascii="Times New Roman" w:eastAsia="Arial Unicode MS" w:hAnsi="Times New Roman"/>
          <w:kern w:val="3"/>
        </w:rPr>
        <w:t>o ile pozwala na to technologia prac. Powstałe ewentualne</w:t>
      </w:r>
      <w:r w:rsidR="000C57E7" w:rsidRP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 xml:space="preserve">uszkodzenia mechaniczne pni </w:t>
      </w:r>
      <w:r w:rsidR="000C57E7">
        <w:rPr>
          <w:rFonts w:ascii="Times New Roman" w:eastAsia="Arial Unicode MS" w:hAnsi="Times New Roman"/>
          <w:kern w:val="3"/>
        </w:rPr>
        <w:br/>
      </w:r>
      <w:r w:rsidRPr="000C57E7">
        <w:rPr>
          <w:rFonts w:ascii="Times New Roman" w:eastAsia="Arial Unicode MS" w:hAnsi="Times New Roman"/>
          <w:kern w:val="3"/>
        </w:rPr>
        <w:t>i korzeni zabezpieczyć preparatem</w:t>
      </w:r>
      <w:r w:rsidR="000C57E7" w:rsidRP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grzybobójczym.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Każdorazowo przed podjęciem prac, dokonać kontroli obecności zwierząt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w zasięgu planowanych prac, w tym wykopów. W przypadku ich stwierdzenia,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poszczególne osobniki odłowić, a następnie przenieść poza obszar robót,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do siedliska odpowiedniego dla danego gatunku. Ww. czynności prowadzić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powinni pracownicy uprzednio przeszkoleni w zakresie zoologicznym.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W przypadku zabezpieczenia wykopów z wykorzystaniem ścianek szczelnych</w:t>
      </w:r>
      <w:r w:rsidR="000C57E7" w:rsidRP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zapewnić pozostawienie ścianki szczelnej na wysokości minimum 40–50 cm</w:t>
      </w:r>
      <w:r w:rsidR="000C57E7" w:rsidRP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ponad poziom gruntu.</w:t>
      </w:r>
    </w:p>
    <w:p w:rsidR="000C57E7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W przypadku realizacji robót w okresie rozrodu zwierząt małych (np. drobne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ssaki, herpetofauna), który przyjąć należy jako trwający od 1 marca do 31 lipca,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zapewnić przeprowadzenie kontroli przez specjalistę przyrodnika bezpośrednio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przed rozpoczęciem prac, obejmujących zdjęcie wierzchniej warstwy gruntu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i roślinności oraz odłowienie stwierdzonych osobników gatunków chronionych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i przeniesienie ich w inne miejsce, nieprzewidziane do zajęcia w ramach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realizacji inwestycji.</w:t>
      </w:r>
    </w:p>
    <w:p w:rsidR="001D1F21" w:rsidRDefault="00121C15" w:rsidP="00232FB6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Prace budowlane, zwłaszcza z użyciem sprzętu ciężkiego, prowadzić wyłącznie</w:t>
      </w:r>
      <w:r w:rsidR="000C57E7"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w porze dziennej, tj. w godzinach 6:00 – 22:00.</w:t>
      </w:r>
    </w:p>
    <w:p w:rsidR="000C57E7" w:rsidRDefault="000C57E7" w:rsidP="00232FB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 xml:space="preserve">Wymagania dotyczące ochrony środowiska konieczne do uwzględnienia w dokumentacji wymaganej do wydania decyzji, o których mowa w art. 72 ust. 1 uouioś, w szczególności </w:t>
      </w:r>
      <w:r>
        <w:rPr>
          <w:rFonts w:ascii="Times New Roman" w:eastAsia="Arial Unicode MS" w:hAnsi="Times New Roman"/>
          <w:kern w:val="3"/>
        </w:rPr>
        <w:br/>
      </w:r>
      <w:r w:rsidRPr="000C57E7">
        <w:rPr>
          <w:rFonts w:ascii="Times New Roman" w:eastAsia="Arial Unicode MS" w:hAnsi="Times New Roman"/>
          <w:kern w:val="3"/>
        </w:rPr>
        <w:t xml:space="preserve">w projekcie zagospodarowania działki lub terenu lub projekcie architektoniczno-budowlanym, </w:t>
      </w:r>
      <w:r>
        <w:rPr>
          <w:rFonts w:ascii="Times New Roman" w:eastAsia="Arial Unicode MS" w:hAnsi="Times New Roman"/>
          <w:kern w:val="3"/>
        </w:rPr>
        <w:br/>
      </w:r>
      <w:r w:rsidRPr="000C57E7">
        <w:rPr>
          <w:rFonts w:ascii="Times New Roman" w:eastAsia="Arial Unicode MS" w:hAnsi="Times New Roman"/>
          <w:kern w:val="3"/>
        </w:rPr>
        <w:t>w przypadku decyzji, o których mowa w art. 72 ust. 1 pkt 1, 10, 14, 18, 23, 26 i 27 uouioś:</w:t>
      </w:r>
    </w:p>
    <w:p w:rsidR="000C57E7" w:rsidRDefault="000C57E7" w:rsidP="00232F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Celem prowadzenia monitoringu jakości wód gruntowych, umożliwiającego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określenie wpływu przedsięwzięcia na ich stan, wykonać na terenie stacji paliw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co najmniej 3 piezometry.</w:t>
      </w:r>
      <w:r>
        <w:rPr>
          <w:rFonts w:ascii="Times New Roman" w:eastAsia="Arial Unicode MS" w:hAnsi="Times New Roman"/>
          <w:kern w:val="3"/>
        </w:rPr>
        <w:t xml:space="preserve"> </w:t>
      </w:r>
    </w:p>
    <w:p w:rsidR="000C57E7" w:rsidRDefault="000C57E7" w:rsidP="000C57E7">
      <w:pPr>
        <w:pStyle w:val="Akapitzlist"/>
        <w:spacing w:after="0" w:line="240" w:lineRule="auto"/>
        <w:ind w:left="644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W razie stwierdzenia zanieczyszczenia wód gruntowych, powstałego w wyniku eksploatacji przedsięwzięcia, natychmiastowo podjąć działania mające na celu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zidentyfikowanie oraz trwałe wyeliminowanie źródła zanieczyszczeń.</w:t>
      </w:r>
    </w:p>
    <w:p w:rsidR="000C57E7" w:rsidRDefault="000C57E7" w:rsidP="00232F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Ścieki bytowe odprowadzać na etapie eksploatacji inwestycji do miejskiej sieci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kanalizacji sanitarnej.</w:t>
      </w:r>
    </w:p>
    <w:p w:rsidR="000C57E7" w:rsidRDefault="000C57E7" w:rsidP="00232F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Wody opadowe i roztopowe z powierzchni utwardzonych odprowadzać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do miejskiej kanalizacji deszczowej, po uprzednim podczyszczeniu w osadniku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oraz separatorze substancji ropopochodnych.</w:t>
      </w:r>
    </w:p>
    <w:p w:rsidR="000C57E7" w:rsidRDefault="000C57E7" w:rsidP="00232F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Dystrybutory paliw wyposażyć w system odsysania oparów benzyn (VRS),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tzw. „małe wahadło gazowe”.</w:t>
      </w:r>
    </w:p>
    <w:p w:rsidR="000C57E7" w:rsidRPr="000C57E7" w:rsidRDefault="000C57E7" w:rsidP="00232F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0C57E7">
        <w:rPr>
          <w:rFonts w:ascii="Times New Roman" w:eastAsia="Arial Unicode MS" w:hAnsi="Times New Roman"/>
          <w:kern w:val="3"/>
        </w:rPr>
        <w:t>Stanowisko rozładunkowe paliw wyposażyć w instalację odbioru oparów</w:t>
      </w:r>
      <w:r>
        <w:rPr>
          <w:rFonts w:ascii="Times New Roman" w:eastAsia="Arial Unicode MS" w:hAnsi="Times New Roman"/>
          <w:kern w:val="3"/>
        </w:rPr>
        <w:t xml:space="preserve"> </w:t>
      </w:r>
      <w:r w:rsidRPr="000C57E7">
        <w:rPr>
          <w:rFonts w:ascii="Times New Roman" w:eastAsia="Arial Unicode MS" w:hAnsi="Times New Roman"/>
          <w:kern w:val="3"/>
        </w:rPr>
        <w:t>do cysterny, tzw. „duże wahadło gazowe”.</w:t>
      </w:r>
    </w:p>
    <w:p w:rsidR="000C57E7" w:rsidRDefault="000C57E7" w:rsidP="000C57E7">
      <w:p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</w:p>
    <w:p w:rsidR="000C57E7" w:rsidRPr="000C57E7" w:rsidRDefault="000C57E7" w:rsidP="000C57E7">
      <w:p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</w:p>
    <w:p w:rsidR="00BD1EE6" w:rsidRPr="00826BB7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BB7">
        <w:rPr>
          <w:rFonts w:ascii="Times New Roman" w:eastAsia="Times New Roman" w:hAnsi="Times New Roman" w:cs="Times New Roman"/>
          <w:lang w:eastAsia="pl-PL"/>
        </w:rPr>
        <w:t>Rodzaj i miejsce realizacji przedsięwzięcia:</w:t>
      </w:r>
    </w:p>
    <w:p w:rsidR="00DE6829" w:rsidRDefault="00DE6829" w:rsidP="007D367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DE6829">
        <w:rPr>
          <w:rFonts w:ascii="Times New Roman" w:hAnsi="Times New Roman" w:cs="Times New Roman"/>
        </w:rPr>
        <w:t xml:space="preserve">Przedsięwzięcie polega na budowie </w:t>
      </w:r>
      <w:r w:rsidR="000C57E7">
        <w:rPr>
          <w:rFonts w:ascii="Times New Roman" w:hAnsi="Times New Roman" w:cs="Times New Roman"/>
        </w:rPr>
        <w:t xml:space="preserve">stacji paliw płynnych wraz z niezbędną infrastrukturą przy </w:t>
      </w:r>
      <w:r w:rsidR="005431D9">
        <w:rPr>
          <w:rFonts w:ascii="Times New Roman" w:hAnsi="Times New Roman" w:cs="Times New Roman"/>
        </w:rPr>
        <w:br/>
      </w:r>
      <w:r w:rsidR="000C57E7">
        <w:rPr>
          <w:rFonts w:ascii="Times New Roman" w:hAnsi="Times New Roman" w:cs="Times New Roman"/>
        </w:rPr>
        <w:t xml:space="preserve">ul. Płaskiej 22a w Toruniu na terenie działek </w:t>
      </w:r>
      <w:r w:rsidR="00826BB7">
        <w:rPr>
          <w:rFonts w:ascii="Times New Roman" w:hAnsi="Times New Roman" w:cs="Times New Roman"/>
        </w:rPr>
        <w:t xml:space="preserve">nr </w:t>
      </w:r>
      <w:r w:rsidR="000C57E7">
        <w:rPr>
          <w:rFonts w:ascii="Times New Roman" w:hAnsi="Times New Roman" w:cs="Times New Roman"/>
        </w:rPr>
        <w:t>199/10, 32/36 i 32/41 z obrębu 45.</w:t>
      </w:r>
      <w:r w:rsidR="00F9709D">
        <w:rPr>
          <w:rFonts w:ascii="Times New Roman" w:hAnsi="Times New Roman" w:cs="Times New Roman"/>
        </w:rPr>
        <w:t xml:space="preserve"> W ramach realizacji zadania planuje się budowę budynku biurowo – socjalnego, budynku warsztatowego, 8 miejsc postojowych dla samochodów osobowych i 4 miejsca postojowe dla samochodów ciężarowych </w:t>
      </w:r>
      <w:r w:rsidR="00F9709D">
        <w:rPr>
          <w:rFonts w:ascii="Times New Roman" w:hAnsi="Times New Roman" w:cs="Times New Roman"/>
        </w:rPr>
        <w:br/>
        <w:t>i cystern, a także budowę zbiorników do magazynowania oleju napędowego i oleju opałowego. Projektuje się 2 zbiorniki podziemne do magazynowania paliw o pojemności ok. 100m</w:t>
      </w:r>
      <w:r w:rsidR="00F9709D" w:rsidRPr="00F9709D">
        <w:rPr>
          <w:rFonts w:ascii="Times New Roman" w:hAnsi="Times New Roman" w:cs="Times New Roman"/>
          <w:vertAlign w:val="superscript"/>
        </w:rPr>
        <w:t>3</w:t>
      </w:r>
      <w:r w:rsidR="00F9709D">
        <w:rPr>
          <w:rFonts w:ascii="Times New Roman" w:hAnsi="Times New Roman" w:cs="Times New Roman"/>
        </w:rPr>
        <w:t xml:space="preserve"> każdy.</w:t>
      </w:r>
    </w:p>
    <w:p w:rsidR="00DE6829" w:rsidRDefault="000C57E7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709D" w:rsidRPr="00DE6829" w:rsidRDefault="00F9709D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9C69FB" w:rsidRPr="004B3DA6" w:rsidRDefault="009C69FB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5529" w:rsidRPr="00DE6829" w:rsidRDefault="00080600" w:rsidP="00CF7A64">
      <w:pPr>
        <w:pStyle w:val="NormalnyWeb1"/>
        <w:spacing w:before="0" w:after="0" w:line="240" w:lineRule="auto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F9709D">
        <w:rPr>
          <w:sz w:val="22"/>
          <w:szCs w:val="22"/>
        </w:rPr>
        <w:t>12 października</w:t>
      </w:r>
      <w:r w:rsidR="009C69FB">
        <w:rPr>
          <w:sz w:val="22"/>
          <w:szCs w:val="22"/>
        </w:rPr>
        <w:t xml:space="preserve"> 2023 r.</w:t>
      </w:r>
      <w:r w:rsidR="00DE6829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F9709D" w:rsidRPr="00F9709D">
        <w:rPr>
          <w:rStyle w:val="Domylnaczcionkaakapitu1"/>
          <w:sz w:val="22"/>
          <w:szCs w:val="22"/>
        </w:rPr>
        <w:t>Państwa Iwony i Piotra Matyjasik, reprezentowanych przez Pana Krzysztofa Lisewskiego</w:t>
      </w:r>
      <w:r w:rsidRPr="004B3DA6">
        <w:rPr>
          <w:color w:val="000000"/>
          <w:sz w:val="22"/>
          <w:szCs w:val="22"/>
        </w:rPr>
        <w:t xml:space="preserve">, w sprawie wydania decyzji </w:t>
      </w:r>
      <w:r w:rsidR="005431D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 dla przedsięwzięcia</w:t>
      </w:r>
      <w:r w:rsidR="00826BB7">
        <w:rPr>
          <w:color w:val="000000"/>
          <w:sz w:val="22"/>
          <w:szCs w:val="22"/>
        </w:rPr>
        <w:t>,</w:t>
      </w:r>
      <w:r w:rsidRPr="004B3DA6">
        <w:rPr>
          <w:color w:val="000000"/>
          <w:sz w:val="22"/>
          <w:szCs w:val="22"/>
        </w:rPr>
        <w:t xml:space="preserve"> </w:t>
      </w:r>
      <w:r w:rsidR="00826BB7">
        <w:rPr>
          <w:color w:val="000000"/>
          <w:sz w:val="22"/>
          <w:szCs w:val="22"/>
        </w:rPr>
        <w:t>o którym mowa w sentencji niniejszej decyzji</w:t>
      </w:r>
      <w:r w:rsidR="00E4627A">
        <w:rPr>
          <w:sz w:val="22"/>
          <w:szCs w:val="22"/>
        </w:rPr>
        <w:t>.</w:t>
      </w:r>
    </w:p>
    <w:p w:rsidR="005956FE" w:rsidRPr="00B35F34" w:rsidRDefault="00826BB7" w:rsidP="00CF7A64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956FE" w:rsidRPr="004B3DA6">
        <w:rPr>
          <w:sz w:val="22"/>
          <w:szCs w:val="22"/>
        </w:rPr>
        <w:t>nwestycję</w:t>
      </w:r>
      <w:r w:rsidR="005956FE" w:rsidRPr="004B3DA6">
        <w:rPr>
          <w:b/>
          <w:bCs/>
          <w:sz w:val="22"/>
          <w:szCs w:val="22"/>
        </w:rPr>
        <w:t xml:space="preserve"> </w:t>
      </w:r>
      <w:r w:rsidR="005956FE" w:rsidRPr="004B3DA6">
        <w:rPr>
          <w:sz w:val="22"/>
          <w:szCs w:val="22"/>
        </w:rPr>
        <w:t>zaliczono</w:t>
      </w:r>
      <w:r w:rsidR="005956FE" w:rsidRPr="004B3DA6">
        <w:rPr>
          <w:b/>
          <w:sz w:val="22"/>
          <w:szCs w:val="22"/>
        </w:rPr>
        <w:t xml:space="preserve"> </w:t>
      </w:r>
      <w:r w:rsidR="005956FE" w:rsidRPr="004B3DA6">
        <w:rPr>
          <w:sz w:val="22"/>
          <w:szCs w:val="22"/>
        </w:rPr>
        <w:t>do przedsięwzięć,</w:t>
      </w:r>
      <w:r w:rsidR="005956FE" w:rsidRPr="004B3DA6">
        <w:rPr>
          <w:b/>
          <w:bCs/>
          <w:sz w:val="22"/>
          <w:szCs w:val="22"/>
        </w:rPr>
        <w:t xml:space="preserve"> </w:t>
      </w:r>
      <w:r w:rsidR="005956FE" w:rsidRPr="004B3DA6">
        <w:rPr>
          <w:sz w:val="22"/>
          <w:szCs w:val="22"/>
        </w:rPr>
        <w:t>o k</w:t>
      </w:r>
      <w:r>
        <w:rPr>
          <w:sz w:val="22"/>
          <w:szCs w:val="22"/>
        </w:rPr>
        <w:t>tórych mowa w art. 71 ust. 2 pkt</w:t>
      </w:r>
      <w:r w:rsidR="005956FE" w:rsidRPr="004B3DA6">
        <w:rPr>
          <w:sz w:val="22"/>
          <w:szCs w:val="22"/>
        </w:rPr>
        <w:t xml:space="preserve"> 2 </w:t>
      </w:r>
      <w:r w:rsidR="001F3F04">
        <w:rPr>
          <w:sz w:val="22"/>
          <w:szCs w:val="22"/>
        </w:rPr>
        <w:t>uouioś,</w:t>
      </w:r>
      <w:r w:rsidR="005956FE" w:rsidRPr="004B3DA6">
        <w:rPr>
          <w:iCs/>
          <w:sz w:val="22"/>
          <w:szCs w:val="22"/>
        </w:rPr>
        <w:t xml:space="preserve"> zgodnie z</w:t>
      </w:r>
      <w:r w:rsidR="005956FE"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 xml:space="preserve">§ 3 </w:t>
      </w:r>
      <w:r w:rsidR="009C69FB" w:rsidRPr="009C69FB">
        <w:rPr>
          <w:sz w:val="22"/>
          <w:szCs w:val="22"/>
        </w:rPr>
        <w:t xml:space="preserve">ust. </w:t>
      </w:r>
      <w:r w:rsidR="00982267">
        <w:rPr>
          <w:sz w:val="22"/>
          <w:szCs w:val="22"/>
        </w:rPr>
        <w:t xml:space="preserve">1 </w:t>
      </w:r>
      <w:r w:rsidR="009C69FB" w:rsidRPr="009C69FB">
        <w:rPr>
          <w:sz w:val="22"/>
          <w:szCs w:val="22"/>
        </w:rPr>
        <w:t xml:space="preserve">pkt </w:t>
      </w:r>
      <w:r w:rsidR="001F3F04">
        <w:rPr>
          <w:sz w:val="22"/>
          <w:szCs w:val="22"/>
        </w:rPr>
        <w:t>34 lit. b) i pkt 35 lit. b)</w:t>
      </w:r>
      <w:r w:rsidR="009C69FB" w:rsidRPr="009C69FB">
        <w:rPr>
          <w:sz w:val="22"/>
          <w:szCs w:val="22"/>
        </w:rPr>
        <w:t xml:space="preserve"> </w:t>
      </w:r>
      <w:r w:rsidR="005956FE"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="005956FE" w:rsidRPr="004B3DA6">
        <w:rPr>
          <w:color w:val="000000"/>
          <w:sz w:val="22"/>
          <w:szCs w:val="22"/>
        </w:rPr>
        <w:t xml:space="preserve"> r. </w:t>
      </w:r>
      <w:r>
        <w:rPr>
          <w:color w:val="000000"/>
          <w:sz w:val="22"/>
          <w:szCs w:val="22"/>
        </w:rPr>
        <w:br/>
      </w:r>
      <w:r w:rsidR="005956FE" w:rsidRPr="004B3DA6">
        <w:rPr>
          <w:color w:val="000000"/>
          <w:sz w:val="22"/>
          <w:szCs w:val="22"/>
        </w:rPr>
        <w:t>w sprawie przedsięwzięć mogących znacząco oddziaływać na środowisko (t.j. Dz. U. z 201</w:t>
      </w:r>
      <w:r w:rsidR="00AB5529" w:rsidRPr="004B3DA6">
        <w:rPr>
          <w:color w:val="000000"/>
          <w:sz w:val="22"/>
          <w:szCs w:val="22"/>
        </w:rPr>
        <w:t>9</w:t>
      </w:r>
      <w:r w:rsidR="005956FE"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="005956FE" w:rsidRPr="004B3DA6">
        <w:rPr>
          <w:color w:val="000000"/>
          <w:sz w:val="22"/>
          <w:szCs w:val="22"/>
        </w:rPr>
        <w:t>)</w:t>
      </w:r>
      <w:r w:rsidR="00982267">
        <w:rPr>
          <w:color w:val="000000"/>
          <w:sz w:val="22"/>
          <w:szCs w:val="22"/>
        </w:rPr>
        <w:t>, jako przedsięwzięcie mogące potencjalnie znacząco oddziaływać na środowisko.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232FB6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="005431D9">
        <w:rPr>
          <w:rFonts w:ascii="Times New Roman" w:eastAsia="Times New Roman" w:hAnsi="Times New Roman" w:cs="Times New Roman"/>
          <w:lang w:eastAsia="pl-PL"/>
        </w:rPr>
        <w:t xml:space="preserve"> (dalej: Kip)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="001F3F04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, charakteryzującą zamierzenie.</w:t>
      </w:r>
    </w:p>
    <w:p w:rsidR="00D63564" w:rsidRPr="004B3DA6" w:rsidRDefault="00D63564" w:rsidP="00232FB6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1F3F04">
        <w:rPr>
          <w:color w:val="000000"/>
          <w:sz w:val="22"/>
          <w:szCs w:val="22"/>
        </w:rPr>
        <w:t>510</w:t>
      </w:r>
      <w:r w:rsidR="005A132A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1F3F04">
        <w:rPr>
          <w:color w:val="000000"/>
          <w:sz w:val="22"/>
          <w:szCs w:val="22"/>
        </w:rPr>
        <w:t>26 października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</w:t>
      </w:r>
      <w:r w:rsidR="001F3F04">
        <w:rPr>
          <w:color w:val="000000"/>
          <w:sz w:val="22"/>
          <w:szCs w:val="22"/>
        </w:rPr>
        <w:t>uouioś</w:t>
      </w:r>
      <w:r w:rsidR="00A32B96" w:rsidRPr="00A32B96">
        <w:rPr>
          <w:color w:val="000000"/>
          <w:sz w:val="22"/>
          <w:szCs w:val="22"/>
        </w:rPr>
        <w:t xml:space="preserve">, strony postępowania zostały poinformowane o wszczęciu postępowania w przedmiotowej sprawie. Do dnia dzisiejszego nie odnotowano żadnych uwag, zastrzeżeń 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</w:t>
      </w:r>
      <w:r w:rsidR="001F3F04">
        <w:rPr>
          <w:color w:val="000000"/>
          <w:sz w:val="22"/>
          <w:szCs w:val="22"/>
        </w:rPr>
        <w:t>uouioś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</w:t>
      </w:r>
      <w:r w:rsidR="001F3F04">
        <w:rPr>
          <w:color w:val="000000"/>
          <w:sz w:val="22"/>
          <w:szCs w:val="22"/>
        </w:rPr>
        <w:t>uouioś</w:t>
      </w:r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232FB6">
      <w:pPr>
        <w:pStyle w:val="NormalnyWeb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1F3F04">
        <w:rPr>
          <w:color w:val="000000"/>
          <w:sz w:val="22"/>
          <w:szCs w:val="22"/>
        </w:rPr>
        <w:t>10 stycznia</w:t>
      </w:r>
      <w:r w:rsidR="007350BE">
        <w:rPr>
          <w:color w:val="000000"/>
          <w:sz w:val="22"/>
          <w:szCs w:val="22"/>
        </w:rPr>
        <w:t xml:space="preserve"> 202</w:t>
      </w:r>
      <w:r w:rsidR="001F3F04">
        <w:rPr>
          <w:color w:val="000000"/>
          <w:sz w:val="22"/>
          <w:szCs w:val="22"/>
        </w:rPr>
        <w:t>4</w:t>
      </w:r>
      <w:r w:rsidRPr="004B3DA6">
        <w:rPr>
          <w:color w:val="000000"/>
          <w:sz w:val="22"/>
          <w:szCs w:val="22"/>
        </w:rPr>
        <w:t xml:space="preserve"> r., znak: WOO.4220.</w:t>
      </w:r>
      <w:r w:rsidR="001F3F04">
        <w:rPr>
          <w:color w:val="000000"/>
          <w:sz w:val="22"/>
          <w:szCs w:val="22"/>
        </w:rPr>
        <w:t>915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1F3F04">
        <w:rPr>
          <w:color w:val="000000"/>
          <w:sz w:val="22"/>
          <w:szCs w:val="22"/>
        </w:rPr>
        <w:t>JM.3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1F3F04">
        <w:rPr>
          <w:color w:val="000000"/>
          <w:sz w:val="22"/>
          <w:szCs w:val="22"/>
        </w:rPr>
        <w:t>14 lutego 2024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</w:t>
      </w:r>
      <w:r w:rsidR="009C69FB">
        <w:rPr>
          <w:color w:val="000000"/>
          <w:sz w:val="22"/>
          <w:szCs w:val="22"/>
        </w:rPr>
        <w:t>/</w:t>
      </w:r>
      <w:r w:rsidR="001F3F04">
        <w:rPr>
          <w:color w:val="000000"/>
          <w:sz w:val="22"/>
          <w:szCs w:val="22"/>
        </w:rPr>
        <w:t>13984</w:t>
      </w:r>
      <w:r w:rsidR="006D0C4F">
        <w:rPr>
          <w:color w:val="000000"/>
          <w:sz w:val="22"/>
          <w:szCs w:val="22"/>
        </w:rPr>
        <w:t>/202</w:t>
      </w:r>
      <w:r w:rsidR="001F3F04">
        <w:rPr>
          <w:color w:val="000000"/>
          <w:sz w:val="22"/>
          <w:szCs w:val="22"/>
        </w:rPr>
        <w:t>4</w:t>
      </w:r>
      <w:r w:rsidR="00826BB7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,</w:t>
      </w:r>
    </w:p>
    <w:p w:rsidR="000A31D5" w:rsidRDefault="00080600" w:rsidP="00232FB6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1F3F04">
        <w:rPr>
          <w:rFonts w:ascii="Times New Roman" w:hAnsi="Times New Roman" w:cs="Times New Roman"/>
          <w:lang w:eastAsia="pl-PL"/>
        </w:rPr>
        <w:t>6 listopada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1F3F04">
        <w:rPr>
          <w:rFonts w:ascii="Times New Roman" w:hAnsi="Times New Roman" w:cs="Times New Roman"/>
          <w:lang w:eastAsia="pl-PL"/>
        </w:rPr>
        <w:t>478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9C69FB">
        <w:rPr>
          <w:rFonts w:ascii="Times New Roman" w:hAnsi="Times New Roman" w:cs="Times New Roman"/>
          <w:lang w:eastAsia="pl-PL"/>
        </w:rPr>
        <w:t>WL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1F3F04">
        <w:rPr>
          <w:rFonts w:ascii="Times New Roman" w:hAnsi="Times New Roman" w:cs="Times New Roman"/>
          <w:lang w:eastAsia="pl-PL"/>
        </w:rPr>
        <w:t>8 listopada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</w:t>
      </w:r>
      <w:r w:rsidR="001F3F04">
        <w:rPr>
          <w:rFonts w:ascii="Times New Roman" w:hAnsi="Times New Roman" w:cs="Times New Roman"/>
          <w:lang w:eastAsia="pl-PL"/>
        </w:rPr>
        <w:t>86451</w:t>
      </w:r>
      <w:r w:rsidR="00E4627A">
        <w:rPr>
          <w:rFonts w:ascii="Times New Roman" w:hAnsi="Times New Roman" w:cs="Times New Roman"/>
          <w:lang w:eastAsia="pl-PL"/>
        </w:rPr>
        <w:t>/2023</w:t>
      </w:r>
      <w:r w:rsidRPr="004B3DA6">
        <w:rPr>
          <w:rFonts w:ascii="Times New Roman" w:hAnsi="Times New Roman" w:cs="Times New Roman"/>
          <w:lang w:eastAsia="pl-PL"/>
        </w:rPr>
        <w:t xml:space="preserve">), który </w:t>
      </w:r>
      <w:r w:rsidR="00826BB7">
        <w:rPr>
          <w:rFonts w:ascii="Times New Roman" w:hAnsi="Times New Roman" w:cs="Times New Roman"/>
          <w:lang w:eastAsia="pl-PL"/>
        </w:rPr>
        <w:t>wziął</w:t>
      </w:r>
      <w:r w:rsidRPr="004B3DA6">
        <w:rPr>
          <w:rFonts w:ascii="Times New Roman" w:hAnsi="Times New Roman" w:cs="Times New Roman"/>
          <w:lang w:eastAsia="pl-PL"/>
        </w:rPr>
        <w:t xml:space="preserve">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>”</w:t>
      </w:r>
      <w:r w:rsidR="00826BB7">
        <w:rPr>
          <w:rFonts w:ascii="Times New Roman" w:hAnsi="Times New Roman" w:cs="Times New Roman"/>
          <w:lang w:eastAsia="pl-PL"/>
        </w:rPr>
        <w:t>,</w:t>
      </w:r>
    </w:p>
    <w:p w:rsidR="00080600" w:rsidRPr="00826BB7" w:rsidRDefault="00080600" w:rsidP="00232FB6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1F3F04">
        <w:rPr>
          <w:rFonts w:ascii="Times New Roman" w:hAnsi="Times New Roman" w:cs="Times New Roman"/>
          <w:color w:val="000000"/>
        </w:rPr>
        <w:t>15 grudnia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1F3F04">
        <w:rPr>
          <w:rFonts w:ascii="Times New Roman" w:hAnsi="Times New Roman" w:cs="Times New Roman"/>
          <w:color w:val="000000"/>
        </w:rPr>
        <w:t>28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1F3F04">
        <w:rPr>
          <w:rFonts w:ascii="Times New Roman" w:hAnsi="Times New Roman" w:cs="Times New Roman"/>
          <w:color w:val="000000"/>
        </w:rPr>
        <w:t>20 grudnia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1F3F04">
        <w:rPr>
          <w:rFonts w:ascii="Times New Roman" w:hAnsi="Times New Roman" w:cs="Times New Roman"/>
          <w:color w:val="000000"/>
        </w:rPr>
        <w:t>97281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826BB7">
        <w:rPr>
          <w:rFonts w:ascii="Times New Roman" w:hAnsi="Times New Roman" w:cs="Times New Roman"/>
          <w:color w:val="000000"/>
        </w:rPr>
        <w:t>wziął</w:t>
      </w:r>
      <w:r w:rsidR="00E4627A">
        <w:rPr>
          <w:rFonts w:ascii="Times New Roman" w:hAnsi="Times New Roman" w:cs="Times New Roman"/>
          <w:color w:val="000000"/>
        </w:rPr>
        <w:t xml:space="preserve"> pod uwagę rodzaj, skalę, usytuowanie i zasięg oddziaływania projektowanej inwestycji, gęstość zaludnienia na analizowanym terenie oraz emisje i inne uciążliwości których źródłem będzie </w:t>
      </w:r>
      <w:r w:rsidR="00826BB7">
        <w:rPr>
          <w:rFonts w:ascii="Times New Roman" w:hAnsi="Times New Roman" w:cs="Times New Roman"/>
          <w:color w:val="000000"/>
        </w:rPr>
        <w:t>planowane</w:t>
      </w:r>
      <w:r w:rsidR="00E4627A">
        <w:rPr>
          <w:rFonts w:ascii="Times New Roman" w:hAnsi="Times New Roman" w:cs="Times New Roman"/>
          <w:color w:val="000000"/>
        </w:rPr>
        <w:t xml:space="preserve"> zamierzenie, a także czas trwania negatywnych oddziaływań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826BB7" w:rsidRPr="000A31D5" w:rsidRDefault="00826BB7" w:rsidP="00826BB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We wskazanych powyżej opiniach uznano, że nie ma konieczności przeprowadzenia oceny oddziaływania na środowisko. Jednocześnie Regionalny Dyrektor Ochrony Środowiska w </w:t>
      </w:r>
      <w:r w:rsidR="00147181">
        <w:rPr>
          <w:rFonts w:ascii="Times New Roman" w:hAnsi="Times New Roman" w:cs="Times New Roman"/>
          <w:color w:val="000000"/>
        </w:rPr>
        <w:t>Bydgoszczy oraz Państwowe Gospodarstwo Wodne Wody Polskie podały warunki, które zostały uwzględnione w całości w niniejszej decyzji.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</w:t>
      </w:r>
      <w:r w:rsidR="00826BB7">
        <w:rPr>
          <w:color w:val="000000"/>
          <w:sz w:val="22"/>
          <w:szCs w:val="22"/>
        </w:rPr>
        <w:t>e wykaz.ekoportal.pl pod pozycjami</w:t>
      </w:r>
      <w:r w:rsidRPr="004B3DA6">
        <w:rPr>
          <w:color w:val="000000"/>
          <w:sz w:val="22"/>
          <w:szCs w:val="22"/>
        </w:rPr>
        <w:t xml:space="preserve">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9553E8">
        <w:rPr>
          <w:color w:val="000000"/>
          <w:sz w:val="22"/>
          <w:szCs w:val="22"/>
        </w:rPr>
        <w:t>33</w:t>
      </w:r>
      <w:r w:rsidR="007350BE">
        <w:rPr>
          <w:color w:val="000000"/>
          <w:sz w:val="22"/>
          <w:szCs w:val="22"/>
        </w:rPr>
        <w:t>/202</w:t>
      </w:r>
      <w:r w:rsidR="009553E8">
        <w:rPr>
          <w:color w:val="000000"/>
          <w:sz w:val="22"/>
          <w:szCs w:val="22"/>
        </w:rPr>
        <w:t>4</w:t>
      </w:r>
      <w:r w:rsidRPr="004B3DA6">
        <w:rPr>
          <w:color w:val="000000"/>
          <w:sz w:val="22"/>
          <w:szCs w:val="22"/>
        </w:rPr>
        <w:t xml:space="preserve">, </w:t>
      </w:r>
      <w:r w:rsidR="009553E8">
        <w:rPr>
          <w:color w:val="000000"/>
          <w:sz w:val="22"/>
          <w:szCs w:val="22"/>
        </w:rPr>
        <w:t>523</w:t>
      </w:r>
      <w:r w:rsidR="007350BE">
        <w:rPr>
          <w:color w:val="000000"/>
          <w:sz w:val="22"/>
          <w:szCs w:val="22"/>
        </w:rPr>
        <w:t>/2023</w:t>
      </w:r>
      <w:r w:rsidR="00CF7A64">
        <w:rPr>
          <w:color w:val="000000"/>
          <w:sz w:val="22"/>
          <w:szCs w:val="22"/>
        </w:rPr>
        <w:t xml:space="preserve"> i</w:t>
      </w:r>
      <w:r w:rsidR="000A31D5">
        <w:rPr>
          <w:color w:val="000000"/>
          <w:sz w:val="22"/>
          <w:szCs w:val="22"/>
        </w:rPr>
        <w:t xml:space="preserve"> </w:t>
      </w:r>
      <w:r w:rsidR="009553E8">
        <w:rPr>
          <w:color w:val="000000"/>
          <w:sz w:val="22"/>
          <w:szCs w:val="22"/>
        </w:rPr>
        <w:t>544</w:t>
      </w:r>
      <w:r w:rsidR="00CF7A64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</w:t>
      </w:r>
      <w:r w:rsidR="009553E8">
        <w:rPr>
          <w:color w:val="000000"/>
          <w:sz w:val="22"/>
          <w:szCs w:val="22"/>
        </w:rPr>
        <w:t>uouioś</w:t>
      </w:r>
      <w:r w:rsidRPr="004B3DA6">
        <w:rPr>
          <w:color w:val="000000"/>
          <w:sz w:val="22"/>
          <w:szCs w:val="22"/>
        </w:rPr>
        <w:t xml:space="preserve">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Obszar przedmiotowej inwestycji obejmuje działki o</w:t>
      </w:r>
      <w:r>
        <w:rPr>
          <w:rFonts w:ascii="Times New Roman" w:hAnsi="Times New Roman" w:cs="Times New Roman"/>
          <w:color w:val="000000"/>
        </w:rPr>
        <w:t xml:space="preserve"> numerach ewidencyjnych: 199/1, </w:t>
      </w:r>
      <w:r w:rsidRPr="009553E8">
        <w:rPr>
          <w:rFonts w:ascii="Times New Roman" w:hAnsi="Times New Roman" w:cs="Times New Roman"/>
          <w:color w:val="000000"/>
        </w:rPr>
        <w:t xml:space="preserve">32/36, 32/41 </w:t>
      </w:r>
      <w:r w:rsidR="00826BB7">
        <w:rPr>
          <w:rFonts w:ascii="Times New Roman" w:hAnsi="Times New Roman" w:cs="Times New Roman"/>
          <w:color w:val="000000"/>
        </w:rPr>
        <w:t xml:space="preserve">z </w:t>
      </w:r>
      <w:r w:rsidRPr="009553E8">
        <w:rPr>
          <w:rFonts w:ascii="Times New Roman" w:hAnsi="Times New Roman" w:cs="Times New Roman"/>
          <w:color w:val="000000"/>
        </w:rPr>
        <w:t>obręb</w:t>
      </w:r>
      <w:r w:rsidR="00826BB7">
        <w:rPr>
          <w:rFonts w:ascii="Times New Roman" w:hAnsi="Times New Roman" w:cs="Times New Roman"/>
          <w:color w:val="000000"/>
        </w:rPr>
        <w:t>u</w:t>
      </w:r>
      <w:r w:rsidRPr="009553E8">
        <w:rPr>
          <w:rFonts w:ascii="Times New Roman" w:hAnsi="Times New Roman" w:cs="Times New Roman"/>
          <w:color w:val="000000"/>
        </w:rPr>
        <w:t xml:space="preserve"> 45. W bezpośrednim sąsiedz</w:t>
      </w:r>
      <w:r>
        <w:rPr>
          <w:rFonts w:ascii="Times New Roman" w:hAnsi="Times New Roman" w:cs="Times New Roman"/>
          <w:color w:val="000000"/>
        </w:rPr>
        <w:t xml:space="preserve">twie zamierzenia, tj. od strony </w:t>
      </w:r>
      <w:r w:rsidRPr="009553E8">
        <w:rPr>
          <w:rFonts w:ascii="Times New Roman" w:hAnsi="Times New Roman" w:cs="Times New Roman"/>
          <w:color w:val="000000"/>
        </w:rPr>
        <w:t>zachodniej, południowej i wschodniej, znajdują się tereny p</w:t>
      </w:r>
      <w:r>
        <w:rPr>
          <w:rFonts w:ascii="Times New Roman" w:hAnsi="Times New Roman" w:cs="Times New Roman"/>
          <w:color w:val="000000"/>
        </w:rPr>
        <w:t xml:space="preserve">rzemysłowe, natomiast od strony </w:t>
      </w:r>
      <w:r w:rsidRPr="009553E8">
        <w:rPr>
          <w:rFonts w:ascii="Times New Roman" w:hAnsi="Times New Roman" w:cs="Times New Roman"/>
          <w:color w:val="000000"/>
        </w:rPr>
        <w:t>północnej – droga.</w:t>
      </w:r>
    </w:p>
    <w:p w:rsid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W ramach zamierzenia planuje się budowę budynku biu</w:t>
      </w:r>
      <w:r>
        <w:rPr>
          <w:rFonts w:ascii="Times New Roman" w:hAnsi="Times New Roman" w:cs="Times New Roman"/>
          <w:color w:val="000000"/>
        </w:rPr>
        <w:t xml:space="preserve">rowo-socjalnego, który zostanie </w:t>
      </w:r>
      <w:r w:rsidRPr="009553E8">
        <w:rPr>
          <w:rFonts w:ascii="Times New Roman" w:hAnsi="Times New Roman" w:cs="Times New Roman"/>
          <w:color w:val="000000"/>
        </w:rPr>
        <w:t>wykonany w technologii tradycyjnej lub z prefabryka</w:t>
      </w:r>
      <w:r>
        <w:rPr>
          <w:rFonts w:ascii="Times New Roman" w:hAnsi="Times New Roman" w:cs="Times New Roman"/>
          <w:color w:val="000000"/>
        </w:rPr>
        <w:t xml:space="preserve">tów oraz budynku warsztatowego </w:t>
      </w:r>
      <w:r w:rsidRPr="009553E8">
        <w:rPr>
          <w:rFonts w:ascii="Times New Roman" w:hAnsi="Times New Roman" w:cs="Times New Roman"/>
          <w:color w:val="000000"/>
        </w:rPr>
        <w:t>o konstrukcji stalowej. Warsztat zostanie wykorzystany jako miejsce napraw</w:t>
      </w:r>
      <w:r>
        <w:rPr>
          <w:rFonts w:ascii="Times New Roman" w:hAnsi="Times New Roman" w:cs="Times New Roman"/>
          <w:color w:val="000000"/>
        </w:rPr>
        <w:t xml:space="preserve"> sprzętu </w:t>
      </w:r>
      <w:r w:rsidRPr="009553E8">
        <w:rPr>
          <w:rFonts w:ascii="Times New Roman" w:hAnsi="Times New Roman" w:cs="Times New Roman"/>
          <w:color w:val="000000"/>
        </w:rPr>
        <w:t>należącego do Inwestora, miejsce przechowywania narzęd</w:t>
      </w:r>
      <w:r>
        <w:rPr>
          <w:rFonts w:ascii="Times New Roman" w:hAnsi="Times New Roman" w:cs="Times New Roman"/>
          <w:color w:val="000000"/>
        </w:rPr>
        <w:t xml:space="preserve">zi i części. Pracownicy budynku </w:t>
      </w:r>
      <w:r w:rsidRPr="009553E8">
        <w:rPr>
          <w:rFonts w:ascii="Times New Roman" w:hAnsi="Times New Roman" w:cs="Times New Roman"/>
          <w:color w:val="000000"/>
        </w:rPr>
        <w:t>biurowego i warsztatowego będą pracowali na 1 zmianę od</w:t>
      </w:r>
      <w:r>
        <w:rPr>
          <w:rFonts w:ascii="Times New Roman" w:hAnsi="Times New Roman" w:cs="Times New Roman"/>
          <w:color w:val="000000"/>
        </w:rPr>
        <w:t xml:space="preserve"> poniedziałku do soboty. Stacj</w:t>
      </w:r>
      <w:r w:rsidR="005431D9"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</w:t>
      </w:r>
      <w:r w:rsidRPr="009553E8">
        <w:rPr>
          <w:rFonts w:ascii="Times New Roman" w:hAnsi="Times New Roman" w:cs="Times New Roman"/>
          <w:color w:val="000000"/>
        </w:rPr>
        <w:t xml:space="preserve">paliw zaplanowano jako samoobsługową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i czynną całodobowo przez 7 dni w tygodniu.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Stacja paliw płynnych prowadzić będzie sprzedaż d</w:t>
      </w:r>
      <w:r>
        <w:rPr>
          <w:rFonts w:ascii="Times New Roman" w:hAnsi="Times New Roman" w:cs="Times New Roman"/>
          <w:color w:val="000000"/>
        </w:rPr>
        <w:t xml:space="preserve">etaliczną dwóch gatunków paliw: </w:t>
      </w:r>
      <w:r w:rsidRPr="009553E8">
        <w:rPr>
          <w:rFonts w:ascii="Times New Roman" w:hAnsi="Times New Roman" w:cs="Times New Roman"/>
          <w:color w:val="000000"/>
        </w:rPr>
        <w:t>oleju napędowego i oleju opałowego oraz płynu AdBlue.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Podstawowe elementy projektowanej instalacji:</w:t>
      </w:r>
    </w:p>
    <w:p w:rsidR="009553E8" w:rsidRDefault="009553E8" w:rsidP="00232F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2 zbiorniki magazynowe na olej napędowy i opałowy, dwupłaszczowe</w:t>
      </w:r>
      <w:r>
        <w:rPr>
          <w:rFonts w:ascii="Times New Roman" w:hAnsi="Times New Roman"/>
          <w:color w:val="000000"/>
        </w:rPr>
        <w:t xml:space="preserve"> </w:t>
      </w:r>
      <w:r w:rsidRPr="009553E8">
        <w:rPr>
          <w:rFonts w:ascii="Times New Roman" w:hAnsi="Times New Roman"/>
          <w:color w:val="000000"/>
        </w:rPr>
        <w:t>podziemne wielokomorowe, o pojemności 100 m</w:t>
      </w:r>
      <w:r w:rsidRPr="009553E8">
        <w:rPr>
          <w:rFonts w:ascii="Times New Roman" w:hAnsi="Times New Roman"/>
          <w:color w:val="000000"/>
          <w:vertAlign w:val="superscript"/>
        </w:rPr>
        <w:t>3</w:t>
      </w:r>
      <w:r w:rsidRPr="009553E8">
        <w:rPr>
          <w:rFonts w:ascii="Times New Roman" w:hAnsi="Times New Roman"/>
          <w:color w:val="000000"/>
        </w:rPr>
        <w:t xml:space="preserve"> każdy,</w:t>
      </w:r>
    </w:p>
    <w:p w:rsidR="009553E8" w:rsidRDefault="009553E8" w:rsidP="00232F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zbiornik na płyn AdBlue o poj. 5m</w:t>
      </w:r>
      <w:r w:rsidRPr="009553E8">
        <w:rPr>
          <w:rFonts w:ascii="Times New Roman" w:hAnsi="Times New Roman"/>
          <w:color w:val="000000"/>
          <w:vertAlign w:val="superscript"/>
        </w:rPr>
        <w:t>3</w:t>
      </w:r>
      <w:r w:rsidRPr="009553E8">
        <w:rPr>
          <w:rFonts w:ascii="Times New Roman" w:hAnsi="Times New Roman"/>
          <w:color w:val="000000"/>
        </w:rPr>
        <w:t>,</w:t>
      </w:r>
    </w:p>
    <w:p w:rsidR="009553E8" w:rsidRDefault="009553E8" w:rsidP="00232F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1 odmierzacz jednostronny, dwuwężowy 40 l/minutę i 120 l/minutę,</w:t>
      </w:r>
    </w:p>
    <w:p w:rsidR="009553E8" w:rsidRDefault="009553E8" w:rsidP="00232F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1 odmierzacz jednostronny, jednowężowy na AdBlue,</w:t>
      </w:r>
    </w:p>
    <w:p w:rsidR="009553E8" w:rsidRPr="009553E8" w:rsidRDefault="009553E8" w:rsidP="00232F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1 stanowisko nalewcze, jedno ramię nalewcze do autocystern.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Pojemność magazynowa dla poszczególnych produktów wynosi:</w:t>
      </w:r>
    </w:p>
    <w:p w:rsidR="009553E8" w:rsidRDefault="009553E8" w:rsidP="00232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olej napędowy - V = 140 m</w:t>
      </w:r>
      <w:r w:rsidRPr="009553E8">
        <w:rPr>
          <w:rFonts w:ascii="Times New Roman" w:hAnsi="Times New Roman"/>
          <w:color w:val="000000"/>
          <w:vertAlign w:val="superscript"/>
        </w:rPr>
        <w:t>3</w:t>
      </w:r>
      <w:r w:rsidRPr="009553E8">
        <w:rPr>
          <w:rFonts w:ascii="Times New Roman" w:hAnsi="Times New Roman"/>
          <w:color w:val="000000"/>
        </w:rPr>
        <w:t>,</w:t>
      </w:r>
    </w:p>
    <w:p w:rsidR="009553E8" w:rsidRDefault="009553E8" w:rsidP="00232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olej opałowy - V = 60 m</w:t>
      </w:r>
      <w:r w:rsidRPr="009553E8">
        <w:rPr>
          <w:rFonts w:ascii="Times New Roman" w:hAnsi="Times New Roman"/>
          <w:color w:val="000000"/>
          <w:vertAlign w:val="superscript"/>
        </w:rPr>
        <w:t>3</w:t>
      </w:r>
      <w:r w:rsidRPr="009553E8">
        <w:rPr>
          <w:rFonts w:ascii="Times New Roman" w:hAnsi="Times New Roman"/>
          <w:color w:val="000000"/>
        </w:rPr>
        <w:t>,</w:t>
      </w:r>
    </w:p>
    <w:p w:rsidR="009553E8" w:rsidRPr="009553E8" w:rsidRDefault="009553E8" w:rsidP="00232F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płyn AdBlue - V = 5 m</w:t>
      </w:r>
      <w:r w:rsidRPr="009553E8">
        <w:rPr>
          <w:rFonts w:ascii="Times New Roman" w:hAnsi="Times New Roman"/>
          <w:color w:val="000000"/>
          <w:vertAlign w:val="superscript"/>
        </w:rPr>
        <w:t>3</w:t>
      </w:r>
      <w:r w:rsidRPr="009553E8">
        <w:rPr>
          <w:rFonts w:ascii="Times New Roman" w:hAnsi="Times New Roman"/>
          <w:color w:val="000000"/>
        </w:rPr>
        <w:t>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Instalacja technologiczna stacji umożliwia:</w:t>
      </w:r>
    </w:p>
    <w:p w:rsidR="009553E8" w:rsidRDefault="009553E8" w:rsidP="00232F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przyjmowanie produktów z autocystern do zbiorników magazynowych;</w:t>
      </w:r>
    </w:p>
    <w:p w:rsidR="009553E8" w:rsidRDefault="009553E8" w:rsidP="00232F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bezpieczne magazynowanie produktów;</w:t>
      </w:r>
    </w:p>
    <w:p w:rsidR="009553E8" w:rsidRDefault="009553E8" w:rsidP="00232F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wydawanie produktów z odmierzaczy do zbiorników pojazdów</w:t>
      </w:r>
      <w:r>
        <w:rPr>
          <w:rFonts w:ascii="Times New Roman" w:hAnsi="Times New Roman"/>
          <w:color w:val="000000"/>
        </w:rPr>
        <w:t xml:space="preserve"> </w:t>
      </w:r>
      <w:r w:rsidRPr="009553E8">
        <w:rPr>
          <w:rFonts w:ascii="Times New Roman" w:hAnsi="Times New Roman"/>
          <w:color w:val="000000"/>
        </w:rPr>
        <w:t>samochodowych;</w:t>
      </w:r>
    </w:p>
    <w:p w:rsidR="009553E8" w:rsidRDefault="009553E8" w:rsidP="00232F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nadzór i bilansowanie ilości produktów w zbiornikach, ilości wydanych</w:t>
      </w:r>
      <w:r>
        <w:rPr>
          <w:rFonts w:ascii="Times New Roman" w:hAnsi="Times New Roman"/>
          <w:color w:val="000000"/>
        </w:rPr>
        <w:t xml:space="preserve"> </w:t>
      </w:r>
      <w:r w:rsidRPr="009553E8">
        <w:rPr>
          <w:rFonts w:ascii="Times New Roman" w:hAnsi="Times New Roman"/>
          <w:color w:val="000000"/>
        </w:rPr>
        <w:t>produktów;</w:t>
      </w:r>
      <w:r>
        <w:rPr>
          <w:rFonts w:ascii="Times New Roman" w:hAnsi="Times New Roman"/>
          <w:color w:val="000000"/>
        </w:rPr>
        <w:t xml:space="preserve"> </w:t>
      </w:r>
    </w:p>
    <w:p w:rsidR="009553E8" w:rsidRPr="009553E8" w:rsidRDefault="009553E8" w:rsidP="00232F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553E8">
        <w:rPr>
          <w:rFonts w:ascii="Times New Roman" w:hAnsi="Times New Roman"/>
          <w:color w:val="000000"/>
        </w:rPr>
        <w:t>załadunek autocysterny poprzez wykorzystanie infrastruktury urządzeń</w:t>
      </w:r>
      <w:r>
        <w:rPr>
          <w:rFonts w:ascii="Times New Roman" w:hAnsi="Times New Roman"/>
          <w:color w:val="000000"/>
        </w:rPr>
        <w:t xml:space="preserve"> </w:t>
      </w:r>
      <w:r w:rsidRPr="009553E8">
        <w:rPr>
          <w:rFonts w:ascii="Times New Roman" w:hAnsi="Times New Roman"/>
          <w:color w:val="000000"/>
        </w:rPr>
        <w:t>nalewczych bądź przy wykorzystaniu pompy autocysterny i sprzedaż paliwa</w:t>
      </w:r>
      <w:r>
        <w:rPr>
          <w:rFonts w:ascii="Times New Roman" w:hAnsi="Times New Roman"/>
          <w:color w:val="000000"/>
        </w:rPr>
        <w:t xml:space="preserve"> </w:t>
      </w:r>
      <w:r w:rsidRPr="009553E8">
        <w:rPr>
          <w:rFonts w:ascii="Times New Roman" w:hAnsi="Times New Roman"/>
          <w:color w:val="000000"/>
        </w:rPr>
        <w:t>z dowozem do klienta.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Produkty będą dostarczane autocysternami prz</w:t>
      </w:r>
      <w:r>
        <w:rPr>
          <w:rFonts w:ascii="Times New Roman" w:hAnsi="Times New Roman" w:cs="Times New Roman"/>
          <w:color w:val="000000"/>
        </w:rPr>
        <w:t xml:space="preserve">eznaczonymi do transportu paliw </w:t>
      </w:r>
      <w:r w:rsidRPr="009553E8">
        <w:rPr>
          <w:rFonts w:ascii="Times New Roman" w:hAnsi="Times New Roman" w:cs="Times New Roman"/>
          <w:color w:val="000000"/>
        </w:rPr>
        <w:t>płynnych. Zrzut produktów odbywać się będzie grawitac</w:t>
      </w:r>
      <w:r>
        <w:rPr>
          <w:rFonts w:ascii="Times New Roman" w:hAnsi="Times New Roman" w:cs="Times New Roman"/>
          <w:color w:val="000000"/>
        </w:rPr>
        <w:t xml:space="preserve">yjnie na wydzielonym stanowisku </w:t>
      </w:r>
      <w:r w:rsidRPr="009553E8">
        <w:rPr>
          <w:rFonts w:ascii="Times New Roman" w:hAnsi="Times New Roman" w:cs="Times New Roman"/>
          <w:color w:val="000000"/>
        </w:rPr>
        <w:t>rozładowczym, usytuowanym przy płycie szczelnej.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Podczas operacji spustu opary benzyny ze zbiornika</w:t>
      </w:r>
      <w:r>
        <w:rPr>
          <w:rFonts w:ascii="Times New Roman" w:hAnsi="Times New Roman" w:cs="Times New Roman"/>
          <w:color w:val="000000"/>
        </w:rPr>
        <w:t xml:space="preserve"> magazynowego zawrócone zostaną </w:t>
      </w:r>
      <w:r w:rsidRPr="009553E8">
        <w:rPr>
          <w:rFonts w:ascii="Times New Roman" w:hAnsi="Times New Roman" w:cs="Times New Roman"/>
          <w:color w:val="000000"/>
        </w:rPr>
        <w:t>do komory autocysterny.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Komora zbiornika paliwowego będzie zab</w:t>
      </w:r>
      <w:r>
        <w:rPr>
          <w:rFonts w:ascii="Times New Roman" w:hAnsi="Times New Roman" w:cs="Times New Roman"/>
          <w:color w:val="000000"/>
        </w:rPr>
        <w:t xml:space="preserve">ezpieczona przed przepełnieniem </w:t>
      </w:r>
      <w:r w:rsidRPr="009553E8">
        <w:rPr>
          <w:rFonts w:ascii="Times New Roman" w:hAnsi="Times New Roman" w:cs="Times New Roman"/>
          <w:color w:val="000000"/>
        </w:rPr>
        <w:t xml:space="preserve">mechanicznym zaworem antyprzepełnieniowym, </w:t>
      </w:r>
      <w:r>
        <w:rPr>
          <w:rFonts w:ascii="Times New Roman" w:hAnsi="Times New Roman" w:cs="Times New Roman"/>
          <w:color w:val="000000"/>
        </w:rPr>
        <w:t xml:space="preserve">zamontowanym na rurze spustowej </w:t>
      </w:r>
      <w:r w:rsidRPr="009553E8">
        <w:rPr>
          <w:rFonts w:ascii="Times New Roman" w:hAnsi="Times New Roman" w:cs="Times New Roman"/>
          <w:color w:val="000000"/>
        </w:rPr>
        <w:t>czujnikiem kontaktowym paliwa, zainstalowanym na króćcu stanu maksymalnego.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Zbiorniki do przechowywania paliw płynnych p</w:t>
      </w:r>
      <w:r>
        <w:rPr>
          <w:rFonts w:ascii="Times New Roman" w:hAnsi="Times New Roman" w:cs="Times New Roman"/>
          <w:color w:val="000000"/>
        </w:rPr>
        <w:t xml:space="preserve">rzewidziano jako dwupłaszczowe, </w:t>
      </w:r>
      <w:r w:rsidRPr="009553E8">
        <w:rPr>
          <w:rFonts w:ascii="Times New Roman" w:hAnsi="Times New Roman" w:cs="Times New Roman"/>
          <w:color w:val="000000"/>
        </w:rPr>
        <w:t>wyposażone w system monitoringu szczelności, sys</w:t>
      </w:r>
      <w:r>
        <w:rPr>
          <w:rFonts w:ascii="Times New Roman" w:hAnsi="Times New Roman" w:cs="Times New Roman"/>
          <w:color w:val="000000"/>
        </w:rPr>
        <w:t xml:space="preserve">tem zapobiegający przepełnieniu </w:t>
      </w:r>
      <w:r w:rsidRPr="009553E8">
        <w:rPr>
          <w:rFonts w:ascii="Times New Roman" w:hAnsi="Times New Roman" w:cs="Times New Roman"/>
          <w:color w:val="000000"/>
        </w:rPr>
        <w:t>i zmieszaniu paliw oraz w króćce odgazowania.</w:t>
      </w:r>
    </w:p>
    <w:p w:rsid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Dostawa paliw będzie się odbywała typowymi autocy</w:t>
      </w:r>
      <w:r>
        <w:rPr>
          <w:rFonts w:ascii="Times New Roman" w:hAnsi="Times New Roman" w:cs="Times New Roman"/>
          <w:color w:val="000000"/>
        </w:rPr>
        <w:t xml:space="preserve">sternami ze składów i baz paliw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z częstotliwością zależną od wielkości sprzedaży paliw i</w:t>
      </w:r>
      <w:r>
        <w:rPr>
          <w:rFonts w:ascii="Times New Roman" w:hAnsi="Times New Roman" w:cs="Times New Roman"/>
          <w:color w:val="000000"/>
        </w:rPr>
        <w:t xml:space="preserve"> wielkości jednorazowej dostawy </w:t>
      </w:r>
      <w:r w:rsidRPr="009553E8">
        <w:rPr>
          <w:rFonts w:ascii="Times New Roman" w:hAnsi="Times New Roman" w:cs="Times New Roman"/>
          <w:color w:val="000000"/>
        </w:rPr>
        <w:t>paliw. Rozładunek paliw będzie odbywał się poprzez grawitacyjny spływ produktów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9553E8">
        <w:rPr>
          <w:rFonts w:ascii="Times New Roman" w:hAnsi="Times New Roman" w:cs="Times New Roman"/>
          <w:color w:val="000000"/>
        </w:rPr>
        <w:t>do podziemnych zbiorników. Cysterna powinna być w</w:t>
      </w:r>
      <w:r>
        <w:rPr>
          <w:rFonts w:ascii="Times New Roman" w:hAnsi="Times New Roman" w:cs="Times New Roman"/>
          <w:color w:val="000000"/>
        </w:rPr>
        <w:t xml:space="preserve">yposażona w system hermetyzacji </w:t>
      </w:r>
      <w:r w:rsidRPr="009553E8">
        <w:rPr>
          <w:rFonts w:ascii="Times New Roman" w:hAnsi="Times New Roman" w:cs="Times New Roman"/>
          <w:color w:val="000000"/>
        </w:rPr>
        <w:t>rozładunku, tzw. wahadło gazowe. W tym celu stanowisko zlewowe, oprócz króćców do zlewu</w:t>
      </w:r>
      <w:r>
        <w:rPr>
          <w:rFonts w:ascii="Times New Roman" w:hAnsi="Times New Roman" w:cs="Times New Roman"/>
          <w:color w:val="000000"/>
        </w:rPr>
        <w:t xml:space="preserve"> </w:t>
      </w:r>
      <w:r w:rsidRPr="009553E8">
        <w:rPr>
          <w:rFonts w:ascii="Times New Roman" w:hAnsi="Times New Roman" w:cs="Times New Roman"/>
          <w:color w:val="000000"/>
        </w:rPr>
        <w:t xml:space="preserve">paliwa, wyposażone zostanie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w specjalną armaturę przyłączeniową umożliwiającą</w:t>
      </w:r>
      <w:r>
        <w:rPr>
          <w:rFonts w:ascii="Times New Roman" w:hAnsi="Times New Roman" w:cs="Times New Roman"/>
          <w:color w:val="000000"/>
        </w:rPr>
        <w:t xml:space="preserve"> złączenie </w:t>
      </w:r>
      <w:r w:rsidRPr="009553E8">
        <w:rPr>
          <w:rFonts w:ascii="Times New Roman" w:hAnsi="Times New Roman" w:cs="Times New Roman"/>
          <w:color w:val="000000"/>
        </w:rPr>
        <w:t>odpowiednich przestrzeni gazowych cysterny i zbiornika</w:t>
      </w:r>
      <w:r>
        <w:rPr>
          <w:rFonts w:ascii="Times New Roman" w:hAnsi="Times New Roman" w:cs="Times New Roman"/>
          <w:color w:val="000000"/>
        </w:rPr>
        <w:t xml:space="preserve">. Podczas operacji spustu opary </w:t>
      </w:r>
      <w:r w:rsidRPr="009553E8">
        <w:rPr>
          <w:rFonts w:ascii="Times New Roman" w:hAnsi="Times New Roman" w:cs="Times New Roman"/>
          <w:color w:val="000000"/>
        </w:rPr>
        <w:t>ze zbiornika magazynowego zwracane będą do komory aut</w:t>
      </w:r>
      <w:r>
        <w:rPr>
          <w:rFonts w:ascii="Times New Roman" w:hAnsi="Times New Roman" w:cs="Times New Roman"/>
          <w:color w:val="000000"/>
        </w:rPr>
        <w:t xml:space="preserve">ocysterny. Siłą powodującą ruch </w:t>
      </w:r>
      <w:r w:rsidRPr="009553E8">
        <w:rPr>
          <w:rFonts w:ascii="Times New Roman" w:hAnsi="Times New Roman" w:cs="Times New Roman"/>
          <w:color w:val="000000"/>
        </w:rPr>
        <w:t xml:space="preserve">oparów jest podciśnienie w komorze autocysterny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i nadciśnienie w zbiorniku</w:t>
      </w:r>
      <w:r>
        <w:rPr>
          <w:rFonts w:ascii="Times New Roman" w:hAnsi="Times New Roman" w:cs="Times New Roman"/>
          <w:color w:val="000000"/>
        </w:rPr>
        <w:t xml:space="preserve"> magazynowym. </w:t>
      </w:r>
      <w:r w:rsidRPr="009553E8">
        <w:rPr>
          <w:rFonts w:ascii="Times New Roman" w:hAnsi="Times New Roman" w:cs="Times New Roman"/>
          <w:color w:val="000000"/>
        </w:rPr>
        <w:t>Zawory oddechowe, łączące rurociągi gazowe z atmo</w:t>
      </w:r>
      <w:r>
        <w:rPr>
          <w:rFonts w:ascii="Times New Roman" w:hAnsi="Times New Roman" w:cs="Times New Roman"/>
          <w:color w:val="000000"/>
        </w:rPr>
        <w:t xml:space="preserve">sferą, posiadają takie nastawy, </w:t>
      </w:r>
      <w:r w:rsidRPr="009553E8">
        <w:rPr>
          <w:rFonts w:ascii="Times New Roman" w:hAnsi="Times New Roman" w:cs="Times New Roman"/>
          <w:color w:val="000000"/>
        </w:rPr>
        <w:t>aby podczas operacji zwracania oparów nie nastąpił</w:t>
      </w:r>
      <w:r>
        <w:rPr>
          <w:rFonts w:ascii="Times New Roman" w:hAnsi="Times New Roman" w:cs="Times New Roman"/>
          <w:color w:val="000000"/>
        </w:rPr>
        <w:t xml:space="preserve">o zasysanie powietrza do komory </w:t>
      </w:r>
      <w:r w:rsidRPr="009553E8">
        <w:rPr>
          <w:rFonts w:ascii="Times New Roman" w:hAnsi="Times New Roman" w:cs="Times New Roman"/>
          <w:color w:val="000000"/>
        </w:rPr>
        <w:t>autocysterny lub wydmuch oparów do atmosfery.</w:t>
      </w:r>
    </w:p>
    <w:p w:rsidR="009553E8" w:rsidRP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Zgodnie z treścią dokumentacji, wnioskowa</w:t>
      </w:r>
      <w:r>
        <w:rPr>
          <w:rFonts w:ascii="Times New Roman" w:hAnsi="Times New Roman" w:cs="Times New Roman"/>
          <w:color w:val="000000"/>
        </w:rPr>
        <w:t xml:space="preserve">na inwestycja zostanie wykonana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 xml:space="preserve">z uwzględnieniem wszystkich wymogów dla </w:t>
      </w:r>
      <w:r>
        <w:rPr>
          <w:rFonts w:ascii="Times New Roman" w:hAnsi="Times New Roman" w:cs="Times New Roman"/>
          <w:color w:val="000000"/>
        </w:rPr>
        <w:t xml:space="preserve">tego typu obiektów, określonych </w:t>
      </w:r>
      <w:r w:rsidRPr="009553E8">
        <w:rPr>
          <w:rFonts w:ascii="Times New Roman" w:hAnsi="Times New Roman" w:cs="Times New Roman"/>
          <w:color w:val="000000"/>
        </w:rPr>
        <w:t>w rozporządzeniu Ministra Klimatu i Środowiska z dnia 24 l</w:t>
      </w:r>
      <w:r>
        <w:rPr>
          <w:rFonts w:ascii="Times New Roman" w:hAnsi="Times New Roman" w:cs="Times New Roman"/>
          <w:color w:val="000000"/>
        </w:rPr>
        <w:t xml:space="preserve">ipca 2023 r. w sprawie warunków </w:t>
      </w:r>
      <w:r w:rsidRPr="009553E8">
        <w:rPr>
          <w:rFonts w:ascii="Times New Roman" w:hAnsi="Times New Roman" w:cs="Times New Roman"/>
          <w:color w:val="000000"/>
        </w:rPr>
        <w:t>technicznych, jakim powinny odpowiadać bazy i stacje pal</w:t>
      </w:r>
      <w:r>
        <w:rPr>
          <w:rFonts w:ascii="Times New Roman" w:hAnsi="Times New Roman" w:cs="Times New Roman"/>
          <w:color w:val="000000"/>
        </w:rPr>
        <w:t xml:space="preserve">iw płynnych, bazy i stacje gazu </w:t>
      </w:r>
      <w:r w:rsidRPr="009553E8">
        <w:rPr>
          <w:rFonts w:ascii="Times New Roman" w:hAnsi="Times New Roman" w:cs="Times New Roman"/>
          <w:color w:val="000000"/>
        </w:rPr>
        <w:t>płynnego, rurociągi przesyłowe dalekosiężne służące do trans</w:t>
      </w:r>
      <w:r>
        <w:rPr>
          <w:rFonts w:ascii="Times New Roman" w:hAnsi="Times New Roman" w:cs="Times New Roman"/>
          <w:color w:val="000000"/>
        </w:rPr>
        <w:t xml:space="preserve">portu ropy naftowej i produktów </w:t>
      </w:r>
      <w:r w:rsidRPr="009553E8">
        <w:rPr>
          <w:rFonts w:ascii="Times New Roman" w:hAnsi="Times New Roman" w:cs="Times New Roman"/>
          <w:color w:val="000000"/>
        </w:rPr>
        <w:t>naftowych i ich usytuowanie (</w:t>
      </w:r>
      <w:r w:rsidR="00147181">
        <w:rPr>
          <w:rFonts w:ascii="Times New Roman" w:hAnsi="Times New Roman" w:cs="Times New Roman"/>
          <w:color w:val="000000"/>
        </w:rPr>
        <w:t xml:space="preserve">tekst jednolity: </w:t>
      </w:r>
      <w:r w:rsidRPr="009553E8">
        <w:rPr>
          <w:rFonts w:ascii="Times New Roman" w:hAnsi="Times New Roman" w:cs="Times New Roman"/>
          <w:color w:val="000000"/>
        </w:rPr>
        <w:t xml:space="preserve">Dz. U. </w:t>
      </w:r>
      <w:r w:rsidR="00147181">
        <w:rPr>
          <w:rFonts w:ascii="Times New Roman" w:hAnsi="Times New Roman" w:cs="Times New Roman"/>
          <w:color w:val="000000"/>
        </w:rPr>
        <w:t>z 2023 r., poz. 1707</w:t>
      </w:r>
      <w:r w:rsidRPr="009553E8">
        <w:rPr>
          <w:rFonts w:ascii="Times New Roman" w:hAnsi="Times New Roman" w:cs="Times New Roman"/>
          <w:color w:val="000000"/>
        </w:rPr>
        <w:t>).</w:t>
      </w:r>
    </w:p>
    <w:p w:rsidR="009553E8" w:rsidRDefault="009553E8" w:rsidP="0095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Na terenie projektowanego zadania nie występują obsz</w:t>
      </w:r>
      <w:r>
        <w:rPr>
          <w:rFonts w:ascii="Times New Roman" w:hAnsi="Times New Roman" w:cs="Times New Roman"/>
          <w:color w:val="000000"/>
        </w:rPr>
        <w:t xml:space="preserve">ary: wodno-błotne, inne obszary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o płytkim zaleganiu wód podziemnych, w tym sie</w:t>
      </w:r>
      <w:r>
        <w:rPr>
          <w:rFonts w:ascii="Times New Roman" w:hAnsi="Times New Roman" w:cs="Times New Roman"/>
          <w:color w:val="000000"/>
        </w:rPr>
        <w:t xml:space="preserve">dliska łęgowe oraz ujścia rzek, </w:t>
      </w:r>
      <w:r w:rsidRPr="009553E8">
        <w:rPr>
          <w:rFonts w:ascii="Times New Roman" w:hAnsi="Times New Roman" w:cs="Times New Roman"/>
          <w:color w:val="000000"/>
        </w:rPr>
        <w:t xml:space="preserve">obszary wybrzeży </w:t>
      </w:r>
      <w:r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i środowisko morskie, obszary górskie lub</w:t>
      </w:r>
      <w:r>
        <w:rPr>
          <w:rFonts w:ascii="Times New Roman" w:hAnsi="Times New Roman" w:cs="Times New Roman"/>
          <w:color w:val="000000"/>
        </w:rPr>
        <w:t xml:space="preserve"> leśne; obszary objęte ochroną, </w:t>
      </w:r>
      <w:r w:rsidRPr="009553E8">
        <w:rPr>
          <w:rFonts w:ascii="Times New Roman" w:hAnsi="Times New Roman" w:cs="Times New Roman"/>
          <w:color w:val="000000"/>
        </w:rPr>
        <w:t>w tym strefy ochronne ujęć wód i obszary ochron</w:t>
      </w:r>
      <w:r>
        <w:rPr>
          <w:rFonts w:ascii="Times New Roman" w:hAnsi="Times New Roman" w:cs="Times New Roman"/>
          <w:color w:val="000000"/>
        </w:rPr>
        <w:t xml:space="preserve">ne zbiorników wód śródlądowych; </w:t>
      </w:r>
      <w:r w:rsidRPr="009553E8">
        <w:rPr>
          <w:rFonts w:ascii="Times New Roman" w:hAnsi="Times New Roman" w:cs="Times New Roman"/>
          <w:color w:val="000000"/>
        </w:rPr>
        <w:t>obszary wymagające specjalnej ochrony ze względu n</w:t>
      </w:r>
      <w:r>
        <w:rPr>
          <w:rFonts w:ascii="Times New Roman" w:hAnsi="Times New Roman" w:cs="Times New Roman"/>
          <w:color w:val="000000"/>
        </w:rPr>
        <w:t xml:space="preserve">a występowanie gatunków roślin, </w:t>
      </w:r>
      <w:r w:rsidRPr="009553E8">
        <w:rPr>
          <w:rFonts w:ascii="Times New Roman" w:hAnsi="Times New Roman" w:cs="Times New Roman"/>
          <w:color w:val="000000"/>
        </w:rPr>
        <w:t>grzybów i zwierząt lub ich siedlisk lub siedlisk p</w:t>
      </w:r>
      <w:r>
        <w:rPr>
          <w:rFonts w:ascii="Times New Roman" w:hAnsi="Times New Roman" w:cs="Times New Roman"/>
          <w:color w:val="000000"/>
        </w:rPr>
        <w:t xml:space="preserve">rzyrodniczych objętych ochroną, </w:t>
      </w:r>
      <w:r w:rsidRPr="009553E8">
        <w:rPr>
          <w:rFonts w:ascii="Times New Roman" w:hAnsi="Times New Roman" w:cs="Times New Roman"/>
          <w:color w:val="000000"/>
        </w:rPr>
        <w:t>w tym obszary Natura 2000 oraz pozostałe formy ochro</w:t>
      </w:r>
      <w:r>
        <w:rPr>
          <w:rFonts w:ascii="Times New Roman" w:hAnsi="Times New Roman" w:cs="Times New Roman"/>
          <w:color w:val="000000"/>
        </w:rPr>
        <w:t xml:space="preserve">ny przyrody, obszary na których </w:t>
      </w:r>
      <w:r w:rsidRPr="009553E8">
        <w:rPr>
          <w:rFonts w:ascii="Times New Roman" w:hAnsi="Times New Roman" w:cs="Times New Roman"/>
          <w:color w:val="000000"/>
        </w:rPr>
        <w:t xml:space="preserve">standardy jakości środowiska zostały przekroczone </w:t>
      </w:r>
      <w:r>
        <w:rPr>
          <w:rFonts w:ascii="Times New Roman" w:hAnsi="Times New Roman" w:cs="Times New Roman"/>
          <w:color w:val="000000"/>
        </w:rPr>
        <w:t xml:space="preserve">lub istnieje prawdopodobieństwo </w:t>
      </w:r>
      <w:r w:rsidRPr="009553E8">
        <w:rPr>
          <w:rFonts w:ascii="Times New Roman" w:hAnsi="Times New Roman" w:cs="Times New Roman"/>
          <w:color w:val="000000"/>
        </w:rPr>
        <w:t>ich przekroczenia, obszary o krajobrazie mającym z</w:t>
      </w:r>
      <w:r>
        <w:rPr>
          <w:rFonts w:ascii="Times New Roman" w:hAnsi="Times New Roman" w:cs="Times New Roman"/>
          <w:color w:val="000000"/>
        </w:rPr>
        <w:t xml:space="preserve">naczenie historyczne, kulturowe </w:t>
      </w:r>
      <w:r w:rsidRPr="009553E8">
        <w:rPr>
          <w:rFonts w:ascii="Times New Roman" w:hAnsi="Times New Roman" w:cs="Times New Roman"/>
          <w:color w:val="000000"/>
        </w:rPr>
        <w:t>lub archeologiczne, przylegające do jezior, jak również obszary ochrony uzdrowiskowej.</w:t>
      </w:r>
    </w:p>
    <w:p w:rsidR="007F5AE8" w:rsidRDefault="009553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>W dniu 26 czerwca 2023 r. Sejmik Województ</w:t>
      </w:r>
      <w:r>
        <w:rPr>
          <w:rFonts w:ascii="Times New Roman" w:hAnsi="Times New Roman" w:cs="Times New Roman"/>
          <w:color w:val="000000"/>
        </w:rPr>
        <w:t xml:space="preserve">wa Kujawsko-Pomorskiego przyjął </w:t>
      </w:r>
      <w:r w:rsidRPr="009553E8">
        <w:rPr>
          <w:rFonts w:ascii="Times New Roman" w:hAnsi="Times New Roman" w:cs="Times New Roman"/>
          <w:color w:val="000000"/>
        </w:rPr>
        <w:t xml:space="preserve">uchwałę </w:t>
      </w:r>
      <w:r w:rsidR="00147181"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Nr LIX/803/23 w sprawie określenia 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9553E8">
        <w:rPr>
          <w:rFonts w:ascii="Times New Roman" w:hAnsi="Times New Roman" w:cs="Times New Roman"/>
          <w:color w:val="000000"/>
        </w:rPr>
        <w:t>zawieszonego PM10, PM2,5 oraz benzo(a)pirenu dla strefy m</w:t>
      </w:r>
      <w:r>
        <w:rPr>
          <w:rFonts w:ascii="Times New Roman" w:hAnsi="Times New Roman" w:cs="Times New Roman"/>
          <w:color w:val="000000"/>
        </w:rPr>
        <w:t xml:space="preserve">iasto </w:t>
      </w:r>
      <w:r w:rsidR="005431D9">
        <w:rPr>
          <w:rFonts w:ascii="Times New Roman" w:hAnsi="Times New Roman" w:cs="Times New Roman"/>
          <w:color w:val="000000"/>
        </w:rPr>
        <w:t>Toruń</w:t>
      </w:r>
      <w:r>
        <w:rPr>
          <w:rFonts w:ascii="Times New Roman" w:hAnsi="Times New Roman" w:cs="Times New Roman"/>
          <w:color w:val="000000"/>
        </w:rPr>
        <w:t xml:space="preserve"> - aktualizacja. </w:t>
      </w:r>
      <w:r w:rsidRPr="009553E8">
        <w:rPr>
          <w:rFonts w:ascii="Times New Roman" w:hAnsi="Times New Roman" w:cs="Times New Roman"/>
          <w:color w:val="000000"/>
        </w:rPr>
        <w:t xml:space="preserve">Program ochrony powietrza </w:t>
      </w:r>
      <w:r w:rsidR="007F5AE8"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w zakresi</w:t>
      </w:r>
      <w:r w:rsidR="007F5AE8">
        <w:rPr>
          <w:rFonts w:ascii="Times New Roman" w:hAnsi="Times New Roman" w:cs="Times New Roman"/>
          <w:color w:val="000000"/>
        </w:rPr>
        <w:t xml:space="preserve">e pyłu zawieszonego PM10, PM2,5 </w:t>
      </w:r>
      <w:r w:rsidRPr="009553E8">
        <w:rPr>
          <w:rFonts w:ascii="Times New Roman" w:hAnsi="Times New Roman" w:cs="Times New Roman"/>
          <w:color w:val="000000"/>
        </w:rPr>
        <w:t>oraz benzo(a)pirenu dla strefy miasto Toruń – ak</w:t>
      </w:r>
      <w:r w:rsidR="007F5AE8">
        <w:rPr>
          <w:rFonts w:ascii="Times New Roman" w:hAnsi="Times New Roman" w:cs="Times New Roman"/>
          <w:color w:val="000000"/>
        </w:rPr>
        <w:t xml:space="preserve">tualizacja stanowi aktualizację </w:t>
      </w:r>
      <w:r w:rsidRPr="009553E8">
        <w:rPr>
          <w:rFonts w:ascii="Times New Roman" w:hAnsi="Times New Roman" w:cs="Times New Roman"/>
          <w:color w:val="000000"/>
        </w:rPr>
        <w:t>obowiązującego dotychczas „Programu ochrony powietr</w:t>
      </w:r>
      <w:r w:rsidR="007F5AE8">
        <w:rPr>
          <w:rFonts w:ascii="Times New Roman" w:hAnsi="Times New Roman" w:cs="Times New Roman"/>
          <w:color w:val="000000"/>
        </w:rPr>
        <w:t xml:space="preserve">za </w:t>
      </w:r>
      <w:r w:rsidR="007F5AE8">
        <w:rPr>
          <w:rFonts w:ascii="Times New Roman" w:hAnsi="Times New Roman" w:cs="Times New Roman"/>
          <w:color w:val="000000"/>
        </w:rPr>
        <w:br/>
        <w:t xml:space="preserve">w zakresie pyłu zawieszonego </w:t>
      </w:r>
      <w:r w:rsidRPr="009553E8">
        <w:rPr>
          <w:rFonts w:ascii="Times New Roman" w:hAnsi="Times New Roman" w:cs="Times New Roman"/>
          <w:color w:val="000000"/>
        </w:rPr>
        <w:t>PM10 oraz benzo(a)pirenu dla strefy mi</w:t>
      </w:r>
      <w:r w:rsidR="007F5AE8">
        <w:rPr>
          <w:rFonts w:ascii="Times New Roman" w:hAnsi="Times New Roman" w:cs="Times New Roman"/>
          <w:color w:val="000000"/>
        </w:rPr>
        <w:t xml:space="preserve">asto Toruń” określonego uchwałą </w:t>
      </w:r>
      <w:r w:rsidRPr="009553E8">
        <w:rPr>
          <w:rFonts w:ascii="Times New Roman" w:hAnsi="Times New Roman" w:cs="Times New Roman"/>
          <w:color w:val="000000"/>
        </w:rPr>
        <w:t>Nr XXIII/341/20 Sejmiku Województwa Kujawsko-Pomorsk</w:t>
      </w:r>
      <w:r w:rsidR="007F5AE8">
        <w:rPr>
          <w:rFonts w:ascii="Times New Roman" w:hAnsi="Times New Roman" w:cs="Times New Roman"/>
          <w:color w:val="000000"/>
        </w:rPr>
        <w:t xml:space="preserve">iego z dnia 22 czerwca 2020 r., </w:t>
      </w:r>
      <w:r w:rsidRPr="009553E8">
        <w:rPr>
          <w:rFonts w:ascii="Times New Roman" w:hAnsi="Times New Roman" w:cs="Times New Roman"/>
          <w:color w:val="000000"/>
        </w:rPr>
        <w:t>w zakresie pyłu zawieszonego PM10 oraz benzo(a)pirenu, a także uwzględ</w:t>
      </w:r>
      <w:r w:rsidR="007F5AE8">
        <w:rPr>
          <w:rFonts w:ascii="Times New Roman" w:hAnsi="Times New Roman" w:cs="Times New Roman"/>
          <w:color w:val="000000"/>
        </w:rPr>
        <w:t xml:space="preserve">nia pył zawieszony </w:t>
      </w:r>
      <w:r w:rsidRPr="009553E8">
        <w:rPr>
          <w:rFonts w:ascii="Times New Roman" w:hAnsi="Times New Roman" w:cs="Times New Roman"/>
          <w:color w:val="000000"/>
        </w:rPr>
        <w:t>PM2,5. Został opracowany w związku z odnotowaniem w 2</w:t>
      </w:r>
      <w:r w:rsidR="007F5AE8">
        <w:rPr>
          <w:rFonts w:ascii="Times New Roman" w:hAnsi="Times New Roman" w:cs="Times New Roman"/>
          <w:color w:val="000000"/>
        </w:rPr>
        <w:t xml:space="preserve">021 r. przekroczenia standardów </w:t>
      </w:r>
      <w:r w:rsidRPr="009553E8">
        <w:rPr>
          <w:rFonts w:ascii="Times New Roman" w:hAnsi="Times New Roman" w:cs="Times New Roman"/>
          <w:color w:val="000000"/>
        </w:rPr>
        <w:t>jakości powietrza – średniodobowego poziomu d</w:t>
      </w:r>
      <w:r w:rsidR="007F5AE8">
        <w:rPr>
          <w:rFonts w:ascii="Times New Roman" w:hAnsi="Times New Roman" w:cs="Times New Roman"/>
          <w:color w:val="000000"/>
        </w:rPr>
        <w:t xml:space="preserve">opuszczalnego pyłu zawieszonego </w:t>
      </w:r>
      <w:r w:rsidRPr="009553E8">
        <w:rPr>
          <w:rFonts w:ascii="Times New Roman" w:hAnsi="Times New Roman" w:cs="Times New Roman"/>
          <w:color w:val="000000"/>
        </w:rPr>
        <w:t>PM10 oraz średniorocznego poziomu dopuszczalnego pyłu zawieszonego PM2,5 (n</w:t>
      </w:r>
      <w:r w:rsidR="007F5AE8">
        <w:rPr>
          <w:rFonts w:ascii="Times New Roman" w:hAnsi="Times New Roman" w:cs="Times New Roman"/>
          <w:color w:val="000000"/>
        </w:rPr>
        <w:t xml:space="preserve">owego </w:t>
      </w:r>
      <w:r w:rsidRPr="009553E8">
        <w:rPr>
          <w:rFonts w:ascii="Times New Roman" w:hAnsi="Times New Roman" w:cs="Times New Roman"/>
          <w:color w:val="000000"/>
        </w:rPr>
        <w:t>zanieczyszczenia, którego przekroczenie poziomu dopuszcza</w:t>
      </w:r>
      <w:r w:rsidR="007F5AE8">
        <w:rPr>
          <w:rFonts w:ascii="Times New Roman" w:hAnsi="Times New Roman" w:cs="Times New Roman"/>
          <w:color w:val="000000"/>
        </w:rPr>
        <w:t xml:space="preserve">lnego nie wystąpiło w 2018 r.), </w:t>
      </w:r>
      <w:r w:rsidRPr="009553E8">
        <w:rPr>
          <w:rFonts w:ascii="Times New Roman" w:hAnsi="Times New Roman" w:cs="Times New Roman"/>
          <w:color w:val="000000"/>
        </w:rPr>
        <w:t>a także średniorocznego poziomu docelowego be</w:t>
      </w:r>
      <w:r w:rsidR="007F5AE8">
        <w:rPr>
          <w:rFonts w:ascii="Times New Roman" w:hAnsi="Times New Roman" w:cs="Times New Roman"/>
          <w:color w:val="000000"/>
        </w:rPr>
        <w:t xml:space="preserve">nzo(a)pirenu na terenie strefy. </w:t>
      </w:r>
    </w:p>
    <w:p w:rsidR="009553E8" w:rsidRDefault="009553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53E8">
        <w:rPr>
          <w:rFonts w:ascii="Times New Roman" w:hAnsi="Times New Roman" w:cs="Times New Roman"/>
          <w:color w:val="000000"/>
        </w:rPr>
        <w:t xml:space="preserve">Biorąc pod uwagę fakt, </w:t>
      </w:r>
      <w:r w:rsidR="00147181">
        <w:rPr>
          <w:rFonts w:ascii="Times New Roman" w:hAnsi="Times New Roman" w:cs="Times New Roman"/>
          <w:color w:val="000000"/>
        </w:rPr>
        <w:t>że</w:t>
      </w:r>
      <w:r w:rsidRPr="009553E8">
        <w:rPr>
          <w:rFonts w:ascii="Times New Roman" w:hAnsi="Times New Roman" w:cs="Times New Roman"/>
          <w:color w:val="000000"/>
        </w:rPr>
        <w:t xml:space="preserve"> realizacja inwestycji wią</w:t>
      </w:r>
      <w:r w:rsidR="007F5AE8">
        <w:rPr>
          <w:rFonts w:ascii="Times New Roman" w:hAnsi="Times New Roman" w:cs="Times New Roman"/>
          <w:color w:val="000000"/>
        </w:rPr>
        <w:t xml:space="preserve">zała się będzie z koniecznością </w:t>
      </w:r>
      <w:r w:rsidRPr="009553E8">
        <w:rPr>
          <w:rFonts w:ascii="Times New Roman" w:hAnsi="Times New Roman" w:cs="Times New Roman"/>
          <w:color w:val="000000"/>
        </w:rPr>
        <w:t>przeprowadzenia prac budowlano-montażowych, prace te</w:t>
      </w:r>
      <w:r w:rsidR="007F5AE8">
        <w:rPr>
          <w:rFonts w:ascii="Times New Roman" w:hAnsi="Times New Roman" w:cs="Times New Roman"/>
          <w:color w:val="000000"/>
        </w:rPr>
        <w:t xml:space="preserve"> zostaną wykonane ze szczególną </w:t>
      </w:r>
      <w:r w:rsidRPr="009553E8">
        <w:rPr>
          <w:rFonts w:ascii="Times New Roman" w:hAnsi="Times New Roman" w:cs="Times New Roman"/>
          <w:color w:val="000000"/>
        </w:rPr>
        <w:t>ostrożnością, z zastosowaniem technologii możliwie jak najmn</w:t>
      </w:r>
      <w:r w:rsidR="007F5AE8">
        <w:rPr>
          <w:rFonts w:ascii="Times New Roman" w:hAnsi="Times New Roman" w:cs="Times New Roman"/>
          <w:color w:val="000000"/>
        </w:rPr>
        <w:t xml:space="preserve">iej uciążliwej dla najbliższego </w:t>
      </w:r>
      <w:r w:rsidRPr="009553E8">
        <w:rPr>
          <w:rFonts w:ascii="Times New Roman" w:hAnsi="Times New Roman" w:cs="Times New Roman"/>
          <w:color w:val="000000"/>
        </w:rPr>
        <w:t>sąsiedztwa i środowiska. Sprzęt wykorzystywany podczas prac realizacyjnych będzie</w:t>
      </w:r>
      <w:r w:rsidR="007F5AE8">
        <w:rPr>
          <w:rFonts w:ascii="Times New Roman" w:hAnsi="Times New Roman" w:cs="Times New Roman"/>
          <w:color w:val="000000"/>
        </w:rPr>
        <w:t xml:space="preserve"> sprawny </w:t>
      </w:r>
      <w:r w:rsidRPr="009553E8">
        <w:rPr>
          <w:rFonts w:ascii="Times New Roman" w:hAnsi="Times New Roman" w:cs="Times New Roman"/>
          <w:color w:val="000000"/>
        </w:rPr>
        <w:t>technicznie. Ponadto, zarówno plac budowy, jak i fun</w:t>
      </w:r>
      <w:r w:rsidR="007F5AE8">
        <w:rPr>
          <w:rFonts w:ascii="Times New Roman" w:hAnsi="Times New Roman" w:cs="Times New Roman"/>
          <w:color w:val="000000"/>
        </w:rPr>
        <w:t xml:space="preserve">kcjonująca stacja paliw zostaną </w:t>
      </w:r>
      <w:r w:rsidRPr="009553E8">
        <w:rPr>
          <w:rFonts w:ascii="Times New Roman" w:hAnsi="Times New Roman" w:cs="Times New Roman"/>
          <w:color w:val="000000"/>
        </w:rPr>
        <w:t xml:space="preserve">wyposażone </w:t>
      </w:r>
      <w:r w:rsidR="007F5AE8">
        <w:rPr>
          <w:rFonts w:ascii="Times New Roman" w:hAnsi="Times New Roman" w:cs="Times New Roman"/>
          <w:color w:val="000000"/>
        </w:rPr>
        <w:br/>
      </w:r>
      <w:r w:rsidRPr="009553E8">
        <w:rPr>
          <w:rFonts w:ascii="Times New Roman" w:hAnsi="Times New Roman" w:cs="Times New Roman"/>
          <w:color w:val="000000"/>
        </w:rPr>
        <w:t>w środki do usuwania ewentualnych wyci</w:t>
      </w:r>
      <w:r w:rsidR="007F5AE8">
        <w:rPr>
          <w:rFonts w:ascii="Times New Roman" w:hAnsi="Times New Roman" w:cs="Times New Roman"/>
          <w:color w:val="000000"/>
        </w:rPr>
        <w:t xml:space="preserve">eków substancji ropopochodnych, </w:t>
      </w:r>
      <w:r w:rsidRPr="009553E8">
        <w:rPr>
          <w:rFonts w:ascii="Times New Roman" w:hAnsi="Times New Roman" w:cs="Times New Roman"/>
          <w:color w:val="000000"/>
        </w:rPr>
        <w:t>np. sorbenty, które cechują się dużą chłonnością.</w:t>
      </w:r>
    </w:p>
    <w:p w:rsidR="007F5AE8" w:rsidRPr="007F5AE8" w:rsidRDefault="007F5A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5AE8">
        <w:rPr>
          <w:rFonts w:ascii="Times New Roman" w:hAnsi="Times New Roman" w:cs="Times New Roman"/>
          <w:color w:val="000000"/>
        </w:rPr>
        <w:t>Na etapie realizacji zakłada się krótkotrwałą ingerencj</w:t>
      </w:r>
      <w:r>
        <w:rPr>
          <w:rFonts w:ascii="Times New Roman" w:hAnsi="Times New Roman" w:cs="Times New Roman"/>
          <w:color w:val="000000"/>
        </w:rPr>
        <w:t xml:space="preserve">ę w środowisko gruntowe poprzez </w:t>
      </w:r>
      <w:r w:rsidRPr="007F5AE8">
        <w:rPr>
          <w:rFonts w:ascii="Times New Roman" w:hAnsi="Times New Roman" w:cs="Times New Roman"/>
          <w:color w:val="000000"/>
        </w:rPr>
        <w:t>wykonanie wykopów pod poszczególne instalacje i obie</w:t>
      </w:r>
      <w:r>
        <w:rPr>
          <w:rFonts w:ascii="Times New Roman" w:hAnsi="Times New Roman" w:cs="Times New Roman"/>
          <w:color w:val="000000"/>
        </w:rPr>
        <w:t xml:space="preserve">kty, o głębokości do 3 m p.p.t. </w:t>
      </w:r>
      <w:r w:rsidRPr="007F5AE8">
        <w:rPr>
          <w:rFonts w:ascii="Times New Roman" w:hAnsi="Times New Roman" w:cs="Times New Roman"/>
          <w:color w:val="000000"/>
        </w:rPr>
        <w:t xml:space="preserve">Jak wynika </w:t>
      </w:r>
      <w:r>
        <w:rPr>
          <w:rFonts w:ascii="Times New Roman" w:hAnsi="Times New Roman" w:cs="Times New Roman"/>
          <w:color w:val="000000"/>
        </w:rPr>
        <w:br/>
      </w:r>
      <w:r w:rsidRPr="007F5AE8">
        <w:rPr>
          <w:rFonts w:ascii="Times New Roman" w:hAnsi="Times New Roman" w:cs="Times New Roman"/>
          <w:color w:val="000000"/>
        </w:rPr>
        <w:t>z opinii geotechnicznej, w kwietniu 20</w:t>
      </w:r>
      <w:r>
        <w:rPr>
          <w:rFonts w:ascii="Times New Roman" w:hAnsi="Times New Roman" w:cs="Times New Roman"/>
          <w:color w:val="000000"/>
        </w:rPr>
        <w:t xml:space="preserve">23 r. wykonano badania terenowe </w:t>
      </w:r>
      <w:r w:rsidRPr="007F5AE8">
        <w:rPr>
          <w:rFonts w:ascii="Times New Roman" w:hAnsi="Times New Roman" w:cs="Times New Roman"/>
          <w:color w:val="000000"/>
        </w:rPr>
        <w:t>w granicach działek inwestycyjnych. W wyniku przeprowadzonych odwiertów o głębokości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AE8">
        <w:rPr>
          <w:rFonts w:ascii="Times New Roman" w:hAnsi="Times New Roman" w:cs="Times New Roman"/>
          <w:color w:val="000000"/>
        </w:rPr>
        <w:t>6 m p.p.t., stwierdzono występowanie swobodn</w:t>
      </w:r>
      <w:r>
        <w:rPr>
          <w:rFonts w:ascii="Times New Roman" w:hAnsi="Times New Roman" w:cs="Times New Roman"/>
          <w:color w:val="000000"/>
        </w:rPr>
        <w:t xml:space="preserve">ego zwierciadła wody podziemnej </w:t>
      </w:r>
      <w:r w:rsidRPr="007F5AE8">
        <w:rPr>
          <w:rFonts w:ascii="Times New Roman" w:hAnsi="Times New Roman" w:cs="Times New Roman"/>
          <w:color w:val="000000"/>
        </w:rPr>
        <w:t xml:space="preserve">na głębokości 2,45-3 m p.p.t. W związku </w:t>
      </w:r>
      <w:r>
        <w:rPr>
          <w:rFonts w:ascii="Times New Roman" w:hAnsi="Times New Roman" w:cs="Times New Roman"/>
          <w:color w:val="000000"/>
        </w:rPr>
        <w:br/>
      </w:r>
      <w:r w:rsidRPr="007F5AE8">
        <w:rPr>
          <w:rFonts w:ascii="Times New Roman" w:hAnsi="Times New Roman" w:cs="Times New Roman"/>
          <w:color w:val="000000"/>
        </w:rPr>
        <w:t>z po</w:t>
      </w:r>
      <w:r>
        <w:rPr>
          <w:rFonts w:ascii="Times New Roman" w:hAnsi="Times New Roman" w:cs="Times New Roman"/>
          <w:color w:val="000000"/>
        </w:rPr>
        <w:t xml:space="preserve">wyższym, może zajść konieczność </w:t>
      </w:r>
      <w:r w:rsidRPr="007F5AE8">
        <w:rPr>
          <w:rFonts w:ascii="Times New Roman" w:hAnsi="Times New Roman" w:cs="Times New Roman"/>
          <w:color w:val="000000"/>
        </w:rPr>
        <w:t>tymczasowego odwadniania wykopów i zakłada się, że w</w:t>
      </w:r>
      <w:r>
        <w:rPr>
          <w:rFonts w:ascii="Times New Roman" w:hAnsi="Times New Roman" w:cs="Times New Roman"/>
          <w:color w:val="000000"/>
        </w:rPr>
        <w:t xml:space="preserve">oda będzie wywożona beczkowozem </w:t>
      </w:r>
      <w:r w:rsidRPr="007F5AE8">
        <w:rPr>
          <w:rFonts w:ascii="Times New Roman" w:hAnsi="Times New Roman" w:cs="Times New Roman"/>
          <w:color w:val="000000"/>
        </w:rPr>
        <w:t>do oczyszczalni ścieków. Odwadnianie wykopów b</w:t>
      </w:r>
      <w:r>
        <w:rPr>
          <w:rFonts w:ascii="Times New Roman" w:hAnsi="Times New Roman" w:cs="Times New Roman"/>
          <w:color w:val="000000"/>
        </w:rPr>
        <w:t xml:space="preserve">ędzie tymczasowe, a jego skutki </w:t>
      </w:r>
      <w:r w:rsidRPr="007F5AE8">
        <w:rPr>
          <w:rFonts w:ascii="Times New Roman" w:hAnsi="Times New Roman" w:cs="Times New Roman"/>
          <w:color w:val="000000"/>
        </w:rPr>
        <w:t>odwracalne i ograniczone do granic działek inwestycyjnych.</w:t>
      </w:r>
    </w:p>
    <w:p w:rsidR="007F5AE8" w:rsidRPr="007F5AE8" w:rsidRDefault="007F5A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5AE8">
        <w:rPr>
          <w:rFonts w:ascii="Times New Roman" w:hAnsi="Times New Roman" w:cs="Times New Roman"/>
          <w:color w:val="000000"/>
        </w:rPr>
        <w:t>Tym samym nie zakłada się możliwości trwałego narus</w:t>
      </w:r>
      <w:r>
        <w:rPr>
          <w:rFonts w:ascii="Times New Roman" w:hAnsi="Times New Roman" w:cs="Times New Roman"/>
          <w:color w:val="000000"/>
        </w:rPr>
        <w:t xml:space="preserve">zenia istniejących warstw </w:t>
      </w:r>
      <w:r w:rsidRPr="007F5AE8">
        <w:rPr>
          <w:rFonts w:ascii="Times New Roman" w:hAnsi="Times New Roman" w:cs="Times New Roman"/>
          <w:color w:val="000000"/>
        </w:rPr>
        <w:t xml:space="preserve">wodonośnych. Zakres prowadzonych robót nie spowoduje </w:t>
      </w:r>
      <w:r>
        <w:rPr>
          <w:rFonts w:ascii="Times New Roman" w:hAnsi="Times New Roman" w:cs="Times New Roman"/>
          <w:color w:val="000000"/>
        </w:rPr>
        <w:t xml:space="preserve">zakłócenia lub zmiany przepływu </w:t>
      </w:r>
      <w:r w:rsidRPr="007F5AE8">
        <w:rPr>
          <w:rFonts w:ascii="Times New Roman" w:hAnsi="Times New Roman" w:cs="Times New Roman"/>
          <w:color w:val="000000"/>
        </w:rPr>
        <w:t>wód powierzchniowych i podziemnych.</w:t>
      </w:r>
    </w:p>
    <w:p w:rsidR="007F5AE8" w:rsidRPr="007F5AE8" w:rsidRDefault="007F5A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5AE8">
        <w:rPr>
          <w:rFonts w:ascii="Times New Roman" w:hAnsi="Times New Roman" w:cs="Times New Roman"/>
          <w:color w:val="000000"/>
        </w:rPr>
        <w:t>Zarówno na etapie budowy, jak i użytkowania przedsięwzięcia, woda będzie pobierana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7F5AE8">
        <w:rPr>
          <w:rFonts w:ascii="Times New Roman" w:hAnsi="Times New Roman" w:cs="Times New Roman"/>
          <w:color w:val="000000"/>
        </w:rPr>
        <w:t>z miejskiej sieci wodociągowej. Eksploatacja zamierzenia wiąże się z poborem wody wyłącznie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AE8">
        <w:rPr>
          <w:rFonts w:ascii="Times New Roman" w:hAnsi="Times New Roman" w:cs="Times New Roman"/>
          <w:color w:val="000000"/>
        </w:rPr>
        <w:t>na cele socjalno-bytowe pracowników oraz do utrzymania czy</w:t>
      </w:r>
      <w:r>
        <w:rPr>
          <w:rFonts w:ascii="Times New Roman" w:hAnsi="Times New Roman" w:cs="Times New Roman"/>
          <w:color w:val="000000"/>
        </w:rPr>
        <w:t xml:space="preserve">stości na terenie stacji paliw, </w:t>
      </w:r>
      <w:r w:rsidRPr="007F5AE8">
        <w:rPr>
          <w:rFonts w:ascii="Times New Roman" w:hAnsi="Times New Roman" w:cs="Times New Roman"/>
          <w:color w:val="000000"/>
        </w:rPr>
        <w:t>w ilości około 1,34 m</w:t>
      </w:r>
      <w:r w:rsidRPr="007F5AE8">
        <w:rPr>
          <w:rFonts w:ascii="Times New Roman" w:hAnsi="Times New Roman" w:cs="Times New Roman"/>
          <w:color w:val="000000"/>
          <w:vertAlign w:val="superscript"/>
        </w:rPr>
        <w:t>3</w:t>
      </w:r>
      <w:r w:rsidRPr="007F5AE8">
        <w:rPr>
          <w:rFonts w:ascii="Times New Roman" w:hAnsi="Times New Roman" w:cs="Times New Roman"/>
          <w:color w:val="000000"/>
        </w:rPr>
        <w:t xml:space="preserve"> na dobę. Jak wynika z uzu</w:t>
      </w:r>
      <w:r>
        <w:rPr>
          <w:rFonts w:ascii="Times New Roman" w:hAnsi="Times New Roman" w:cs="Times New Roman"/>
          <w:color w:val="000000"/>
        </w:rPr>
        <w:t xml:space="preserve">pełnienia Kip, w obrębie stacji </w:t>
      </w:r>
      <w:r w:rsidRPr="007F5AE8">
        <w:rPr>
          <w:rFonts w:ascii="Times New Roman" w:hAnsi="Times New Roman" w:cs="Times New Roman"/>
          <w:color w:val="000000"/>
        </w:rPr>
        <w:t>nie zaplanowano prowadzenia działalności gastronomicznej o</w:t>
      </w:r>
      <w:r>
        <w:rPr>
          <w:rFonts w:ascii="Times New Roman" w:hAnsi="Times New Roman" w:cs="Times New Roman"/>
          <w:color w:val="000000"/>
        </w:rPr>
        <w:t xml:space="preserve">raz nie przewidziano możliwości </w:t>
      </w:r>
      <w:r w:rsidRPr="007F5AE8">
        <w:rPr>
          <w:rFonts w:ascii="Times New Roman" w:hAnsi="Times New Roman" w:cs="Times New Roman"/>
          <w:color w:val="000000"/>
        </w:rPr>
        <w:t xml:space="preserve">zużycia wody przez klientów. </w:t>
      </w:r>
      <w:r>
        <w:rPr>
          <w:rFonts w:ascii="Times New Roman" w:hAnsi="Times New Roman" w:cs="Times New Roman"/>
          <w:color w:val="000000"/>
        </w:rPr>
        <w:br/>
      </w:r>
      <w:r w:rsidRPr="007F5AE8">
        <w:rPr>
          <w:rFonts w:ascii="Times New Roman" w:hAnsi="Times New Roman" w:cs="Times New Roman"/>
          <w:color w:val="000000"/>
        </w:rPr>
        <w:t xml:space="preserve">W ramach zadania nie </w:t>
      </w:r>
      <w:r>
        <w:rPr>
          <w:rFonts w:ascii="Times New Roman" w:hAnsi="Times New Roman" w:cs="Times New Roman"/>
          <w:color w:val="000000"/>
        </w:rPr>
        <w:t xml:space="preserve">będą również realizowane myjnie </w:t>
      </w:r>
      <w:r w:rsidRPr="007F5AE8">
        <w:rPr>
          <w:rFonts w:ascii="Times New Roman" w:hAnsi="Times New Roman" w:cs="Times New Roman"/>
          <w:color w:val="000000"/>
        </w:rPr>
        <w:t>samochodowe.</w:t>
      </w:r>
    </w:p>
    <w:p w:rsidR="009553E8" w:rsidRDefault="007F5AE8" w:rsidP="007F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5AE8">
        <w:rPr>
          <w:rFonts w:ascii="Times New Roman" w:hAnsi="Times New Roman" w:cs="Times New Roman"/>
          <w:color w:val="000000"/>
        </w:rPr>
        <w:t>Teren stacji zostanie utwardzony i skanaliz</w:t>
      </w:r>
      <w:r>
        <w:rPr>
          <w:rFonts w:ascii="Times New Roman" w:hAnsi="Times New Roman" w:cs="Times New Roman"/>
          <w:color w:val="000000"/>
        </w:rPr>
        <w:t xml:space="preserve">owany. Wody opadowe i roztopowe </w:t>
      </w:r>
      <w:r w:rsidRPr="007F5AE8">
        <w:rPr>
          <w:rFonts w:ascii="Times New Roman" w:hAnsi="Times New Roman" w:cs="Times New Roman"/>
          <w:color w:val="000000"/>
        </w:rPr>
        <w:t>z powierzchni utwardzonych będą podczyszczane w osadn</w:t>
      </w:r>
      <w:r>
        <w:rPr>
          <w:rFonts w:ascii="Times New Roman" w:hAnsi="Times New Roman" w:cs="Times New Roman"/>
          <w:color w:val="000000"/>
        </w:rPr>
        <w:t xml:space="preserve">iku oraz separatorze substancji </w:t>
      </w:r>
      <w:r w:rsidRPr="007F5AE8">
        <w:rPr>
          <w:rFonts w:ascii="Times New Roman" w:hAnsi="Times New Roman" w:cs="Times New Roman"/>
          <w:color w:val="000000"/>
        </w:rPr>
        <w:t xml:space="preserve">ropopochodnych, </w:t>
      </w:r>
      <w:r>
        <w:rPr>
          <w:rFonts w:ascii="Times New Roman" w:hAnsi="Times New Roman" w:cs="Times New Roman"/>
          <w:color w:val="000000"/>
        </w:rPr>
        <w:br/>
      </w:r>
      <w:r w:rsidRPr="007F5AE8">
        <w:rPr>
          <w:rFonts w:ascii="Times New Roman" w:hAnsi="Times New Roman" w:cs="Times New Roman"/>
          <w:color w:val="000000"/>
        </w:rPr>
        <w:t>a następnie odprowadzane do mi</w:t>
      </w:r>
      <w:r>
        <w:rPr>
          <w:rFonts w:ascii="Times New Roman" w:hAnsi="Times New Roman" w:cs="Times New Roman"/>
          <w:color w:val="000000"/>
        </w:rPr>
        <w:t xml:space="preserve">ejskiej kanalizacji deszczowej. </w:t>
      </w:r>
      <w:r w:rsidRPr="007F5AE8">
        <w:rPr>
          <w:rFonts w:ascii="Times New Roman" w:hAnsi="Times New Roman" w:cs="Times New Roman"/>
          <w:color w:val="000000"/>
        </w:rPr>
        <w:t>Wody z dachów oraz innych powierzchni nienara</w:t>
      </w:r>
      <w:r>
        <w:rPr>
          <w:rFonts w:ascii="Times New Roman" w:hAnsi="Times New Roman" w:cs="Times New Roman"/>
          <w:color w:val="000000"/>
        </w:rPr>
        <w:t xml:space="preserve">żonych na zanieczyszczenie mogą </w:t>
      </w:r>
      <w:r w:rsidRPr="007F5AE8">
        <w:rPr>
          <w:rFonts w:ascii="Times New Roman" w:hAnsi="Times New Roman" w:cs="Times New Roman"/>
          <w:color w:val="000000"/>
        </w:rPr>
        <w:t>być odprowadzane analogicznie, jednak bez konieczności uprzedniego podczyszczania.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Ścieki bytowe powstające podczas r</w:t>
      </w:r>
      <w:r>
        <w:rPr>
          <w:rFonts w:ascii="Times New Roman" w:hAnsi="Times New Roman" w:cs="Times New Roman"/>
          <w:color w:val="000000"/>
        </w:rPr>
        <w:t xml:space="preserve">ealizacji inwestycji gromadzone </w:t>
      </w:r>
      <w:r w:rsidRPr="004217B5">
        <w:rPr>
          <w:rFonts w:ascii="Times New Roman" w:hAnsi="Times New Roman" w:cs="Times New Roman"/>
          <w:color w:val="000000"/>
        </w:rPr>
        <w:t>będą w przenośnych toaletach, systematycznie opróżnianych przez firmę posiadającą stosowne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7B5">
        <w:rPr>
          <w:rFonts w:ascii="Times New Roman" w:hAnsi="Times New Roman" w:cs="Times New Roman"/>
          <w:color w:val="000000"/>
        </w:rPr>
        <w:t>zezwolenie w tym zakresie. Na etapie eksploatacji</w:t>
      </w:r>
      <w:r>
        <w:rPr>
          <w:rFonts w:ascii="Times New Roman" w:hAnsi="Times New Roman" w:cs="Times New Roman"/>
          <w:color w:val="000000"/>
        </w:rPr>
        <w:t xml:space="preserve"> stacji paliw, ścieki bytowe </w:t>
      </w:r>
      <w:r w:rsidRPr="004217B5">
        <w:rPr>
          <w:rFonts w:ascii="Times New Roman" w:hAnsi="Times New Roman" w:cs="Times New Roman"/>
          <w:color w:val="000000"/>
        </w:rPr>
        <w:t>będą odprowadzane do miejskiej sieci kanalizacji sanitarnej. Zakłada się, że ilość powstających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7B5">
        <w:rPr>
          <w:rFonts w:ascii="Times New Roman" w:hAnsi="Times New Roman" w:cs="Times New Roman"/>
          <w:color w:val="000000"/>
        </w:rPr>
        <w:t>ścieków tego rodzaju będzie zbliżona do poboru wody.</w:t>
      </w:r>
    </w:p>
    <w:p w:rsidR="009553E8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Eksploatacja zamierzenia nie wiąże się z pows</w:t>
      </w:r>
      <w:r>
        <w:rPr>
          <w:rFonts w:ascii="Times New Roman" w:hAnsi="Times New Roman" w:cs="Times New Roman"/>
          <w:color w:val="000000"/>
        </w:rPr>
        <w:t xml:space="preserve">tawaniem ścieków przemysłowych, </w:t>
      </w:r>
      <w:r w:rsidRPr="004217B5">
        <w:rPr>
          <w:rFonts w:ascii="Times New Roman" w:hAnsi="Times New Roman" w:cs="Times New Roman"/>
          <w:color w:val="000000"/>
        </w:rPr>
        <w:t>ponieważ nie przewiduje się realizacji myjni samochodowyc</w:t>
      </w:r>
      <w:r>
        <w:rPr>
          <w:rFonts w:ascii="Times New Roman" w:hAnsi="Times New Roman" w:cs="Times New Roman"/>
          <w:color w:val="000000"/>
        </w:rPr>
        <w:t xml:space="preserve">h. Zgodnie z uzupełnieniem Kip, </w:t>
      </w:r>
      <w:r w:rsidRPr="004217B5">
        <w:rPr>
          <w:rFonts w:ascii="Times New Roman" w:hAnsi="Times New Roman" w:cs="Times New Roman"/>
          <w:color w:val="000000"/>
        </w:rPr>
        <w:t>w budynku warsztatowym również nie powstaną teg</w:t>
      </w:r>
      <w:r>
        <w:rPr>
          <w:rFonts w:ascii="Times New Roman" w:hAnsi="Times New Roman" w:cs="Times New Roman"/>
          <w:color w:val="000000"/>
        </w:rPr>
        <w:t xml:space="preserve">o rodzaju ścieki, a woda będzie </w:t>
      </w:r>
      <w:r w:rsidRPr="004217B5">
        <w:rPr>
          <w:rFonts w:ascii="Times New Roman" w:hAnsi="Times New Roman" w:cs="Times New Roman"/>
          <w:color w:val="000000"/>
        </w:rPr>
        <w:t>wykorzystywana wyłącznie na potrzeby socjalno-bytowe pracowników.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Celem ograniczenia możliwości wycieku magazyn</w:t>
      </w:r>
      <w:r>
        <w:rPr>
          <w:rFonts w:ascii="Times New Roman" w:hAnsi="Times New Roman" w:cs="Times New Roman"/>
          <w:color w:val="000000"/>
        </w:rPr>
        <w:t xml:space="preserve">owanej zawartości, wykorzystane </w:t>
      </w:r>
      <w:r w:rsidRPr="004217B5">
        <w:rPr>
          <w:rFonts w:ascii="Times New Roman" w:hAnsi="Times New Roman" w:cs="Times New Roman"/>
          <w:color w:val="000000"/>
        </w:rPr>
        <w:t>zostaną zbiorniki o konstrukcji dwupłaszczowej z cią</w:t>
      </w:r>
      <w:r>
        <w:rPr>
          <w:rFonts w:ascii="Times New Roman" w:hAnsi="Times New Roman" w:cs="Times New Roman"/>
          <w:color w:val="000000"/>
        </w:rPr>
        <w:t xml:space="preserve">głym monitoringiem szczelności, </w:t>
      </w:r>
      <w:r w:rsidRPr="004217B5">
        <w:rPr>
          <w:rFonts w:ascii="Times New Roman" w:hAnsi="Times New Roman" w:cs="Times New Roman"/>
          <w:color w:val="000000"/>
        </w:rPr>
        <w:t>ze szczelną instalacją paliwową oraz adekwatnym zabezpieczeniem antykorozyjnym.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Szczelność będzie kontrolowana w sposób ciągły, za p</w:t>
      </w:r>
      <w:r>
        <w:rPr>
          <w:rFonts w:ascii="Times New Roman" w:hAnsi="Times New Roman" w:cs="Times New Roman"/>
          <w:color w:val="000000"/>
        </w:rPr>
        <w:t xml:space="preserve">omocą systemu kontroli wycieków </w:t>
      </w:r>
      <w:r w:rsidRPr="004217B5">
        <w:rPr>
          <w:rFonts w:ascii="Times New Roman" w:hAnsi="Times New Roman" w:cs="Times New Roman"/>
          <w:color w:val="000000"/>
        </w:rPr>
        <w:t>do przestrzeni międzypłaszczo</w:t>
      </w:r>
      <w:r>
        <w:rPr>
          <w:rFonts w:ascii="Times New Roman" w:hAnsi="Times New Roman" w:cs="Times New Roman"/>
          <w:color w:val="000000"/>
        </w:rPr>
        <w:t xml:space="preserve">wej, wraz z systemem alarmowym. </w:t>
      </w:r>
      <w:r w:rsidRPr="004217B5">
        <w:rPr>
          <w:rFonts w:ascii="Times New Roman" w:hAnsi="Times New Roman" w:cs="Times New Roman"/>
          <w:color w:val="000000"/>
        </w:rPr>
        <w:t xml:space="preserve">Ponadto, miejsca tankowania oraz zlewu paliwa </w:t>
      </w:r>
      <w:r>
        <w:rPr>
          <w:rFonts w:ascii="Times New Roman" w:hAnsi="Times New Roman" w:cs="Times New Roman"/>
          <w:color w:val="000000"/>
        </w:rPr>
        <w:t xml:space="preserve">zostaną zabezpieczone za pomocą </w:t>
      </w:r>
      <w:r w:rsidRPr="004217B5">
        <w:rPr>
          <w:rFonts w:ascii="Times New Roman" w:hAnsi="Times New Roman" w:cs="Times New Roman"/>
          <w:color w:val="000000"/>
        </w:rPr>
        <w:t>szczelnej płyty betonowej wbudowanej w podłoże.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Zgodnie z uzupełnieniem Kip, celem prow</w:t>
      </w:r>
      <w:r>
        <w:rPr>
          <w:rFonts w:ascii="Times New Roman" w:hAnsi="Times New Roman" w:cs="Times New Roman"/>
          <w:color w:val="000000"/>
        </w:rPr>
        <w:t xml:space="preserve">adzenia monitoringu jakości wód </w:t>
      </w:r>
      <w:r w:rsidRPr="004217B5">
        <w:rPr>
          <w:rFonts w:ascii="Times New Roman" w:hAnsi="Times New Roman" w:cs="Times New Roman"/>
          <w:color w:val="000000"/>
        </w:rPr>
        <w:t>gruntowych, umożliwiającego określenie wpływu przeds</w:t>
      </w:r>
      <w:r>
        <w:rPr>
          <w:rFonts w:ascii="Times New Roman" w:hAnsi="Times New Roman" w:cs="Times New Roman"/>
          <w:color w:val="000000"/>
        </w:rPr>
        <w:t xml:space="preserve">ięwzięcia na ich stan, wykonane </w:t>
      </w:r>
      <w:r w:rsidRPr="004217B5">
        <w:rPr>
          <w:rFonts w:ascii="Times New Roman" w:hAnsi="Times New Roman" w:cs="Times New Roman"/>
          <w:color w:val="000000"/>
        </w:rPr>
        <w:t>zostaną co najmniej trzy piezometry. Sugeruje się wykonanie jednego z nich na dopływie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7B5">
        <w:rPr>
          <w:rFonts w:ascii="Times New Roman" w:hAnsi="Times New Roman" w:cs="Times New Roman"/>
          <w:color w:val="000000"/>
        </w:rPr>
        <w:t>oraz dwóch na odpływie wód podziemnych z terenu przeds</w:t>
      </w:r>
      <w:r>
        <w:rPr>
          <w:rFonts w:ascii="Times New Roman" w:hAnsi="Times New Roman" w:cs="Times New Roman"/>
          <w:color w:val="000000"/>
        </w:rPr>
        <w:t xml:space="preserve">ięwzięcia. W razie stwierdzenia </w:t>
      </w:r>
      <w:r w:rsidRPr="004217B5">
        <w:rPr>
          <w:rFonts w:ascii="Times New Roman" w:hAnsi="Times New Roman" w:cs="Times New Roman"/>
          <w:color w:val="000000"/>
        </w:rPr>
        <w:t>zanieczyszczenia wód gruntowych, powstałego w w</w:t>
      </w:r>
      <w:r>
        <w:rPr>
          <w:rFonts w:ascii="Times New Roman" w:hAnsi="Times New Roman" w:cs="Times New Roman"/>
          <w:color w:val="000000"/>
        </w:rPr>
        <w:t xml:space="preserve">yniku eksploatacji zamierzenia, </w:t>
      </w:r>
      <w:r w:rsidRPr="004217B5">
        <w:rPr>
          <w:rFonts w:ascii="Times New Roman" w:hAnsi="Times New Roman" w:cs="Times New Roman"/>
          <w:color w:val="000000"/>
        </w:rPr>
        <w:t>należy natychmiastowo podjąć działania mające na ce</w:t>
      </w:r>
      <w:r>
        <w:rPr>
          <w:rFonts w:ascii="Times New Roman" w:hAnsi="Times New Roman" w:cs="Times New Roman"/>
          <w:color w:val="000000"/>
        </w:rPr>
        <w:t xml:space="preserve">lu zidentyfikowanie oraz trwałe </w:t>
      </w:r>
      <w:r w:rsidRPr="004217B5">
        <w:rPr>
          <w:rFonts w:ascii="Times New Roman" w:hAnsi="Times New Roman" w:cs="Times New Roman"/>
          <w:color w:val="000000"/>
        </w:rPr>
        <w:t>wyeliminowanie źródła zanieczyszczeń. Dokładna lokaliza</w:t>
      </w:r>
      <w:r>
        <w:rPr>
          <w:rFonts w:ascii="Times New Roman" w:hAnsi="Times New Roman" w:cs="Times New Roman"/>
          <w:color w:val="000000"/>
        </w:rPr>
        <w:t xml:space="preserve">cja piezometrów, uwzględniająca </w:t>
      </w:r>
      <w:r w:rsidRPr="004217B5">
        <w:rPr>
          <w:rFonts w:ascii="Times New Roman" w:hAnsi="Times New Roman" w:cs="Times New Roman"/>
          <w:color w:val="000000"/>
        </w:rPr>
        <w:t>rzeczywisty kierunek odpływu wód podziemnych, zostanie</w:t>
      </w:r>
      <w:r>
        <w:rPr>
          <w:rFonts w:ascii="Times New Roman" w:hAnsi="Times New Roman" w:cs="Times New Roman"/>
          <w:color w:val="000000"/>
        </w:rPr>
        <w:t xml:space="preserve"> wskazana na etapie opracowania </w:t>
      </w:r>
      <w:r w:rsidRPr="004217B5">
        <w:rPr>
          <w:rFonts w:ascii="Times New Roman" w:hAnsi="Times New Roman" w:cs="Times New Roman"/>
          <w:color w:val="000000"/>
        </w:rPr>
        <w:t>projektu budowlanego.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W związku z powyższym, nie przewiduje się wystąpienia zanieczyszczen</w:t>
      </w:r>
      <w:r>
        <w:rPr>
          <w:rFonts w:ascii="Times New Roman" w:hAnsi="Times New Roman" w:cs="Times New Roman"/>
          <w:color w:val="000000"/>
        </w:rPr>
        <w:t xml:space="preserve">ia środowiska </w:t>
      </w:r>
      <w:r w:rsidRPr="004217B5">
        <w:rPr>
          <w:rFonts w:ascii="Times New Roman" w:hAnsi="Times New Roman" w:cs="Times New Roman"/>
          <w:color w:val="000000"/>
        </w:rPr>
        <w:t>gruntowo-wodnego lub wód podziemnych.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Tymczasowe zaplecze budowy oraz miejsca skł</w:t>
      </w:r>
      <w:r>
        <w:rPr>
          <w:rFonts w:ascii="Times New Roman" w:hAnsi="Times New Roman" w:cs="Times New Roman"/>
          <w:color w:val="000000"/>
        </w:rPr>
        <w:t xml:space="preserve">adowania materiałów budowlanych </w:t>
      </w:r>
      <w:r w:rsidRPr="004217B5">
        <w:rPr>
          <w:rFonts w:ascii="Times New Roman" w:hAnsi="Times New Roman" w:cs="Times New Roman"/>
          <w:color w:val="000000"/>
        </w:rPr>
        <w:t>lub postoju pojazdów i maszyn zostaną zorga</w:t>
      </w:r>
      <w:r>
        <w:rPr>
          <w:rFonts w:ascii="Times New Roman" w:hAnsi="Times New Roman" w:cs="Times New Roman"/>
          <w:color w:val="000000"/>
        </w:rPr>
        <w:t xml:space="preserve">nizowane na terenie utwardzonym </w:t>
      </w:r>
      <w:r w:rsidRPr="004217B5">
        <w:rPr>
          <w:rFonts w:ascii="Times New Roman" w:hAnsi="Times New Roman" w:cs="Times New Roman"/>
          <w:color w:val="000000"/>
        </w:rPr>
        <w:t>lub posiadającym szczelną nawierzchnię, co znacznie og</w:t>
      </w:r>
      <w:r>
        <w:rPr>
          <w:rFonts w:ascii="Times New Roman" w:hAnsi="Times New Roman" w:cs="Times New Roman"/>
          <w:color w:val="000000"/>
        </w:rPr>
        <w:t xml:space="preserve">raniczy ryzyko zanieczyszczenia </w:t>
      </w:r>
      <w:r w:rsidRPr="004217B5">
        <w:rPr>
          <w:rFonts w:ascii="Times New Roman" w:hAnsi="Times New Roman" w:cs="Times New Roman"/>
          <w:color w:val="000000"/>
        </w:rPr>
        <w:t>środowiska wodno-gruntowego.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Teren realizacji przedsięwzięcia znajduje się poza gr</w:t>
      </w:r>
      <w:r>
        <w:rPr>
          <w:rFonts w:ascii="Times New Roman" w:hAnsi="Times New Roman" w:cs="Times New Roman"/>
          <w:color w:val="000000"/>
        </w:rPr>
        <w:t xml:space="preserve">anicami głównych zbiorników wód </w:t>
      </w:r>
      <w:r w:rsidRPr="004217B5">
        <w:rPr>
          <w:rFonts w:ascii="Times New Roman" w:hAnsi="Times New Roman" w:cs="Times New Roman"/>
          <w:color w:val="000000"/>
        </w:rPr>
        <w:t xml:space="preserve">podziemnych, obszarami szczególnego zagrożenia </w:t>
      </w:r>
      <w:r>
        <w:rPr>
          <w:rFonts w:ascii="Times New Roman" w:hAnsi="Times New Roman" w:cs="Times New Roman"/>
          <w:color w:val="000000"/>
        </w:rPr>
        <w:t xml:space="preserve">powodzią, a także poza strefami </w:t>
      </w:r>
      <w:r w:rsidRPr="004217B5">
        <w:rPr>
          <w:rFonts w:ascii="Times New Roman" w:hAnsi="Times New Roman" w:cs="Times New Roman"/>
          <w:color w:val="000000"/>
        </w:rPr>
        <w:t>ochronnymi ujęć wód na potrzeby zaopatrzenia ludności.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W pobliżu inwestycji nie są zlokalizowane jak</w:t>
      </w:r>
      <w:r>
        <w:rPr>
          <w:rFonts w:ascii="Times New Roman" w:hAnsi="Times New Roman" w:cs="Times New Roman"/>
          <w:color w:val="000000"/>
        </w:rPr>
        <w:t xml:space="preserve">iekolwiek rzeki, jeziora, cieki </w:t>
      </w:r>
      <w:r w:rsidRPr="004217B5">
        <w:rPr>
          <w:rFonts w:ascii="Times New Roman" w:hAnsi="Times New Roman" w:cs="Times New Roman"/>
          <w:color w:val="000000"/>
        </w:rPr>
        <w:t>lub naturalne zbiorniki wodne bądź obszary podmokłe.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Przedmiotowe zamierzenie zlokalizowane zost</w:t>
      </w:r>
      <w:r>
        <w:rPr>
          <w:rFonts w:ascii="Times New Roman" w:hAnsi="Times New Roman" w:cs="Times New Roman"/>
          <w:color w:val="000000"/>
        </w:rPr>
        <w:t xml:space="preserve">anie w obszarze dorzecza Wisły, </w:t>
      </w:r>
      <w:r w:rsidRPr="004217B5">
        <w:rPr>
          <w:rFonts w:ascii="Times New Roman" w:hAnsi="Times New Roman" w:cs="Times New Roman"/>
          <w:color w:val="000000"/>
        </w:rPr>
        <w:t xml:space="preserve">zgodnie </w:t>
      </w:r>
      <w:r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4217B5">
        <w:rPr>
          <w:rFonts w:ascii="Times New Roman" w:hAnsi="Times New Roman" w:cs="Times New Roman"/>
          <w:color w:val="000000"/>
        </w:rPr>
        <w:t>Planu gospodarowania wodami na obszarze dorzecza Wisły (</w:t>
      </w:r>
      <w:r w:rsidR="00147181">
        <w:rPr>
          <w:rFonts w:ascii="Times New Roman" w:hAnsi="Times New Roman" w:cs="Times New Roman"/>
          <w:color w:val="000000"/>
        </w:rPr>
        <w:t>tekst jednolity Dz. U. z 2023 r., poz. 300, dalej: rozporządzenie z dnia 4 listopada 2022 r.</w:t>
      </w:r>
      <w:r w:rsidRPr="004217B5">
        <w:rPr>
          <w:rFonts w:ascii="Times New Roman" w:hAnsi="Times New Roman" w:cs="Times New Roman"/>
          <w:color w:val="000000"/>
        </w:rPr>
        <w:t>).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Przedsięwzięcie znajduje się w obszarze je</w:t>
      </w:r>
      <w:r>
        <w:rPr>
          <w:rFonts w:ascii="Times New Roman" w:hAnsi="Times New Roman" w:cs="Times New Roman"/>
          <w:color w:val="000000"/>
        </w:rPr>
        <w:t xml:space="preserve">dnolitej części wód podziemnych </w:t>
      </w:r>
      <w:r w:rsidR="00147181">
        <w:rPr>
          <w:rFonts w:ascii="Times New Roman" w:hAnsi="Times New Roman" w:cs="Times New Roman"/>
          <w:color w:val="000000"/>
        </w:rPr>
        <w:t xml:space="preserve">(dalej: JCWPd) </w:t>
      </w:r>
      <w:r w:rsidRPr="004217B5">
        <w:rPr>
          <w:rFonts w:ascii="Times New Roman" w:hAnsi="Times New Roman" w:cs="Times New Roman"/>
          <w:color w:val="000000"/>
        </w:rPr>
        <w:t>oznaczonym europejskim kodem PLGW200039, zalic</w:t>
      </w:r>
      <w:r>
        <w:rPr>
          <w:rFonts w:ascii="Times New Roman" w:hAnsi="Times New Roman" w:cs="Times New Roman"/>
          <w:color w:val="000000"/>
        </w:rPr>
        <w:t xml:space="preserve">zonym do regionu wodnego Dolnej </w:t>
      </w:r>
      <w:r w:rsidRPr="004217B5">
        <w:rPr>
          <w:rFonts w:ascii="Times New Roman" w:hAnsi="Times New Roman" w:cs="Times New Roman"/>
          <w:color w:val="000000"/>
        </w:rPr>
        <w:t>Wisły. Zgodnie z rozporządzeniem z dnia 4 listopada 2022 r.,</w:t>
      </w:r>
      <w:r>
        <w:rPr>
          <w:rFonts w:ascii="Times New Roman" w:hAnsi="Times New Roman" w:cs="Times New Roman"/>
          <w:color w:val="000000"/>
        </w:rPr>
        <w:t xml:space="preserve"> stan ogólny tej JCWPd oceniono </w:t>
      </w:r>
      <w:r w:rsidRPr="004217B5">
        <w:rPr>
          <w:rFonts w:ascii="Times New Roman" w:hAnsi="Times New Roman" w:cs="Times New Roman"/>
          <w:color w:val="000000"/>
        </w:rPr>
        <w:t>jako dobry (stan chemiczny: dobry; stan ilościowy: dobry). R</w:t>
      </w:r>
      <w:r>
        <w:rPr>
          <w:rFonts w:ascii="Times New Roman" w:hAnsi="Times New Roman" w:cs="Times New Roman"/>
          <w:color w:val="000000"/>
        </w:rPr>
        <w:t xml:space="preserve">ozpatrywana </w:t>
      </w:r>
      <w:r w:rsidR="00147181">
        <w:rPr>
          <w:rFonts w:ascii="Times New Roman" w:hAnsi="Times New Roman" w:cs="Times New Roman"/>
          <w:color w:val="000000"/>
        </w:rPr>
        <w:t>JCWPd</w:t>
      </w:r>
      <w:r w:rsidRPr="004217B5">
        <w:rPr>
          <w:rFonts w:ascii="Times New Roman" w:hAnsi="Times New Roman" w:cs="Times New Roman"/>
          <w:color w:val="000000"/>
        </w:rPr>
        <w:t xml:space="preserve"> jest zagrożona chemicznie ryzykiem nieos</w:t>
      </w:r>
      <w:r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4217B5">
        <w:rPr>
          <w:rFonts w:ascii="Times New Roman" w:hAnsi="Times New Roman" w:cs="Times New Roman"/>
          <w:color w:val="000000"/>
        </w:rPr>
        <w:t xml:space="preserve">tj. utrzymania dobrego stanu chemicznego </w:t>
      </w:r>
      <w:r w:rsidR="00147181"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i ilościowego wód podziemnych.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Inwestycja znajduje się w obszarze zlewni jednolitej części wód powierzchniowych</w:t>
      </w:r>
      <w:r w:rsidR="00147181">
        <w:rPr>
          <w:rFonts w:ascii="Times New Roman" w:hAnsi="Times New Roman" w:cs="Times New Roman"/>
          <w:color w:val="000000"/>
        </w:rPr>
        <w:t xml:space="preserve"> (dalej: JCWP)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7B5">
        <w:rPr>
          <w:rFonts w:ascii="Times New Roman" w:hAnsi="Times New Roman" w:cs="Times New Roman"/>
          <w:color w:val="000000"/>
        </w:rPr>
        <w:t xml:space="preserve">oznaczonej europejskim kodem PLRW20001229199 – </w:t>
      </w:r>
      <w:r>
        <w:rPr>
          <w:rFonts w:ascii="Times New Roman" w:hAnsi="Times New Roman" w:cs="Times New Roman"/>
          <w:color w:val="000000"/>
        </w:rPr>
        <w:t xml:space="preserve">„Wisła od Zgłowiączki do Brdy”, </w:t>
      </w:r>
      <w:r w:rsidRPr="004217B5">
        <w:rPr>
          <w:rFonts w:ascii="Times New Roman" w:hAnsi="Times New Roman" w:cs="Times New Roman"/>
          <w:color w:val="000000"/>
        </w:rPr>
        <w:t>zaliczonym do regionu wodnego Dolnej Wisły. Zgo</w:t>
      </w:r>
      <w:r>
        <w:rPr>
          <w:rFonts w:ascii="Times New Roman" w:hAnsi="Times New Roman" w:cs="Times New Roman"/>
          <w:color w:val="000000"/>
        </w:rPr>
        <w:t xml:space="preserve">dnie z rozporządzeniem </w:t>
      </w:r>
      <w:r w:rsidRPr="004217B5">
        <w:rPr>
          <w:rFonts w:ascii="Times New Roman" w:hAnsi="Times New Roman" w:cs="Times New Roman"/>
          <w:color w:val="000000"/>
        </w:rPr>
        <w:t xml:space="preserve">z dnia </w:t>
      </w:r>
      <w:r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4 listopada 2022 r., ta JCWP posiada status silnie zmienionej</w:t>
      </w:r>
      <w:r>
        <w:rPr>
          <w:rFonts w:ascii="Times New Roman" w:hAnsi="Times New Roman" w:cs="Times New Roman"/>
          <w:color w:val="000000"/>
        </w:rPr>
        <w:t xml:space="preserve"> części wód, której stan ogólny </w:t>
      </w:r>
      <w:r w:rsidRPr="004217B5">
        <w:rPr>
          <w:rFonts w:ascii="Times New Roman" w:hAnsi="Times New Roman" w:cs="Times New Roman"/>
          <w:color w:val="000000"/>
        </w:rPr>
        <w:t xml:space="preserve">oceniono jako zły (potencjał ekologiczny: słaby; stan </w:t>
      </w:r>
      <w:r>
        <w:rPr>
          <w:rFonts w:ascii="Times New Roman" w:hAnsi="Times New Roman" w:cs="Times New Roman"/>
          <w:color w:val="000000"/>
        </w:rPr>
        <w:t xml:space="preserve">chemiczny: dobry). Rozpatrywana </w:t>
      </w:r>
      <w:r w:rsidR="00147181">
        <w:rPr>
          <w:rFonts w:ascii="Times New Roman" w:hAnsi="Times New Roman" w:cs="Times New Roman"/>
          <w:color w:val="000000"/>
        </w:rPr>
        <w:t>JCWP</w:t>
      </w:r>
      <w:r w:rsidRPr="004217B5">
        <w:rPr>
          <w:rFonts w:ascii="Times New Roman" w:hAnsi="Times New Roman" w:cs="Times New Roman"/>
          <w:color w:val="000000"/>
        </w:rPr>
        <w:t xml:space="preserve"> jest zagrożon</w:t>
      </w:r>
      <w:r>
        <w:rPr>
          <w:rFonts w:ascii="Times New Roman" w:hAnsi="Times New Roman" w:cs="Times New Roman"/>
          <w:color w:val="000000"/>
        </w:rPr>
        <w:t xml:space="preserve">a ryzykiem nieosiągnięcia celów </w:t>
      </w:r>
      <w:r w:rsidRPr="004217B5">
        <w:rPr>
          <w:rFonts w:ascii="Times New Roman" w:hAnsi="Times New Roman" w:cs="Times New Roman"/>
          <w:color w:val="000000"/>
        </w:rPr>
        <w:t>środowiskowych, tj. osiągnięcia umiarkowanego potencjału</w:t>
      </w:r>
      <w:r>
        <w:rPr>
          <w:rFonts w:ascii="Times New Roman" w:hAnsi="Times New Roman" w:cs="Times New Roman"/>
          <w:color w:val="000000"/>
        </w:rPr>
        <w:t xml:space="preserve"> ekologicznego oraz zapewnienia </w:t>
      </w:r>
      <w:r w:rsidRPr="004217B5">
        <w:rPr>
          <w:rFonts w:ascii="Times New Roman" w:hAnsi="Times New Roman" w:cs="Times New Roman"/>
          <w:color w:val="000000"/>
        </w:rPr>
        <w:t>drożności cieku dla migracji ichtiofauny na odcinku cieku</w:t>
      </w:r>
      <w:r>
        <w:rPr>
          <w:rFonts w:ascii="Times New Roman" w:hAnsi="Times New Roman" w:cs="Times New Roman"/>
          <w:color w:val="000000"/>
        </w:rPr>
        <w:t xml:space="preserve"> istotnego Wisła w obrębie JCWP </w:t>
      </w:r>
      <w:r w:rsidRPr="004217B5">
        <w:rPr>
          <w:rFonts w:ascii="Times New Roman" w:hAnsi="Times New Roman" w:cs="Times New Roman"/>
          <w:color w:val="000000"/>
        </w:rPr>
        <w:t>(dla jesiotra); zapewnienia drożności cieku wedłu</w:t>
      </w:r>
      <w:r>
        <w:rPr>
          <w:rFonts w:ascii="Times New Roman" w:hAnsi="Times New Roman" w:cs="Times New Roman"/>
          <w:color w:val="000000"/>
        </w:rPr>
        <w:t xml:space="preserve">g wymagań gatunków chronionych; </w:t>
      </w:r>
      <w:r w:rsidRPr="004217B5">
        <w:rPr>
          <w:rFonts w:ascii="Times New Roman" w:hAnsi="Times New Roman" w:cs="Times New Roman"/>
          <w:color w:val="000000"/>
        </w:rPr>
        <w:t>zapewnienia drożności cieku dla migracji gatunków o zn</w:t>
      </w:r>
      <w:r>
        <w:rPr>
          <w:rFonts w:ascii="Times New Roman" w:hAnsi="Times New Roman" w:cs="Times New Roman"/>
          <w:color w:val="000000"/>
        </w:rPr>
        <w:t xml:space="preserve">aczeniu gospodarczym na odcinku </w:t>
      </w:r>
      <w:r w:rsidRPr="004217B5">
        <w:rPr>
          <w:rFonts w:ascii="Times New Roman" w:hAnsi="Times New Roman" w:cs="Times New Roman"/>
          <w:color w:val="000000"/>
        </w:rPr>
        <w:t>cieku głównego Wisła w obrębie JCWP (dla troci wędrow</w:t>
      </w:r>
      <w:r>
        <w:rPr>
          <w:rFonts w:ascii="Times New Roman" w:hAnsi="Times New Roman" w:cs="Times New Roman"/>
          <w:color w:val="000000"/>
        </w:rPr>
        <w:t xml:space="preserve">nej oraz węgorza europejskiego) </w:t>
      </w:r>
      <w:r w:rsidR="00147181"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i utrzymania dobrego stanu chemicznego wód powierzchniowych.</w:t>
      </w:r>
    </w:p>
    <w:p w:rsidR="004217B5" w:rsidRP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Z uwagi na rodzaj, zakres i lokalizację przedsięwzięcia, a ta</w:t>
      </w:r>
      <w:r>
        <w:rPr>
          <w:rFonts w:ascii="Times New Roman" w:hAnsi="Times New Roman" w:cs="Times New Roman"/>
          <w:color w:val="000000"/>
        </w:rPr>
        <w:t xml:space="preserve">kże fakt, iż teren stacji paliw </w:t>
      </w:r>
      <w:r w:rsidRPr="004217B5">
        <w:rPr>
          <w:rFonts w:ascii="Times New Roman" w:hAnsi="Times New Roman" w:cs="Times New Roman"/>
          <w:color w:val="000000"/>
        </w:rPr>
        <w:t>będzie wyposażony w sprawny układ kanalizacji de</w:t>
      </w:r>
      <w:r>
        <w:rPr>
          <w:rFonts w:ascii="Times New Roman" w:hAnsi="Times New Roman" w:cs="Times New Roman"/>
          <w:color w:val="000000"/>
        </w:rPr>
        <w:t xml:space="preserve">szczowej, </w:t>
      </w:r>
      <w:r w:rsidR="00147181">
        <w:rPr>
          <w:rFonts w:ascii="Times New Roman" w:hAnsi="Times New Roman" w:cs="Times New Roman"/>
          <w:color w:val="000000"/>
        </w:rPr>
        <w:t>w skład której wchodzą m.in.</w:t>
      </w:r>
      <w:r>
        <w:rPr>
          <w:rFonts w:ascii="Times New Roman" w:hAnsi="Times New Roman" w:cs="Times New Roman"/>
          <w:color w:val="000000"/>
        </w:rPr>
        <w:t xml:space="preserve"> osadnik </w:t>
      </w:r>
      <w:r w:rsidRPr="004217B5">
        <w:rPr>
          <w:rFonts w:ascii="Times New Roman" w:hAnsi="Times New Roman" w:cs="Times New Roman"/>
          <w:color w:val="000000"/>
        </w:rPr>
        <w:t>oraz separator substancji ropopochodnych, a także nie będ</w:t>
      </w:r>
      <w:r>
        <w:rPr>
          <w:rFonts w:ascii="Times New Roman" w:hAnsi="Times New Roman" w:cs="Times New Roman"/>
          <w:color w:val="000000"/>
        </w:rPr>
        <w:t xml:space="preserve">ą powstawać ścieki przemysłowe, </w:t>
      </w:r>
      <w:r w:rsidRPr="004217B5">
        <w:rPr>
          <w:rFonts w:ascii="Times New Roman" w:hAnsi="Times New Roman" w:cs="Times New Roman"/>
          <w:color w:val="000000"/>
        </w:rPr>
        <w:t>stwierdza się, że jego realizacja i eksploatacja nie wpływa</w:t>
      </w:r>
      <w:r>
        <w:rPr>
          <w:rFonts w:ascii="Times New Roman" w:hAnsi="Times New Roman" w:cs="Times New Roman"/>
          <w:color w:val="000000"/>
        </w:rPr>
        <w:t xml:space="preserve"> na ryzyko nieosiągnięcia celów </w:t>
      </w:r>
      <w:r w:rsidRPr="004217B5">
        <w:rPr>
          <w:rFonts w:ascii="Times New Roman" w:hAnsi="Times New Roman" w:cs="Times New Roman"/>
          <w:color w:val="000000"/>
        </w:rPr>
        <w:t xml:space="preserve">środowiskowych zawartych </w:t>
      </w:r>
      <w:r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w Planie gospodarowania wod</w:t>
      </w:r>
      <w:r>
        <w:rPr>
          <w:rFonts w:ascii="Times New Roman" w:hAnsi="Times New Roman" w:cs="Times New Roman"/>
          <w:color w:val="000000"/>
        </w:rPr>
        <w:t xml:space="preserve">ami na obszarze dorzecza Wisły. </w:t>
      </w:r>
      <w:r w:rsidRPr="004217B5">
        <w:rPr>
          <w:rFonts w:ascii="Times New Roman" w:hAnsi="Times New Roman" w:cs="Times New Roman"/>
          <w:color w:val="000000"/>
        </w:rPr>
        <w:t>Omawiane zadanie pozostanie również bez wpł</w:t>
      </w:r>
      <w:r>
        <w:rPr>
          <w:rFonts w:ascii="Times New Roman" w:hAnsi="Times New Roman" w:cs="Times New Roman"/>
          <w:color w:val="000000"/>
        </w:rPr>
        <w:t xml:space="preserve">ywu na wyznaczone dla JCWP cele </w:t>
      </w:r>
      <w:r w:rsidRPr="004217B5">
        <w:rPr>
          <w:rFonts w:ascii="Times New Roman" w:hAnsi="Times New Roman" w:cs="Times New Roman"/>
          <w:color w:val="000000"/>
        </w:rPr>
        <w:t>środowiskowe, dotyczące zapewnienia możliwoś</w:t>
      </w:r>
      <w:r>
        <w:rPr>
          <w:rFonts w:ascii="Times New Roman" w:hAnsi="Times New Roman" w:cs="Times New Roman"/>
          <w:color w:val="000000"/>
        </w:rPr>
        <w:t xml:space="preserve">ci migracji organizmów wodnych, </w:t>
      </w:r>
      <w:r w:rsidRPr="004217B5">
        <w:rPr>
          <w:rFonts w:ascii="Times New Roman" w:hAnsi="Times New Roman" w:cs="Times New Roman"/>
          <w:color w:val="000000"/>
        </w:rPr>
        <w:t>ponieważ Wisła przepływa w odległości ponad 2,</w:t>
      </w:r>
      <w:r>
        <w:rPr>
          <w:rFonts w:ascii="Times New Roman" w:hAnsi="Times New Roman" w:cs="Times New Roman"/>
          <w:color w:val="000000"/>
        </w:rPr>
        <w:t xml:space="preserve">8 km od działek inwestycyjnych, </w:t>
      </w:r>
      <w:r w:rsidRPr="004217B5">
        <w:rPr>
          <w:rFonts w:ascii="Times New Roman" w:hAnsi="Times New Roman" w:cs="Times New Roman"/>
          <w:color w:val="000000"/>
        </w:rPr>
        <w:t>wobec czego w jej obrębie nie będą prowadzone jakiekolwiek prace.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Użyte materiały i technologie cechować się będą właśc</w:t>
      </w:r>
      <w:r>
        <w:rPr>
          <w:rFonts w:ascii="Times New Roman" w:hAnsi="Times New Roman" w:cs="Times New Roman"/>
          <w:color w:val="000000"/>
        </w:rPr>
        <w:t xml:space="preserve">iwościami, które zapewnią pełną </w:t>
      </w:r>
      <w:r w:rsidRPr="004217B5">
        <w:rPr>
          <w:rFonts w:ascii="Times New Roman" w:hAnsi="Times New Roman" w:cs="Times New Roman"/>
          <w:color w:val="000000"/>
        </w:rPr>
        <w:t>szczelność zbiorników oraz układów paliwowych, co zabe</w:t>
      </w:r>
      <w:r>
        <w:rPr>
          <w:rFonts w:ascii="Times New Roman" w:hAnsi="Times New Roman" w:cs="Times New Roman"/>
          <w:color w:val="000000"/>
        </w:rPr>
        <w:t xml:space="preserve">zpiecza przed infiltracją paliw </w:t>
      </w:r>
      <w:r w:rsidRPr="004217B5">
        <w:rPr>
          <w:rFonts w:ascii="Times New Roman" w:hAnsi="Times New Roman" w:cs="Times New Roman"/>
          <w:color w:val="000000"/>
        </w:rPr>
        <w:t>do gruntu.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W związku z charakterem planowanego prz</w:t>
      </w:r>
      <w:r>
        <w:rPr>
          <w:rFonts w:ascii="Times New Roman" w:hAnsi="Times New Roman" w:cs="Times New Roman"/>
          <w:color w:val="000000"/>
        </w:rPr>
        <w:t xml:space="preserve">edsięwzięcia, przy zastosowaniu </w:t>
      </w:r>
      <w:r w:rsidRPr="004217B5">
        <w:rPr>
          <w:rFonts w:ascii="Times New Roman" w:hAnsi="Times New Roman" w:cs="Times New Roman"/>
          <w:color w:val="000000"/>
        </w:rPr>
        <w:t>zaproponowanych w przedłożonej dokumentacji roz</w:t>
      </w:r>
      <w:r>
        <w:rPr>
          <w:rFonts w:ascii="Times New Roman" w:hAnsi="Times New Roman" w:cs="Times New Roman"/>
          <w:color w:val="000000"/>
        </w:rPr>
        <w:t xml:space="preserve">wiązań mających na celu ochronę </w:t>
      </w:r>
      <w:r w:rsidRPr="004217B5">
        <w:rPr>
          <w:rFonts w:ascii="Times New Roman" w:hAnsi="Times New Roman" w:cs="Times New Roman"/>
          <w:color w:val="000000"/>
        </w:rPr>
        <w:t xml:space="preserve">środowiska, nie przewiduje się negatywnego </w:t>
      </w:r>
      <w:r>
        <w:rPr>
          <w:rFonts w:ascii="Times New Roman" w:hAnsi="Times New Roman" w:cs="Times New Roman"/>
          <w:color w:val="000000"/>
        </w:rPr>
        <w:t xml:space="preserve">wpływu czynności realizacyjnych </w:t>
      </w:r>
      <w:r w:rsidRPr="004217B5">
        <w:rPr>
          <w:rFonts w:ascii="Times New Roman" w:hAnsi="Times New Roman" w:cs="Times New Roman"/>
          <w:color w:val="000000"/>
        </w:rPr>
        <w:t>oraz eksploatacji inwestycji na wody podziemne, powierzchniowe oraz glebę.</w:t>
      </w:r>
    </w:p>
    <w:p w:rsidR="004217B5" w:rsidRDefault="004217B5" w:rsidP="0042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17B5">
        <w:rPr>
          <w:rFonts w:ascii="Times New Roman" w:hAnsi="Times New Roman" w:cs="Times New Roman"/>
          <w:color w:val="000000"/>
        </w:rPr>
        <w:t>Na etapie realizacji inwestycji głównym źr</w:t>
      </w:r>
      <w:r>
        <w:rPr>
          <w:rFonts w:ascii="Times New Roman" w:hAnsi="Times New Roman" w:cs="Times New Roman"/>
          <w:color w:val="000000"/>
        </w:rPr>
        <w:t xml:space="preserve">ódłem odpadów będą prace ziemne </w:t>
      </w:r>
      <w:r w:rsidRPr="004217B5">
        <w:rPr>
          <w:rFonts w:ascii="Times New Roman" w:hAnsi="Times New Roman" w:cs="Times New Roman"/>
          <w:color w:val="000000"/>
        </w:rPr>
        <w:t>i budowlane związane z wykonaniem nowych obiektów. P</w:t>
      </w:r>
      <w:r>
        <w:rPr>
          <w:rFonts w:ascii="Times New Roman" w:hAnsi="Times New Roman" w:cs="Times New Roman"/>
          <w:color w:val="000000"/>
        </w:rPr>
        <w:t xml:space="preserve">rzewiduje się również powstanie </w:t>
      </w:r>
      <w:r w:rsidRPr="004217B5">
        <w:rPr>
          <w:rFonts w:ascii="Times New Roman" w:hAnsi="Times New Roman" w:cs="Times New Roman"/>
          <w:color w:val="000000"/>
        </w:rPr>
        <w:t>odpadów w postaci opakowań z papieru i tektury, z tworz</w:t>
      </w:r>
      <w:r>
        <w:rPr>
          <w:rFonts w:ascii="Times New Roman" w:hAnsi="Times New Roman" w:cs="Times New Roman"/>
          <w:color w:val="000000"/>
        </w:rPr>
        <w:t xml:space="preserve">yw sztucznych, z metali, szkła, </w:t>
      </w:r>
      <w:r w:rsidRPr="004217B5">
        <w:rPr>
          <w:rFonts w:ascii="Times New Roman" w:hAnsi="Times New Roman" w:cs="Times New Roman"/>
          <w:color w:val="000000"/>
        </w:rPr>
        <w:t>opakowań wielomateriałowych (opakowania po materiałach</w:t>
      </w:r>
      <w:r>
        <w:rPr>
          <w:rFonts w:ascii="Times New Roman" w:hAnsi="Times New Roman" w:cs="Times New Roman"/>
          <w:color w:val="000000"/>
        </w:rPr>
        <w:t xml:space="preserve"> budowlanych, malarskich itp.). </w:t>
      </w:r>
      <w:r w:rsidRPr="004217B5">
        <w:rPr>
          <w:rFonts w:ascii="Times New Roman" w:hAnsi="Times New Roman" w:cs="Times New Roman"/>
          <w:color w:val="000000"/>
        </w:rPr>
        <w:t>Odpady wytwarzane podczas realizacji inwestycj</w:t>
      </w:r>
      <w:r>
        <w:rPr>
          <w:rFonts w:ascii="Times New Roman" w:hAnsi="Times New Roman" w:cs="Times New Roman"/>
          <w:color w:val="000000"/>
        </w:rPr>
        <w:t xml:space="preserve">i magazynowane będą w miejscach </w:t>
      </w:r>
      <w:r w:rsidRPr="004217B5">
        <w:rPr>
          <w:rFonts w:ascii="Times New Roman" w:hAnsi="Times New Roman" w:cs="Times New Roman"/>
          <w:color w:val="000000"/>
        </w:rPr>
        <w:t xml:space="preserve">wyznaczonych w tym celu na terenie przedsięwzięcia </w:t>
      </w:r>
      <w:r w:rsidR="00D53AD4">
        <w:rPr>
          <w:rFonts w:ascii="Times New Roman" w:hAnsi="Times New Roman" w:cs="Times New Roman"/>
          <w:color w:val="000000"/>
        </w:rPr>
        <w:br/>
      </w:r>
      <w:r w:rsidRPr="004217B5">
        <w:rPr>
          <w:rFonts w:ascii="Times New Roman" w:hAnsi="Times New Roman" w:cs="Times New Roman"/>
          <w:color w:val="000000"/>
        </w:rPr>
        <w:t>w hałd</w:t>
      </w:r>
      <w:r>
        <w:rPr>
          <w:rFonts w:ascii="Times New Roman" w:hAnsi="Times New Roman" w:cs="Times New Roman"/>
          <w:color w:val="000000"/>
        </w:rPr>
        <w:t xml:space="preserve">ach bądź w zamkniętych, </w:t>
      </w:r>
      <w:r w:rsidRPr="004217B5">
        <w:rPr>
          <w:rFonts w:ascii="Times New Roman" w:hAnsi="Times New Roman" w:cs="Times New Roman"/>
          <w:color w:val="000000"/>
        </w:rPr>
        <w:t>szczelnych pojemnikach lub opakowaniach zbiorczych, wy</w:t>
      </w:r>
      <w:r>
        <w:rPr>
          <w:rFonts w:ascii="Times New Roman" w:hAnsi="Times New Roman" w:cs="Times New Roman"/>
          <w:color w:val="000000"/>
        </w:rPr>
        <w:t xml:space="preserve">konanych z materiałów odpornych </w:t>
      </w:r>
      <w:r w:rsidRPr="004217B5">
        <w:rPr>
          <w:rFonts w:ascii="Times New Roman" w:hAnsi="Times New Roman" w:cs="Times New Roman"/>
          <w:color w:val="000000"/>
        </w:rPr>
        <w:t>na działanie magazynowanych odpadów lub ich składników</w:t>
      </w:r>
      <w:r>
        <w:rPr>
          <w:rFonts w:ascii="Times New Roman" w:hAnsi="Times New Roman" w:cs="Times New Roman"/>
          <w:color w:val="000000"/>
        </w:rPr>
        <w:t xml:space="preserve">. Masy ziemne powstałe w wyniku </w:t>
      </w:r>
      <w:r w:rsidRPr="004217B5">
        <w:rPr>
          <w:rFonts w:ascii="Times New Roman" w:hAnsi="Times New Roman" w:cs="Times New Roman"/>
          <w:color w:val="000000"/>
        </w:rPr>
        <w:t>prowadzenia wykopów zostaną rozplanowane na tereny zielone w</w:t>
      </w:r>
      <w:r>
        <w:rPr>
          <w:rFonts w:ascii="Times New Roman" w:hAnsi="Times New Roman" w:cs="Times New Roman"/>
          <w:color w:val="000000"/>
        </w:rPr>
        <w:t xml:space="preserve"> celu ich wyrównania. </w:t>
      </w:r>
      <w:r w:rsidRPr="004217B5">
        <w:rPr>
          <w:rFonts w:ascii="Times New Roman" w:hAnsi="Times New Roman" w:cs="Times New Roman"/>
          <w:color w:val="000000"/>
        </w:rPr>
        <w:t>Wytworzone odpady zostaną przekazane do dals</w:t>
      </w:r>
      <w:r>
        <w:rPr>
          <w:rFonts w:ascii="Times New Roman" w:hAnsi="Times New Roman" w:cs="Times New Roman"/>
          <w:color w:val="000000"/>
        </w:rPr>
        <w:t xml:space="preserve">zego zagospodarowania odbiorcom </w:t>
      </w:r>
      <w:r w:rsidRPr="004217B5">
        <w:rPr>
          <w:rFonts w:ascii="Times New Roman" w:hAnsi="Times New Roman" w:cs="Times New Roman"/>
          <w:color w:val="000000"/>
        </w:rPr>
        <w:t>posiadającym odpowiednie decyzje w zakresie gospodarowania odpadami.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Planowana inwestycja w fazie eksploatacji nie</w:t>
      </w:r>
      <w:r>
        <w:rPr>
          <w:rFonts w:ascii="Times New Roman" w:hAnsi="Times New Roman" w:cs="Times New Roman"/>
          <w:color w:val="000000"/>
        </w:rPr>
        <w:t xml:space="preserve"> będzie istotnym źródłem emisji </w:t>
      </w:r>
      <w:r w:rsidRPr="00D53AD4">
        <w:rPr>
          <w:rFonts w:ascii="Times New Roman" w:hAnsi="Times New Roman" w:cs="Times New Roman"/>
          <w:color w:val="000000"/>
        </w:rPr>
        <w:t>odpadów. Na terenie stacji paliw, w związku z jej dział</w:t>
      </w:r>
      <w:r>
        <w:rPr>
          <w:rFonts w:ascii="Times New Roman" w:hAnsi="Times New Roman" w:cs="Times New Roman"/>
          <w:color w:val="000000"/>
        </w:rPr>
        <w:t xml:space="preserve">aniem, powstaną odpady w wyniku </w:t>
      </w:r>
      <w:r w:rsidRPr="00D53AD4">
        <w:rPr>
          <w:rFonts w:ascii="Times New Roman" w:hAnsi="Times New Roman" w:cs="Times New Roman"/>
          <w:color w:val="000000"/>
        </w:rPr>
        <w:t>funkcjonowania zaplecza administracyjno-socjalnego stacji</w:t>
      </w:r>
      <w:r>
        <w:rPr>
          <w:rFonts w:ascii="Times New Roman" w:hAnsi="Times New Roman" w:cs="Times New Roman"/>
          <w:color w:val="000000"/>
        </w:rPr>
        <w:t xml:space="preserve">, obsługi klientów stacji, prac </w:t>
      </w:r>
      <w:r w:rsidRPr="00D53AD4">
        <w:rPr>
          <w:rFonts w:ascii="Times New Roman" w:hAnsi="Times New Roman" w:cs="Times New Roman"/>
          <w:color w:val="000000"/>
        </w:rPr>
        <w:t>związanych z utrzymaniem porządku na terenie obiektu ora</w:t>
      </w:r>
      <w:r>
        <w:rPr>
          <w:rFonts w:ascii="Times New Roman" w:hAnsi="Times New Roman" w:cs="Times New Roman"/>
          <w:color w:val="000000"/>
        </w:rPr>
        <w:t xml:space="preserve">z drobnych napraw i konserwacji </w:t>
      </w:r>
      <w:r w:rsidRPr="00D53AD4">
        <w:rPr>
          <w:rFonts w:ascii="Times New Roman" w:hAnsi="Times New Roman" w:cs="Times New Roman"/>
          <w:color w:val="000000"/>
        </w:rPr>
        <w:t xml:space="preserve">urządzeń stacji. Odpady komunalne zbierane będą w </w:t>
      </w:r>
      <w:r>
        <w:rPr>
          <w:rFonts w:ascii="Times New Roman" w:hAnsi="Times New Roman" w:cs="Times New Roman"/>
          <w:color w:val="000000"/>
        </w:rPr>
        <w:t xml:space="preserve">sposób selektywny, w szczelnych </w:t>
      </w:r>
      <w:r w:rsidRPr="00D53AD4">
        <w:rPr>
          <w:rFonts w:ascii="Times New Roman" w:hAnsi="Times New Roman" w:cs="Times New Roman"/>
          <w:color w:val="000000"/>
        </w:rPr>
        <w:t>pojemnikach na terenie stacji. Wszystkie wytworzone na st</w:t>
      </w:r>
      <w:r>
        <w:rPr>
          <w:rFonts w:ascii="Times New Roman" w:hAnsi="Times New Roman" w:cs="Times New Roman"/>
          <w:color w:val="000000"/>
        </w:rPr>
        <w:t xml:space="preserve">acji paliw odpady niebezpieczne </w:t>
      </w:r>
      <w:r w:rsidRPr="00D53AD4">
        <w:rPr>
          <w:rFonts w:ascii="Times New Roman" w:hAnsi="Times New Roman" w:cs="Times New Roman"/>
          <w:color w:val="000000"/>
        </w:rPr>
        <w:t xml:space="preserve">i inne niż niebezpieczne magazynowane będą selektywnie </w:t>
      </w:r>
      <w:r>
        <w:rPr>
          <w:rFonts w:ascii="Times New Roman" w:hAnsi="Times New Roman" w:cs="Times New Roman"/>
          <w:color w:val="000000"/>
        </w:rPr>
        <w:t xml:space="preserve">w sposób dostosowany do rodzaju </w:t>
      </w:r>
      <w:r w:rsidRPr="00D53AD4">
        <w:rPr>
          <w:rFonts w:ascii="Times New Roman" w:hAnsi="Times New Roman" w:cs="Times New Roman"/>
          <w:color w:val="000000"/>
        </w:rPr>
        <w:t>i charakteru odpadu. W przypadku odpadów powstających w</w:t>
      </w:r>
      <w:r>
        <w:rPr>
          <w:rFonts w:ascii="Times New Roman" w:hAnsi="Times New Roman" w:cs="Times New Roman"/>
          <w:color w:val="000000"/>
        </w:rPr>
        <w:t xml:space="preserve"> wyniku świadczenia przez firmy </w:t>
      </w:r>
      <w:r w:rsidRPr="00D53AD4">
        <w:rPr>
          <w:rFonts w:ascii="Times New Roman" w:hAnsi="Times New Roman" w:cs="Times New Roman"/>
          <w:color w:val="000000"/>
        </w:rPr>
        <w:t>zewnętrzne usług na terenie stacji w zakresie rozbiórki o</w:t>
      </w:r>
      <w:r>
        <w:rPr>
          <w:rFonts w:ascii="Times New Roman" w:hAnsi="Times New Roman" w:cs="Times New Roman"/>
          <w:color w:val="000000"/>
        </w:rPr>
        <w:t xml:space="preserve">biektów, czyszczenia zbiorników </w:t>
      </w:r>
      <w:r w:rsidRPr="00D53AD4">
        <w:rPr>
          <w:rFonts w:ascii="Times New Roman" w:hAnsi="Times New Roman" w:cs="Times New Roman"/>
          <w:color w:val="000000"/>
        </w:rPr>
        <w:t>lub urządzeń oraz sprzątania, konserwacji i napraw, zgodnie z ustawą z dnia 14 grud</w:t>
      </w:r>
      <w:r>
        <w:rPr>
          <w:rFonts w:ascii="Times New Roman" w:hAnsi="Times New Roman" w:cs="Times New Roman"/>
          <w:color w:val="000000"/>
        </w:rPr>
        <w:t xml:space="preserve">nia </w:t>
      </w:r>
      <w:r w:rsidRPr="00D53AD4">
        <w:rPr>
          <w:rFonts w:ascii="Times New Roman" w:hAnsi="Times New Roman" w:cs="Times New Roman"/>
          <w:color w:val="000000"/>
        </w:rPr>
        <w:t>2012 r. o odpadach (</w:t>
      </w:r>
      <w:r w:rsidR="00147181">
        <w:rPr>
          <w:rFonts w:ascii="Times New Roman" w:hAnsi="Times New Roman" w:cs="Times New Roman"/>
          <w:color w:val="000000"/>
        </w:rPr>
        <w:t xml:space="preserve">tekst jednolity: </w:t>
      </w:r>
      <w:r w:rsidRPr="00D53AD4">
        <w:rPr>
          <w:rFonts w:ascii="Times New Roman" w:hAnsi="Times New Roman" w:cs="Times New Roman"/>
          <w:color w:val="000000"/>
        </w:rPr>
        <w:t>Dz. U. z 2023 r., poz. 1587 ze zm.) wytw</w:t>
      </w:r>
      <w:r>
        <w:rPr>
          <w:rFonts w:ascii="Times New Roman" w:hAnsi="Times New Roman" w:cs="Times New Roman"/>
          <w:color w:val="000000"/>
        </w:rPr>
        <w:t xml:space="preserve">órcą tych odpadów jest podmiot, </w:t>
      </w:r>
      <w:r w:rsidRPr="00D53AD4">
        <w:rPr>
          <w:rFonts w:ascii="Times New Roman" w:hAnsi="Times New Roman" w:cs="Times New Roman"/>
          <w:color w:val="000000"/>
        </w:rPr>
        <w:t>który świadczy tę usługę, chyba że umowa o świadczenie tych usług</w:t>
      </w:r>
      <w:r w:rsidR="00147181">
        <w:rPr>
          <w:rFonts w:ascii="Times New Roman" w:hAnsi="Times New Roman" w:cs="Times New Roman"/>
          <w:color w:val="000000"/>
        </w:rPr>
        <w:t xml:space="preserve"> będzie</w:t>
      </w:r>
      <w:r w:rsidRPr="00D53AD4">
        <w:rPr>
          <w:rFonts w:ascii="Times New Roman" w:hAnsi="Times New Roman" w:cs="Times New Roman"/>
          <w:color w:val="000000"/>
        </w:rPr>
        <w:t xml:space="preserve"> stanow</w:t>
      </w:r>
      <w:r w:rsidR="00147181">
        <w:rPr>
          <w:rFonts w:ascii="Times New Roman" w:hAnsi="Times New Roman" w:cs="Times New Roman"/>
          <w:color w:val="000000"/>
        </w:rPr>
        <w:t>ła</w:t>
      </w:r>
      <w:r w:rsidRPr="00D53AD4">
        <w:rPr>
          <w:rFonts w:ascii="Times New Roman" w:hAnsi="Times New Roman" w:cs="Times New Roman"/>
          <w:color w:val="000000"/>
        </w:rPr>
        <w:t>i inaczej.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 xml:space="preserve">Po zebraniu ekonomicznie uzasadnionej partii </w:t>
      </w:r>
      <w:r>
        <w:rPr>
          <w:rFonts w:ascii="Times New Roman" w:hAnsi="Times New Roman" w:cs="Times New Roman"/>
          <w:color w:val="000000"/>
        </w:rPr>
        <w:t xml:space="preserve">transportowej odpadów, zostanie </w:t>
      </w:r>
      <w:r w:rsidRPr="00D53AD4">
        <w:rPr>
          <w:rFonts w:ascii="Times New Roman" w:hAnsi="Times New Roman" w:cs="Times New Roman"/>
          <w:color w:val="000000"/>
        </w:rPr>
        <w:t>ona odebrana przez firmy posiadające odpowiednie poz</w:t>
      </w:r>
      <w:r>
        <w:rPr>
          <w:rFonts w:ascii="Times New Roman" w:hAnsi="Times New Roman" w:cs="Times New Roman"/>
          <w:color w:val="000000"/>
        </w:rPr>
        <w:t xml:space="preserve">wolenia, zajmujące się wywozem, </w:t>
      </w:r>
      <w:r w:rsidRPr="00D53AD4">
        <w:rPr>
          <w:rFonts w:ascii="Times New Roman" w:hAnsi="Times New Roman" w:cs="Times New Roman"/>
          <w:color w:val="000000"/>
        </w:rPr>
        <w:t>odzyskiem lub unieszkodliwianiem odpadów.</w:t>
      </w:r>
    </w:p>
    <w:p w:rsidR="004217B5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Rodzaj i ilość wytwarzanych odpadów nie bę</w:t>
      </w:r>
      <w:r>
        <w:rPr>
          <w:rFonts w:ascii="Times New Roman" w:hAnsi="Times New Roman" w:cs="Times New Roman"/>
          <w:color w:val="000000"/>
        </w:rPr>
        <w:t xml:space="preserve">dą miały znaczącego negatywnego </w:t>
      </w:r>
      <w:r w:rsidRPr="00D53AD4">
        <w:rPr>
          <w:rFonts w:ascii="Times New Roman" w:hAnsi="Times New Roman" w:cs="Times New Roman"/>
          <w:color w:val="000000"/>
        </w:rPr>
        <w:t>wpływu na środowisko przy zachowaniu podstawowych</w:t>
      </w:r>
      <w:r>
        <w:rPr>
          <w:rFonts w:ascii="Times New Roman" w:hAnsi="Times New Roman" w:cs="Times New Roman"/>
          <w:color w:val="000000"/>
        </w:rPr>
        <w:t xml:space="preserve"> zasad gospodarowania odpadami, </w:t>
      </w:r>
      <w:r w:rsidRPr="00D53AD4">
        <w:rPr>
          <w:rFonts w:ascii="Times New Roman" w:hAnsi="Times New Roman" w:cs="Times New Roman"/>
          <w:color w:val="000000"/>
        </w:rPr>
        <w:t>tj. hierarchii sposobów postępowania z odpadami zawar</w:t>
      </w:r>
      <w:r>
        <w:rPr>
          <w:rFonts w:ascii="Times New Roman" w:hAnsi="Times New Roman" w:cs="Times New Roman"/>
          <w:color w:val="000000"/>
        </w:rPr>
        <w:t xml:space="preserve">tej w art. 17 ww. ustawy z dnia </w:t>
      </w:r>
      <w:r w:rsidRPr="00D53AD4">
        <w:rPr>
          <w:rFonts w:ascii="Times New Roman" w:hAnsi="Times New Roman" w:cs="Times New Roman"/>
          <w:color w:val="000000"/>
        </w:rPr>
        <w:t>14 grudnia 2012 r. o odpadach.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Emisja hałasu z terenu inwestycji w momencie przystąpienia d</w:t>
      </w:r>
      <w:r>
        <w:rPr>
          <w:rFonts w:ascii="Times New Roman" w:hAnsi="Times New Roman" w:cs="Times New Roman"/>
          <w:color w:val="000000"/>
        </w:rPr>
        <w:t xml:space="preserve">o prac budowlanych </w:t>
      </w:r>
      <w:r w:rsidRPr="00D53AD4">
        <w:rPr>
          <w:rFonts w:ascii="Times New Roman" w:hAnsi="Times New Roman" w:cs="Times New Roman"/>
          <w:color w:val="000000"/>
        </w:rPr>
        <w:t>będzie związana z transportem materiałów budowlanych oraz odpadów powstających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 xml:space="preserve">w czasie budowy, </w:t>
      </w:r>
      <w:r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a także z manewrami wykonywanymi przez maszyny budowlane. Wszystkie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maszyny, urządzenia oraz samochody ciężarowe wykorzystywane na etapie bud</w:t>
      </w:r>
      <w:r>
        <w:rPr>
          <w:rFonts w:ascii="Times New Roman" w:hAnsi="Times New Roman" w:cs="Times New Roman"/>
          <w:color w:val="000000"/>
        </w:rPr>
        <w:t xml:space="preserve">owy </w:t>
      </w:r>
      <w:r w:rsidRPr="00D53AD4">
        <w:rPr>
          <w:rFonts w:ascii="Times New Roman" w:hAnsi="Times New Roman" w:cs="Times New Roman"/>
          <w:color w:val="000000"/>
        </w:rPr>
        <w:t>charakteryzują się wysokim poziomem m</w:t>
      </w:r>
      <w:r>
        <w:rPr>
          <w:rFonts w:ascii="Times New Roman" w:hAnsi="Times New Roman" w:cs="Times New Roman"/>
          <w:color w:val="000000"/>
        </w:rPr>
        <w:t xml:space="preserve">ocy akustycznej i emitują hałas </w:t>
      </w:r>
      <w:r w:rsidRPr="00D53AD4">
        <w:rPr>
          <w:rFonts w:ascii="Times New Roman" w:hAnsi="Times New Roman" w:cs="Times New Roman"/>
          <w:color w:val="000000"/>
        </w:rPr>
        <w:t>o dużym natężeniu. Hałas ten będzie miał jednak ch</w:t>
      </w:r>
      <w:r>
        <w:rPr>
          <w:rFonts w:ascii="Times New Roman" w:hAnsi="Times New Roman" w:cs="Times New Roman"/>
          <w:color w:val="000000"/>
        </w:rPr>
        <w:t xml:space="preserve">arakter okresowy i uciążliwości </w:t>
      </w:r>
      <w:r w:rsidRPr="00D53AD4">
        <w:rPr>
          <w:rFonts w:ascii="Times New Roman" w:hAnsi="Times New Roman" w:cs="Times New Roman"/>
          <w:color w:val="000000"/>
        </w:rPr>
        <w:t>z nim związane ustaną wraz z zakończeniem prac. Prace</w:t>
      </w:r>
      <w:r>
        <w:rPr>
          <w:rFonts w:ascii="Times New Roman" w:hAnsi="Times New Roman" w:cs="Times New Roman"/>
          <w:color w:val="000000"/>
        </w:rPr>
        <w:t xml:space="preserve"> budowlane winny być wykonywane </w:t>
      </w:r>
      <w:r w:rsidRPr="00D53AD4">
        <w:rPr>
          <w:rFonts w:ascii="Times New Roman" w:hAnsi="Times New Roman" w:cs="Times New Roman"/>
          <w:color w:val="000000"/>
        </w:rPr>
        <w:t xml:space="preserve">tylko w porze dziennej, a urządzenia emitujące hałas </w:t>
      </w:r>
      <w:r>
        <w:rPr>
          <w:rFonts w:ascii="Times New Roman" w:hAnsi="Times New Roman" w:cs="Times New Roman"/>
          <w:color w:val="000000"/>
        </w:rPr>
        <w:t xml:space="preserve">o największym natężeniu w miarę </w:t>
      </w:r>
      <w:r w:rsidRPr="00D53AD4">
        <w:rPr>
          <w:rFonts w:ascii="Times New Roman" w:hAnsi="Times New Roman" w:cs="Times New Roman"/>
          <w:color w:val="000000"/>
        </w:rPr>
        <w:t>możliwości nie powinny pracować równocześnie.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Najbliższe tereny chronione akustycznie – t</w:t>
      </w:r>
      <w:r>
        <w:rPr>
          <w:rFonts w:ascii="Times New Roman" w:hAnsi="Times New Roman" w:cs="Times New Roman"/>
          <w:color w:val="000000"/>
        </w:rPr>
        <w:t xml:space="preserve">ereny rekreacyjno-wypoczynkowe, </w:t>
      </w:r>
      <w:r w:rsidRPr="00D53AD4">
        <w:rPr>
          <w:rFonts w:ascii="Times New Roman" w:hAnsi="Times New Roman" w:cs="Times New Roman"/>
          <w:color w:val="000000"/>
        </w:rPr>
        <w:t>zlokalizowane są w kierunku południowym od inwestycji, około 620 m od jej granic.</w:t>
      </w:r>
    </w:p>
    <w:p w:rsidR="004217B5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Oddziaływanie akustyczne stacji paliw nierozerwal</w:t>
      </w:r>
      <w:r>
        <w:rPr>
          <w:rFonts w:ascii="Times New Roman" w:hAnsi="Times New Roman" w:cs="Times New Roman"/>
          <w:color w:val="000000"/>
        </w:rPr>
        <w:t xml:space="preserve">nie będzie wiązało się z emisją </w:t>
      </w:r>
      <w:r w:rsidRPr="00D53AD4">
        <w:rPr>
          <w:rFonts w:ascii="Times New Roman" w:hAnsi="Times New Roman" w:cs="Times New Roman"/>
          <w:color w:val="000000"/>
        </w:rPr>
        <w:t>hałasu, którego źródłem będą poruszające się pojazdy oraz praca dystrybutorów paliw. Źródłem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hałasu emitowanego przez poruszający się pojazd jest praca siln</w:t>
      </w:r>
      <w:r>
        <w:rPr>
          <w:rFonts w:ascii="Times New Roman" w:hAnsi="Times New Roman" w:cs="Times New Roman"/>
          <w:color w:val="000000"/>
        </w:rPr>
        <w:t xml:space="preserve">ika, opływ powietrza wokół </w:t>
      </w:r>
      <w:r w:rsidRPr="00D53AD4">
        <w:rPr>
          <w:rFonts w:ascii="Times New Roman" w:hAnsi="Times New Roman" w:cs="Times New Roman"/>
          <w:color w:val="000000"/>
        </w:rPr>
        <w:t>obrysu pojazdu, toczenie się kół po nawierzchni jezdni, drga</w:t>
      </w:r>
      <w:r>
        <w:rPr>
          <w:rFonts w:ascii="Times New Roman" w:hAnsi="Times New Roman" w:cs="Times New Roman"/>
          <w:color w:val="000000"/>
        </w:rPr>
        <w:t xml:space="preserve">nia zużytych elementów pojazdu. </w:t>
      </w:r>
      <w:r w:rsidRPr="00D53AD4">
        <w:rPr>
          <w:rFonts w:ascii="Times New Roman" w:hAnsi="Times New Roman" w:cs="Times New Roman"/>
          <w:color w:val="000000"/>
        </w:rPr>
        <w:t>Natężenie hałasu generowanego przez poruszające się pojazd</w:t>
      </w:r>
      <w:r>
        <w:rPr>
          <w:rFonts w:ascii="Times New Roman" w:hAnsi="Times New Roman" w:cs="Times New Roman"/>
          <w:color w:val="000000"/>
        </w:rPr>
        <w:t xml:space="preserve">y jest uzależnione od natężenia </w:t>
      </w:r>
      <w:r w:rsidRPr="00D53AD4">
        <w:rPr>
          <w:rFonts w:ascii="Times New Roman" w:hAnsi="Times New Roman" w:cs="Times New Roman"/>
          <w:color w:val="000000"/>
        </w:rPr>
        <w:t>ruchu pojazdów, ich prędkości, od udziału pojazdów cię</w:t>
      </w:r>
      <w:r>
        <w:rPr>
          <w:rFonts w:ascii="Times New Roman" w:hAnsi="Times New Roman" w:cs="Times New Roman"/>
          <w:color w:val="000000"/>
        </w:rPr>
        <w:t xml:space="preserve">żarowych. Wraz ze wzrostem tych </w:t>
      </w:r>
      <w:r w:rsidRPr="00D53AD4">
        <w:rPr>
          <w:rFonts w:ascii="Times New Roman" w:hAnsi="Times New Roman" w:cs="Times New Roman"/>
          <w:color w:val="000000"/>
        </w:rPr>
        <w:t>parametrów rośnie również poziom emitowanego hałasu.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Źródłami hałasu na terenie planowanego przedsięwzięcia będą:</w:t>
      </w:r>
    </w:p>
    <w:p w:rsidR="00D53AD4" w:rsidRDefault="00D53AD4" w:rsidP="00232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D53AD4">
        <w:rPr>
          <w:rFonts w:ascii="Times New Roman" w:hAnsi="Times New Roman"/>
          <w:color w:val="000000"/>
        </w:rPr>
        <w:t>źródła punktowe: operacje technologiczne (samochody tankujące);</w:t>
      </w:r>
    </w:p>
    <w:p w:rsidR="00D53AD4" w:rsidRPr="00D53AD4" w:rsidRDefault="00D53AD4" w:rsidP="00232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D53AD4">
        <w:rPr>
          <w:rFonts w:ascii="Times New Roman" w:hAnsi="Times New Roman"/>
          <w:color w:val="000000"/>
        </w:rPr>
        <w:t>źródła liniowe: ruch samochodów po terenie stacji.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Na terenie stacji planuje się montaż jednego dys</w:t>
      </w:r>
      <w:r>
        <w:rPr>
          <w:rFonts w:ascii="Times New Roman" w:hAnsi="Times New Roman" w:cs="Times New Roman"/>
          <w:color w:val="000000"/>
        </w:rPr>
        <w:t xml:space="preserve">trybutora do obsługi samochodów </w:t>
      </w:r>
      <w:r w:rsidRPr="00D53AD4">
        <w:rPr>
          <w:rFonts w:ascii="Times New Roman" w:hAnsi="Times New Roman" w:cs="Times New Roman"/>
          <w:color w:val="000000"/>
        </w:rPr>
        <w:t>osobowych/ciężarowych i jednego dystrybutora do obsług</w:t>
      </w:r>
      <w:r>
        <w:rPr>
          <w:rFonts w:ascii="Times New Roman" w:hAnsi="Times New Roman" w:cs="Times New Roman"/>
          <w:color w:val="000000"/>
        </w:rPr>
        <w:t xml:space="preserve">i samochodów ciężarowych, każdy </w:t>
      </w:r>
      <w:r w:rsidRPr="00D53AD4">
        <w:rPr>
          <w:rFonts w:ascii="Times New Roman" w:hAnsi="Times New Roman" w:cs="Times New Roman"/>
          <w:color w:val="000000"/>
        </w:rPr>
        <w:t>o mocy akustycznej 70 dB każdy. Zakłada się, iż tankowanie odbywać się będzie w czasie całej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doby, średni czas pracy dystrybutora podczas tankowan</w:t>
      </w:r>
      <w:r>
        <w:rPr>
          <w:rFonts w:ascii="Times New Roman" w:hAnsi="Times New Roman" w:cs="Times New Roman"/>
          <w:color w:val="000000"/>
        </w:rPr>
        <w:t xml:space="preserve">ia pojazdu przyjęto w wysokości </w:t>
      </w:r>
      <w:r w:rsidRPr="00D53AD4">
        <w:rPr>
          <w:rFonts w:ascii="Times New Roman" w:hAnsi="Times New Roman" w:cs="Times New Roman"/>
          <w:color w:val="000000"/>
        </w:rPr>
        <w:t>1,5 minuty (samochody osobowe/dostawcze) oraz 6 minut (samochody ciężarowe).</w:t>
      </w:r>
    </w:p>
    <w:p w:rsidR="00D53AD4" w:rsidRPr="00D53AD4" w:rsidRDefault="00147181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budynkach</w:t>
      </w:r>
      <w:r w:rsidR="00D53AD4" w:rsidRPr="00D53AD4">
        <w:rPr>
          <w:rFonts w:ascii="Times New Roman" w:hAnsi="Times New Roman" w:cs="Times New Roman"/>
          <w:color w:val="000000"/>
        </w:rPr>
        <w:t xml:space="preserve"> warsztatu </w:t>
      </w:r>
      <w:r>
        <w:rPr>
          <w:rFonts w:ascii="Times New Roman" w:hAnsi="Times New Roman" w:cs="Times New Roman"/>
          <w:color w:val="000000"/>
        </w:rPr>
        <w:t>i</w:t>
      </w:r>
      <w:r w:rsidR="00D53AD4" w:rsidRPr="00D53AD4">
        <w:rPr>
          <w:rFonts w:ascii="Times New Roman" w:hAnsi="Times New Roman" w:cs="Times New Roman"/>
          <w:color w:val="000000"/>
        </w:rPr>
        <w:t xml:space="preserve"> </w:t>
      </w:r>
      <w:r w:rsidR="00D53AD4">
        <w:rPr>
          <w:rFonts w:ascii="Times New Roman" w:hAnsi="Times New Roman" w:cs="Times New Roman"/>
          <w:color w:val="000000"/>
        </w:rPr>
        <w:t xml:space="preserve">biurowo-socjalnym będzie </w:t>
      </w:r>
      <w:r>
        <w:rPr>
          <w:rFonts w:ascii="Times New Roman" w:hAnsi="Times New Roman" w:cs="Times New Roman"/>
          <w:color w:val="000000"/>
        </w:rPr>
        <w:t>wykonana wentylacja grawitacyjna</w:t>
      </w:r>
      <w:r w:rsidR="00D53AD4" w:rsidRPr="00D53AD4">
        <w:rPr>
          <w:rFonts w:ascii="Times New Roman" w:hAnsi="Times New Roman" w:cs="Times New Roman"/>
          <w:color w:val="000000"/>
        </w:rPr>
        <w:t xml:space="preserve"> i nie planuje się wprowadzania w związku z </w:t>
      </w:r>
      <w:r w:rsidR="001417B2">
        <w:rPr>
          <w:rFonts w:ascii="Times New Roman" w:hAnsi="Times New Roman" w:cs="Times New Roman"/>
          <w:color w:val="000000"/>
        </w:rPr>
        <w:t>tym</w:t>
      </w:r>
      <w:r w:rsidR="00D53AD4" w:rsidRPr="00D53AD4">
        <w:rPr>
          <w:rFonts w:ascii="Times New Roman" w:hAnsi="Times New Roman" w:cs="Times New Roman"/>
          <w:color w:val="000000"/>
        </w:rPr>
        <w:t xml:space="preserve"> dodatkowych</w:t>
      </w:r>
      <w:r w:rsidR="00D53AD4">
        <w:rPr>
          <w:rFonts w:ascii="Times New Roman" w:hAnsi="Times New Roman" w:cs="Times New Roman"/>
          <w:color w:val="000000"/>
        </w:rPr>
        <w:t xml:space="preserve"> </w:t>
      </w:r>
      <w:r w:rsidR="00D53AD4" w:rsidRPr="00D53AD4">
        <w:rPr>
          <w:rFonts w:ascii="Times New Roman" w:hAnsi="Times New Roman" w:cs="Times New Roman"/>
          <w:color w:val="000000"/>
        </w:rPr>
        <w:t>źródeł hałasu.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Źródłami hałasu będą również samochody poruszające się</w:t>
      </w:r>
      <w:r>
        <w:rPr>
          <w:rFonts w:ascii="Times New Roman" w:hAnsi="Times New Roman" w:cs="Times New Roman"/>
          <w:color w:val="000000"/>
        </w:rPr>
        <w:t xml:space="preserve"> po terenie stacji. Zakłada się </w:t>
      </w:r>
      <w:r w:rsidRPr="00D53AD4">
        <w:rPr>
          <w:rFonts w:ascii="Times New Roman" w:hAnsi="Times New Roman" w:cs="Times New Roman"/>
          <w:color w:val="000000"/>
        </w:rPr>
        <w:t>ruch ok. 130 pojazdów w ciągu całej doby.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ramach analizy akustycznej wykonano ob</w:t>
      </w:r>
      <w:r>
        <w:rPr>
          <w:rFonts w:ascii="Times New Roman" w:hAnsi="Times New Roman" w:cs="Times New Roman"/>
          <w:color w:val="000000"/>
        </w:rPr>
        <w:t xml:space="preserve">liczenia w siatce obliczeniowej </w:t>
      </w:r>
      <w:r w:rsidRPr="00D53AD4">
        <w:rPr>
          <w:rFonts w:ascii="Times New Roman" w:hAnsi="Times New Roman" w:cs="Times New Roman"/>
          <w:color w:val="000000"/>
        </w:rPr>
        <w:t>i na ich podstawie sporządzono mapę oddziaływania akustycznego inwestycji. Wyniki obliczeń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 xml:space="preserve">wykazują, </w:t>
      </w:r>
      <w:r w:rsidR="001417B2">
        <w:rPr>
          <w:rFonts w:ascii="Times New Roman" w:hAnsi="Times New Roman" w:cs="Times New Roman"/>
          <w:color w:val="000000"/>
        </w:rPr>
        <w:t xml:space="preserve">że zostaną </w:t>
      </w:r>
      <w:r w:rsidRPr="00D53AD4">
        <w:rPr>
          <w:rFonts w:ascii="Times New Roman" w:hAnsi="Times New Roman" w:cs="Times New Roman"/>
          <w:color w:val="000000"/>
        </w:rPr>
        <w:t>dotrzymane standardy jakości środ</w:t>
      </w:r>
      <w:r>
        <w:rPr>
          <w:rFonts w:ascii="Times New Roman" w:hAnsi="Times New Roman" w:cs="Times New Roman"/>
          <w:color w:val="000000"/>
        </w:rPr>
        <w:t xml:space="preserve">owiska na najbliższych terenach </w:t>
      </w:r>
      <w:r w:rsidRPr="00D53AD4">
        <w:rPr>
          <w:rFonts w:ascii="Times New Roman" w:hAnsi="Times New Roman" w:cs="Times New Roman"/>
          <w:color w:val="000000"/>
        </w:rPr>
        <w:t>chronionych akustycznie.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trakcie realizacji analizowanego przedsi</w:t>
      </w:r>
      <w:r>
        <w:rPr>
          <w:rFonts w:ascii="Times New Roman" w:hAnsi="Times New Roman" w:cs="Times New Roman"/>
          <w:color w:val="000000"/>
        </w:rPr>
        <w:t xml:space="preserve">ęwzięcia może wystąpić okresowe </w:t>
      </w:r>
      <w:r w:rsidRPr="00D53AD4">
        <w:rPr>
          <w:rFonts w:ascii="Times New Roman" w:hAnsi="Times New Roman" w:cs="Times New Roman"/>
          <w:color w:val="000000"/>
        </w:rPr>
        <w:t>pogorszenie jakości powietrza, w wyniku spalania pal</w:t>
      </w:r>
      <w:r>
        <w:rPr>
          <w:rFonts w:ascii="Times New Roman" w:hAnsi="Times New Roman" w:cs="Times New Roman"/>
          <w:color w:val="000000"/>
        </w:rPr>
        <w:t xml:space="preserve">iw w pojazdach transportujących </w:t>
      </w:r>
      <w:r w:rsidRPr="00D53AD4">
        <w:rPr>
          <w:rFonts w:ascii="Times New Roman" w:hAnsi="Times New Roman" w:cs="Times New Roman"/>
          <w:color w:val="000000"/>
        </w:rPr>
        <w:t>oraz wykorzystywanych maszynach i urządzeniach b</w:t>
      </w:r>
      <w:r>
        <w:rPr>
          <w:rFonts w:ascii="Times New Roman" w:hAnsi="Times New Roman" w:cs="Times New Roman"/>
          <w:color w:val="000000"/>
        </w:rPr>
        <w:t xml:space="preserve">udowlanych. Wykorzystywane będą </w:t>
      </w:r>
      <w:r w:rsidRPr="00D53AD4">
        <w:rPr>
          <w:rFonts w:ascii="Times New Roman" w:hAnsi="Times New Roman" w:cs="Times New Roman"/>
          <w:color w:val="000000"/>
        </w:rPr>
        <w:t>pojazdy i sprzęt w dobrym stanie technicznym (prowadzon</w:t>
      </w:r>
      <w:r>
        <w:rPr>
          <w:rFonts w:ascii="Times New Roman" w:hAnsi="Times New Roman" w:cs="Times New Roman"/>
          <w:color w:val="000000"/>
        </w:rPr>
        <w:t xml:space="preserve">y będzie stały monitoring stanu </w:t>
      </w:r>
      <w:r w:rsidRPr="00D53AD4">
        <w:rPr>
          <w:rFonts w:ascii="Times New Roman" w:hAnsi="Times New Roman" w:cs="Times New Roman"/>
          <w:color w:val="000000"/>
        </w:rPr>
        <w:t>technicznego). W trakcie przerw w pracy, silniki pojazdów oraz wykorzystywany sprzęt będzie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wyłączany. Stosowane będą gotowe mieszanki betonu (przygotowywane w wytwórniac</w:t>
      </w:r>
      <w:r>
        <w:rPr>
          <w:rFonts w:ascii="Times New Roman" w:hAnsi="Times New Roman" w:cs="Times New Roman"/>
          <w:color w:val="000000"/>
        </w:rPr>
        <w:t xml:space="preserve">h </w:t>
      </w:r>
      <w:r w:rsidRPr="00D53AD4">
        <w:rPr>
          <w:rFonts w:ascii="Times New Roman" w:hAnsi="Times New Roman" w:cs="Times New Roman"/>
          <w:color w:val="000000"/>
        </w:rPr>
        <w:t>betonu), dowożone za pomocą tzw. samochodów ,,</w:t>
      </w:r>
      <w:r>
        <w:rPr>
          <w:rFonts w:ascii="Times New Roman" w:hAnsi="Times New Roman" w:cs="Times New Roman"/>
          <w:color w:val="000000"/>
        </w:rPr>
        <w:t xml:space="preserve">gruszek”, dzięki czemu zostanie </w:t>
      </w:r>
      <w:r w:rsidRPr="00D53AD4">
        <w:rPr>
          <w:rFonts w:ascii="Times New Roman" w:hAnsi="Times New Roman" w:cs="Times New Roman"/>
          <w:color w:val="000000"/>
        </w:rPr>
        <w:t>wyeliminowane pylenie podczas przygotowywania spoiwa w miejscu budowy.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Do emisji pyłów na etapie realizacji może docho</w:t>
      </w:r>
      <w:r>
        <w:rPr>
          <w:rFonts w:ascii="Times New Roman" w:hAnsi="Times New Roman" w:cs="Times New Roman"/>
          <w:color w:val="000000"/>
        </w:rPr>
        <w:t xml:space="preserve">dzić w trakcie przewozu sypkich </w:t>
      </w:r>
      <w:r w:rsidRPr="00D53AD4">
        <w:rPr>
          <w:rFonts w:ascii="Times New Roman" w:hAnsi="Times New Roman" w:cs="Times New Roman"/>
          <w:color w:val="000000"/>
        </w:rPr>
        <w:t>materiałów budowlanych. Aby ograniczyć tego rodzaju oddzi</w:t>
      </w:r>
      <w:r>
        <w:rPr>
          <w:rFonts w:ascii="Times New Roman" w:hAnsi="Times New Roman" w:cs="Times New Roman"/>
          <w:color w:val="000000"/>
        </w:rPr>
        <w:t>aływania, ich transport odbywał się będzie pojaz</w:t>
      </w:r>
      <w:r w:rsidRPr="00D53AD4">
        <w:rPr>
          <w:rFonts w:ascii="Times New Roman" w:hAnsi="Times New Roman" w:cs="Times New Roman"/>
          <w:color w:val="000000"/>
        </w:rPr>
        <w:t>dami wyposażonymi w opończe (plandeki) ograniczające pylenie.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Emisja zanieczyszczeń do powietrza związana będ</w:t>
      </w:r>
      <w:r>
        <w:rPr>
          <w:rFonts w:ascii="Times New Roman" w:hAnsi="Times New Roman" w:cs="Times New Roman"/>
          <w:color w:val="000000"/>
        </w:rPr>
        <w:t xml:space="preserve">zie z pracą kotłowni zakładowej </w:t>
      </w:r>
      <w:r w:rsidRPr="00D53AD4">
        <w:rPr>
          <w:rFonts w:ascii="Times New Roman" w:hAnsi="Times New Roman" w:cs="Times New Roman"/>
          <w:color w:val="000000"/>
        </w:rPr>
        <w:t>zlokalizowanej w budynku biurowo-socjalnym, emisją z do</w:t>
      </w:r>
      <w:r>
        <w:rPr>
          <w:rFonts w:ascii="Times New Roman" w:hAnsi="Times New Roman" w:cs="Times New Roman"/>
          <w:color w:val="000000"/>
        </w:rPr>
        <w:t xml:space="preserve">starczaniem i tankowaniem paliw </w:t>
      </w:r>
      <w:r w:rsidRPr="00D53AD4">
        <w:rPr>
          <w:rFonts w:ascii="Times New Roman" w:hAnsi="Times New Roman" w:cs="Times New Roman"/>
          <w:color w:val="000000"/>
        </w:rPr>
        <w:t>oraz ruchem pojazdów po terenie zakładu. W oblicze</w:t>
      </w:r>
      <w:r>
        <w:rPr>
          <w:rFonts w:ascii="Times New Roman" w:hAnsi="Times New Roman" w:cs="Times New Roman"/>
          <w:color w:val="000000"/>
        </w:rPr>
        <w:t xml:space="preserve">niach oddziaływania skumulowane </w:t>
      </w:r>
      <w:r w:rsidRPr="00D53AD4">
        <w:rPr>
          <w:rFonts w:ascii="Times New Roman" w:hAnsi="Times New Roman" w:cs="Times New Roman"/>
          <w:color w:val="000000"/>
        </w:rPr>
        <w:t xml:space="preserve">uwzględniono </w:t>
      </w:r>
      <w:r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w tle zanieczyszczeń.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budynku biurowo-socjalnym planowana jest b</w:t>
      </w:r>
      <w:r w:rsidR="005431D9">
        <w:rPr>
          <w:rFonts w:ascii="Times New Roman" w:hAnsi="Times New Roman" w:cs="Times New Roman"/>
          <w:color w:val="000000"/>
        </w:rPr>
        <w:t>u</w:t>
      </w:r>
      <w:r w:rsidRPr="00D53AD4">
        <w:rPr>
          <w:rFonts w:ascii="Times New Roman" w:hAnsi="Times New Roman" w:cs="Times New Roman"/>
          <w:color w:val="000000"/>
        </w:rPr>
        <w:t>dowa</w:t>
      </w:r>
      <w:r>
        <w:rPr>
          <w:rFonts w:ascii="Times New Roman" w:hAnsi="Times New Roman" w:cs="Times New Roman"/>
          <w:color w:val="000000"/>
        </w:rPr>
        <w:t xml:space="preserve"> kotłowni olejowej</w:t>
      </w:r>
      <w:r w:rsidR="001417B2">
        <w:rPr>
          <w:rFonts w:ascii="Times New Roman" w:hAnsi="Times New Roman" w:cs="Times New Roman"/>
          <w:color w:val="000000"/>
        </w:rPr>
        <w:t xml:space="preserve">, w której zainstalowany będzie kocioł o mocy 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30 kW.</w:t>
      </w:r>
    </w:p>
    <w:p w:rsid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trakcie procesu napełniania podziemnych z</w:t>
      </w:r>
      <w:r>
        <w:rPr>
          <w:rFonts w:ascii="Times New Roman" w:hAnsi="Times New Roman" w:cs="Times New Roman"/>
          <w:color w:val="000000"/>
        </w:rPr>
        <w:t xml:space="preserve">biorników paliwa oraz w trakcie </w:t>
      </w:r>
      <w:r w:rsidRPr="00D53AD4">
        <w:rPr>
          <w:rFonts w:ascii="Times New Roman" w:hAnsi="Times New Roman" w:cs="Times New Roman"/>
          <w:color w:val="000000"/>
        </w:rPr>
        <w:t>napełniania zbiorników pojazdów korzystających ze stacji może dochodzić do emisji ale będzie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ona na nieznacznym poziomie.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Zakłada się, że paliwo dowożone będzie autocystern</w:t>
      </w:r>
      <w:r>
        <w:rPr>
          <w:rFonts w:ascii="Times New Roman" w:hAnsi="Times New Roman" w:cs="Times New Roman"/>
          <w:color w:val="000000"/>
        </w:rPr>
        <w:t>ami o pojemnościach V=20 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. Do </w:t>
      </w:r>
      <w:r w:rsidRPr="00D53AD4">
        <w:rPr>
          <w:rFonts w:ascii="Times New Roman" w:hAnsi="Times New Roman" w:cs="Times New Roman"/>
          <w:color w:val="000000"/>
        </w:rPr>
        <w:t>rozładunku cysterny samochodowej zastosowany zosta</w:t>
      </w:r>
      <w:r>
        <w:rPr>
          <w:rFonts w:ascii="Times New Roman" w:hAnsi="Times New Roman" w:cs="Times New Roman"/>
          <w:color w:val="000000"/>
        </w:rPr>
        <w:t xml:space="preserve">nie zespół pompowy o wydajności </w:t>
      </w:r>
      <w:r w:rsidRPr="00D53AD4">
        <w:rPr>
          <w:rFonts w:ascii="Times New Roman" w:hAnsi="Times New Roman" w:cs="Times New Roman"/>
          <w:color w:val="000000"/>
        </w:rPr>
        <w:t xml:space="preserve">pompy </w:t>
      </w:r>
      <w:r w:rsidR="005431D9"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400 dm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 w:rsidRPr="00D53AD4">
        <w:rPr>
          <w:rFonts w:ascii="Times New Roman" w:hAnsi="Times New Roman" w:cs="Times New Roman"/>
          <w:color w:val="000000"/>
        </w:rPr>
        <w:t>/min.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Zaprojektowano 2 dystrybutory do dystrybucji paliw płynnych, jeden o standardowej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wydajności 40 dm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 w:rsidRPr="00D53AD4">
        <w:rPr>
          <w:rFonts w:ascii="Times New Roman" w:hAnsi="Times New Roman" w:cs="Times New Roman"/>
          <w:color w:val="000000"/>
        </w:rPr>
        <w:t>/min (2,4 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 w:rsidRPr="00D53AD4">
        <w:rPr>
          <w:rFonts w:ascii="Times New Roman" w:hAnsi="Times New Roman" w:cs="Times New Roman"/>
          <w:color w:val="000000"/>
        </w:rPr>
        <w:t>/h) i jeden o podwyższonej wydajności 70 dm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 w:rsidRPr="00D53AD4">
        <w:rPr>
          <w:rFonts w:ascii="Times New Roman" w:hAnsi="Times New Roman" w:cs="Times New Roman"/>
          <w:color w:val="000000"/>
        </w:rPr>
        <w:t>/min (4,2 m</w:t>
      </w:r>
      <w:r w:rsidRPr="00D53AD4">
        <w:rPr>
          <w:rFonts w:ascii="Times New Roman" w:hAnsi="Times New Roman" w:cs="Times New Roman"/>
          <w:color w:val="000000"/>
          <w:vertAlign w:val="superscript"/>
        </w:rPr>
        <w:t>3</w:t>
      </w:r>
      <w:r w:rsidRPr="00D53AD4">
        <w:rPr>
          <w:rFonts w:ascii="Times New Roman" w:hAnsi="Times New Roman" w:cs="Times New Roman"/>
          <w:color w:val="000000"/>
        </w:rPr>
        <w:t>/h).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celu ograniczenia emisji zanieczyszczeń do powietrza przewiduje się zastosowanie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wysokosprawnego, dwustopniowego systemu hermetyza</w:t>
      </w:r>
      <w:r>
        <w:rPr>
          <w:rFonts w:ascii="Times New Roman" w:hAnsi="Times New Roman" w:cs="Times New Roman"/>
          <w:color w:val="000000"/>
        </w:rPr>
        <w:t xml:space="preserve">cji odprowadzania par produktów </w:t>
      </w:r>
      <w:r w:rsidRPr="00D53AD4">
        <w:rPr>
          <w:rFonts w:ascii="Times New Roman" w:hAnsi="Times New Roman" w:cs="Times New Roman"/>
          <w:color w:val="000000"/>
        </w:rPr>
        <w:t>naftowych podczas napełniania zbiorników magazynow</w:t>
      </w:r>
      <w:r>
        <w:rPr>
          <w:rFonts w:ascii="Times New Roman" w:hAnsi="Times New Roman" w:cs="Times New Roman"/>
          <w:color w:val="000000"/>
        </w:rPr>
        <w:t xml:space="preserve">ych paliw oraz tankowania baków </w:t>
      </w:r>
      <w:r w:rsidRPr="00D53AD4">
        <w:rPr>
          <w:rFonts w:ascii="Times New Roman" w:hAnsi="Times New Roman" w:cs="Times New Roman"/>
          <w:color w:val="000000"/>
        </w:rPr>
        <w:t>samochodów.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Na potrzeby opracowania, dla rozpatrywanej inwest</w:t>
      </w:r>
      <w:r>
        <w:rPr>
          <w:rFonts w:ascii="Times New Roman" w:hAnsi="Times New Roman" w:cs="Times New Roman"/>
          <w:color w:val="000000"/>
        </w:rPr>
        <w:t xml:space="preserve">ycji, przeprowadzono obliczenia </w:t>
      </w:r>
      <w:r w:rsidRPr="00D53AD4">
        <w:rPr>
          <w:rFonts w:ascii="Times New Roman" w:hAnsi="Times New Roman" w:cs="Times New Roman"/>
          <w:color w:val="000000"/>
        </w:rPr>
        <w:t>stężeń jednogodzinnych i średniorocznych dla wybranych składników powietrza.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przeprowadzonych obliczeniach we wszystkich pun</w:t>
      </w:r>
      <w:r>
        <w:rPr>
          <w:rFonts w:ascii="Times New Roman" w:hAnsi="Times New Roman" w:cs="Times New Roman"/>
          <w:color w:val="000000"/>
        </w:rPr>
        <w:t xml:space="preserve">ktach siatki dotrzymane zostały </w:t>
      </w:r>
      <w:r w:rsidRPr="00D53AD4">
        <w:rPr>
          <w:rFonts w:ascii="Times New Roman" w:hAnsi="Times New Roman" w:cs="Times New Roman"/>
          <w:color w:val="000000"/>
        </w:rPr>
        <w:t>standardy jakości powietrza. Największe wartości wylic</w:t>
      </w:r>
      <w:r>
        <w:rPr>
          <w:rFonts w:ascii="Times New Roman" w:hAnsi="Times New Roman" w:cs="Times New Roman"/>
          <w:color w:val="000000"/>
        </w:rPr>
        <w:t xml:space="preserve">zanych zanieczyszczeń otrzymano </w:t>
      </w:r>
      <w:r w:rsidRPr="00D53AD4">
        <w:rPr>
          <w:rFonts w:ascii="Times New Roman" w:hAnsi="Times New Roman" w:cs="Times New Roman"/>
          <w:color w:val="000000"/>
        </w:rPr>
        <w:t xml:space="preserve">dla węglowodoru alifatycznego i wyniosło dla stężeń </w:t>
      </w:r>
      <w:r>
        <w:rPr>
          <w:rFonts w:ascii="Times New Roman" w:hAnsi="Times New Roman" w:cs="Times New Roman"/>
          <w:color w:val="000000"/>
        </w:rPr>
        <w:t xml:space="preserve">jednogodzinnych 4,1% w stosunku </w:t>
      </w:r>
      <w:r w:rsidRPr="00D53AD4">
        <w:rPr>
          <w:rFonts w:ascii="Times New Roman" w:hAnsi="Times New Roman" w:cs="Times New Roman"/>
          <w:color w:val="000000"/>
        </w:rPr>
        <w:t>do wartości dopuszczalnej oraz dla stężeń średnioroczny</w:t>
      </w:r>
      <w:r>
        <w:rPr>
          <w:rFonts w:ascii="Times New Roman" w:hAnsi="Times New Roman" w:cs="Times New Roman"/>
          <w:color w:val="000000"/>
        </w:rPr>
        <w:t xml:space="preserve">ch 0,02% w stosunku do wartości </w:t>
      </w:r>
      <w:r w:rsidRPr="00D53AD4">
        <w:rPr>
          <w:rFonts w:ascii="Times New Roman" w:hAnsi="Times New Roman" w:cs="Times New Roman"/>
          <w:color w:val="000000"/>
        </w:rPr>
        <w:t>dyspozycyjnej.</w:t>
      </w:r>
    </w:p>
    <w:p w:rsid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Dla wszystkich rozpatrywanych substancji, otrzy</w:t>
      </w:r>
      <w:r>
        <w:rPr>
          <w:rFonts w:ascii="Times New Roman" w:hAnsi="Times New Roman" w:cs="Times New Roman"/>
          <w:color w:val="000000"/>
        </w:rPr>
        <w:t xml:space="preserve">mane maksymalne wartości stężeń </w:t>
      </w:r>
      <w:r w:rsidRPr="00D53AD4">
        <w:rPr>
          <w:rFonts w:ascii="Times New Roman" w:hAnsi="Times New Roman" w:cs="Times New Roman"/>
          <w:color w:val="000000"/>
        </w:rPr>
        <w:t>nie przekraczają 10% swoich wartości dopuszczalnych i dyspozycyjnych.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Analizując wpływ zamierzenia w kontekście ada</w:t>
      </w:r>
      <w:r>
        <w:rPr>
          <w:rFonts w:ascii="Times New Roman" w:hAnsi="Times New Roman" w:cs="Times New Roman"/>
          <w:color w:val="000000"/>
        </w:rPr>
        <w:t xml:space="preserve">ptacji do skutków zmian klimatu </w:t>
      </w:r>
      <w:r w:rsidRPr="00D53AD4">
        <w:rPr>
          <w:rFonts w:ascii="Times New Roman" w:hAnsi="Times New Roman" w:cs="Times New Roman"/>
          <w:color w:val="000000"/>
        </w:rPr>
        <w:t xml:space="preserve">należy wskazać, </w:t>
      </w:r>
      <w:r w:rsidR="001417B2">
        <w:rPr>
          <w:rFonts w:ascii="Times New Roman" w:hAnsi="Times New Roman" w:cs="Times New Roman"/>
          <w:color w:val="000000"/>
        </w:rPr>
        <w:t>że</w:t>
      </w:r>
      <w:r w:rsidRPr="00D53AD4">
        <w:rPr>
          <w:rFonts w:ascii="Times New Roman" w:hAnsi="Times New Roman" w:cs="Times New Roman"/>
          <w:color w:val="000000"/>
        </w:rPr>
        <w:t xml:space="preserve"> inwestycja z uwagi na swój rodzaj </w:t>
      </w:r>
      <w:r>
        <w:rPr>
          <w:rFonts w:ascii="Times New Roman" w:hAnsi="Times New Roman" w:cs="Times New Roman"/>
          <w:color w:val="000000"/>
        </w:rPr>
        <w:t xml:space="preserve">i charakter nie będzie związana </w:t>
      </w:r>
      <w:r w:rsidRPr="00D53AD4">
        <w:rPr>
          <w:rFonts w:ascii="Times New Roman" w:hAnsi="Times New Roman" w:cs="Times New Roman"/>
          <w:color w:val="000000"/>
        </w:rPr>
        <w:t>z emisją gazów cieplarnianych. Rozwiązania projektowe p</w:t>
      </w:r>
      <w:r>
        <w:rPr>
          <w:rFonts w:ascii="Times New Roman" w:hAnsi="Times New Roman" w:cs="Times New Roman"/>
          <w:color w:val="000000"/>
        </w:rPr>
        <w:t xml:space="preserve">lanowanego obiektu uwzględniają </w:t>
      </w:r>
      <w:r w:rsidRPr="00D53AD4">
        <w:rPr>
          <w:rFonts w:ascii="Times New Roman" w:hAnsi="Times New Roman" w:cs="Times New Roman"/>
          <w:color w:val="000000"/>
        </w:rPr>
        <w:t>zabezpieczenia przed skutkami potencjalnych zmian warunk</w:t>
      </w:r>
      <w:r>
        <w:rPr>
          <w:rFonts w:ascii="Times New Roman" w:hAnsi="Times New Roman" w:cs="Times New Roman"/>
          <w:color w:val="000000"/>
        </w:rPr>
        <w:t xml:space="preserve">ów klimatycznych i ewentualnego </w:t>
      </w:r>
      <w:r w:rsidRPr="00D53AD4">
        <w:rPr>
          <w:rFonts w:ascii="Times New Roman" w:hAnsi="Times New Roman" w:cs="Times New Roman"/>
          <w:color w:val="000000"/>
        </w:rPr>
        <w:t>wystąpienia zdarzeń ekstremalnych.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Przedsięwzięcie będzie zlokalizowane poza obsz</w:t>
      </w:r>
      <w:r>
        <w:rPr>
          <w:rFonts w:ascii="Times New Roman" w:hAnsi="Times New Roman" w:cs="Times New Roman"/>
          <w:color w:val="000000"/>
        </w:rPr>
        <w:t xml:space="preserve">arami chronionymi w myśl ustawy </w:t>
      </w:r>
      <w:r w:rsidRPr="00D53AD4">
        <w:rPr>
          <w:rFonts w:ascii="Times New Roman" w:hAnsi="Times New Roman" w:cs="Times New Roman"/>
          <w:color w:val="000000"/>
        </w:rPr>
        <w:t xml:space="preserve">z dnia </w:t>
      </w:r>
      <w:r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16 kwietnia 2004 r. o ochronie przyrody (</w:t>
      </w:r>
      <w:r w:rsidR="001417B2">
        <w:rPr>
          <w:rFonts w:ascii="Times New Roman" w:hAnsi="Times New Roman" w:cs="Times New Roman"/>
          <w:color w:val="000000"/>
        </w:rPr>
        <w:t xml:space="preserve">tekst jednolity: </w:t>
      </w:r>
      <w:r w:rsidRPr="00D53AD4">
        <w:rPr>
          <w:rFonts w:ascii="Times New Roman" w:hAnsi="Times New Roman" w:cs="Times New Roman"/>
          <w:color w:val="000000"/>
        </w:rPr>
        <w:t>Dz. U. z 2023 r., po</w:t>
      </w:r>
      <w:r>
        <w:rPr>
          <w:rFonts w:ascii="Times New Roman" w:hAnsi="Times New Roman" w:cs="Times New Roman"/>
          <w:color w:val="000000"/>
        </w:rPr>
        <w:t>z. 1336 ze zm.</w:t>
      </w:r>
      <w:r w:rsidR="00232FB6">
        <w:rPr>
          <w:rFonts w:ascii="Times New Roman" w:hAnsi="Times New Roman" w:cs="Times New Roman"/>
          <w:color w:val="000000"/>
        </w:rPr>
        <w:t>; dalej: ustawa o ochronie przyrody</w:t>
      </w:r>
      <w:r>
        <w:rPr>
          <w:rFonts w:ascii="Times New Roman" w:hAnsi="Times New Roman" w:cs="Times New Roman"/>
          <w:color w:val="000000"/>
        </w:rPr>
        <w:t xml:space="preserve">), </w:t>
      </w:r>
      <w:r w:rsidRPr="00D53AD4">
        <w:rPr>
          <w:rFonts w:ascii="Times New Roman" w:hAnsi="Times New Roman" w:cs="Times New Roman"/>
          <w:color w:val="000000"/>
        </w:rPr>
        <w:t>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</w:t>
      </w:r>
      <w:r w:rsidR="001417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i projektowanymi </w:t>
      </w:r>
      <w:r w:rsidRPr="00D53AD4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Zgodnie z Kip, na terenie przedsięwzięcia stwierdzo</w:t>
      </w:r>
      <w:r>
        <w:rPr>
          <w:rFonts w:ascii="Times New Roman" w:hAnsi="Times New Roman" w:cs="Times New Roman"/>
          <w:color w:val="000000"/>
        </w:rPr>
        <w:t xml:space="preserve">no obecność gatunku chronionego </w:t>
      </w:r>
      <w:r w:rsidRPr="00D53AD4">
        <w:rPr>
          <w:rFonts w:ascii="Times New Roman" w:hAnsi="Times New Roman" w:cs="Times New Roman"/>
          <w:color w:val="000000"/>
        </w:rPr>
        <w:t>– kocanek piaskowych, które ulegną zniszczeniu w zw</w:t>
      </w:r>
      <w:r>
        <w:rPr>
          <w:rFonts w:ascii="Times New Roman" w:hAnsi="Times New Roman" w:cs="Times New Roman"/>
          <w:color w:val="000000"/>
        </w:rPr>
        <w:t xml:space="preserve">iązku z realizacją zamierzenia. </w:t>
      </w:r>
      <w:r w:rsidRPr="00D53AD4">
        <w:rPr>
          <w:rFonts w:ascii="Times New Roman" w:hAnsi="Times New Roman" w:cs="Times New Roman"/>
          <w:color w:val="000000"/>
        </w:rPr>
        <w:t>Stwierdzone siedlisko ww. gatunku zajmuje powierzchnię 197,77 m</w:t>
      </w:r>
      <w:r w:rsidRPr="00D53AD4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, z czego kocanki </w:t>
      </w:r>
      <w:r w:rsidRPr="00D53AD4">
        <w:rPr>
          <w:rFonts w:ascii="Times New Roman" w:hAnsi="Times New Roman" w:cs="Times New Roman"/>
          <w:color w:val="000000"/>
        </w:rPr>
        <w:t xml:space="preserve">piaskowe występują na </w:t>
      </w:r>
      <w:r w:rsidR="001417B2"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ok. 10% tej powierzchni. Z uwa</w:t>
      </w:r>
      <w:r>
        <w:rPr>
          <w:rFonts w:ascii="Times New Roman" w:hAnsi="Times New Roman" w:cs="Times New Roman"/>
          <w:color w:val="000000"/>
        </w:rPr>
        <w:t xml:space="preserve">gi na rozpowszechnienie kocanek </w:t>
      </w:r>
      <w:r w:rsidRPr="00D53AD4">
        <w:rPr>
          <w:rFonts w:ascii="Times New Roman" w:hAnsi="Times New Roman" w:cs="Times New Roman"/>
          <w:color w:val="000000"/>
        </w:rPr>
        <w:t xml:space="preserve">piaskowych na terenie kraju </w:t>
      </w:r>
      <w:r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 xml:space="preserve">i województwa, uwzględniając </w:t>
      </w:r>
      <w:r>
        <w:rPr>
          <w:rFonts w:ascii="Times New Roman" w:hAnsi="Times New Roman" w:cs="Times New Roman"/>
          <w:color w:val="000000"/>
        </w:rPr>
        <w:t xml:space="preserve">jednocześnie skalę zniszczenia, </w:t>
      </w:r>
      <w:r w:rsidRPr="00D53AD4">
        <w:rPr>
          <w:rFonts w:ascii="Times New Roman" w:hAnsi="Times New Roman" w:cs="Times New Roman"/>
          <w:color w:val="000000"/>
        </w:rPr>
        <w:t>nie przewiduje się znacząco negatywnego wpływu na zachowanie gatunku.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Zadanie wymaga wycinki zadrzewień, w obrębie k</w:t>
      </w:r>
      <w:r>
        <w:rPr>
          <w:rFonts w:ascii="Times New Roman" w:hAnsi="Times New Roman" w:cs="Times New Roman"/>
          <w:color w:val="000000"/>
        </w:rPr>
        <w:t xml:space="preserve">tórych nie stwierdzono siedlisk </w:t>
      </w:r>
      <w:r w:rsidRPr="00D53AD4">
        <w:rPr>
          <w:rFonts w:ascii="Times New Roman" w:hAnsi="Times New Roman" w:cs="Times New Roman"/>
          <w:color w:val="000000"/>
        </w:rPr>
        <w:t>gatunków chronionych.</w:t>
      </w:r>
    </w:p>
    <w:p w:rsidR="00D53AD4" w:rsidRP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W związku z realizacją inwestycji planuje się</w:t>
      </w:r>
      <w:r>
        <w:rPr>
          <w:rFonts w:ascii="Times New Roman" w:hAnsi="Times New Roman" w:cs="Times New Roman"/>
          <w:color w:val="000000"/>
        </w:rPr>
        <w:t xml:space="preserve"> wycięcie 11 drzew wymagających </w:t>
      </w:r>
      <w:r w:rsidRPr="00D53AD4">
        <w:rPr>
          <w:rFonts w:ascii="Times New Roman" w:hAnsi="Times New Roman" w:cs="Times New Roman"/>
          <w:color w:val="000000"/>
        </w:rPr>
        <w:t>pozwolenia na wycinkę, w tym 5 z nich to drze</w:t>
      </w:r>
      <w:r>
        <w:rPr>
          <w:rFonts w:ascii="Times New Roman" w:hAnsi="Times New Roman" w:cs="Times New Roman"/>
          <w:color w:val="000000"/>
        </w:rPr>
        <w:t xml:space="preserve">wa martwe. Pozostawione zostaną </w:t>
      </w:r>
      <w:r w:rsidRPr="00D53AD4">
        <w:rPr>
          <w:rFonts w:ascii="Times New Roman" w:hAnsi="Times New Roman" w:cs="Times New Roman"/>
          <w:color w:val="000000"/>
        </w:rPr>
        <w:t>dwa drzewa. Planuje się wykonanie nasadzeń zastępczych</w:t>
      </w:r>
      <w:r>
        <w:rPr>
          <w:rFonts w:ascii="Times New Roman" w:hAnsi="Times New Roman" w:cs="Times New Roman"/>
          <w:color w:val="000000"/>
        </w:rPr>
        <w:t xml:space="preserve"> w ilości 12 sztuk. Do nasadzeń </w:t>
      </w:r>
      <w:r w:rsidRPr="00D53AD4">
        <w:rPr>
          <w:rFonts w:ascii="Times New Roman" w:hAnsi="Times New Roman" w:cs="Times New Roman"/>
          <w:color w:val="000000"/>
        </w:rPr>
        <w:t xml:space="preserve">zostaną wybrane gatunki rodzime </w:t>
      </w:r>
      <w:r w:rsidR="001417B2"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>np. lipa drobnolistna, brzoz</w:t>
      </w:r>
      <w:r>
        <w:rPr>
          <w:rFonts w:ascii="Times New Roman" w:hAnsi="Times New Roman" w:cs="Times New Roman"/>
          <w:color w:val="000000"/>
        </w:rPr>
        <w:t xml:space="preserve">a brodawkowata, klon pospolity, </w:t>
      </w:r>
      <w:r w:rsidRPr="00D53AD4">
        <w:rPr>
          <w:rFonts w:ascii="Times New Roman" w:hAnsi="Times New Roman" w:cs="Times New Roman"/>
          <w:color w:val="000000"/>
        </w:rPr>
        <w:t>klon jawor, jarząb pospolity.</w:t>
      </w:r>
    </w:p>
    <w:p w:rsidR="00D53AD4" w:rsidRDefault="00D53AD4" w:rsidP="00D5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53AD4">
        <w:rPr>
          <w:rFonts w:ascii="Times New Roman" w:hAnsi="Times New Roman" w:cs="Times New Roman"/>
          <w:color w:val="000000"/>
        </w:rPr>
        <w:t>Z uwagi na możliwe występowanie małych zwierząt pr</w:t>
      </w:r>
      <w:r>
        <w:rPr>
          <w:rFonts w:ascii="Times New Roman" w:hAnsi="Times New Roman" w:cs="Times New Roman"/>
          <w:color w:val="000000"/>
        </w:rPr>
        <w:t xml:space="preserve">zewidziano działania w zakresie </w:t>
      </w:r>
      <w:r w:rsidRPr="00D53AD4">
        <w:rPr>
          <w:rFonts w:ascii="Times New Roman" w:hAnsi="Times New Roman" w:cs="Times New Roman"/>
          <w:color w:val="000000"/>
        </w:rPr>
        <w:t>zabezpieczenia oraz kontroli wykopów i otworów przed t</w:t>
      </w:r>
      <w:r>
        <w:rPr>
          <w:rFonts w:ascii="Times New Roman" w:hAnsi="Times New Roman" w:cs="Times New Roman"/>
          <w:color w:val="000000"/>
        </w:rPr>
        <w:t xml:space="preserve">worzeniem pułapki ekologicznej. </w:t>
      </w:r>
      <w:r w:rsidRPr="00D53AD4">
        <w:rPr>
          <w:rFonts w:ascii="Times New Roman" w:hAnsi="Times New Roman" w:cs="Times New Roman"/>
          <w:color w:val="000000"/>
        </w:rPr>
        <w:t xml:space="preserve">Ponadto, </w:t>
      </w:r>
      <w:r>
        <w:rPr>
          <w:rFonts w:ascii="Times New Roman" w:hAnsi="Times New Roman" w:cs="Times New Roman"/>
          <w:color w:val="000000"/>
        </w:rPr>
        <w:br/>
      </w:r>
      <w:r w:rsidRPr="00D53AD4">
        <w:rPr>
          <w:rFonts w:ascii="Times New Roman" w:hAnsi="Times New Roman" w:cs="Times New Roman"/>
          <w:color w:val="000000"/>
        </w:rPr>
        <w:t xml:space="preserve">w oparciu o KIP wskazano na wymóg kontroli </w:t>
      </w:r>
      <w:r>
        <w:rPr>
          <w:rFonts w:ascii="Times New Roman" w:hAnsi="Times New Roman" w:cs="Times New Roman"/>
          <w:color w:val="000000"/>
        </w:rPr>
        <w:t xml:space="preserve">terenu przed rozpoczęciem robót </w:t>
      </w:r>
      <w:r w:rsidRPr="00D53AD4">
        <w:rPr>
          <w:rFonts w:ascii="Times New Roman" w:hAnsi="Times New Roman" w:cs="Times New Roman"/>
          <w:color w:val="000000"/>
        </w:rPr>
        <w:t>(w przypadku ich prowadzenia w okresie rozrodu małych zwierząt, który przyjęto jako trwający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AD4">
        <w:rPr>
          <w:rFonts w:ascii="Times New Roman" w:hAnsi="Times New Roman" w:cs="Times New Roman"/>
          <w:color w:val="000000"/>
        </w:rPr>
        <w:t>od 1 marca do 31 lipca).</w:t>
      </w:r>
    </w:p>
    <w:p w:rsidR="00232FB6" w:rsidRPr="00232FB6" w:rsidRDefault="00232FB6" w:rsidP="0023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32FB6">
        <w:rPr>
          <w:rFonts w:ascii="Times New Roman" w:hAnsi="Times New Roman" w:cs="Times New Roman"/>
          <w:color w:val="000000"/>
        </w:rPr>
        <w:t>W związku z powyższym nie stwierdza się znacząco negaty</w:t>
      </w:r>
      <w:r>
        <w:rPr>
          <w:rFonts w:ascii="Times New Roman" w:hAnsi="Times New Roman" w:cs="Times New Roman"/>
          <w:color w:val="000000"/>
        </w:rPr>
        <w:t xml:space="preserve">wnego oddziaływania </w:t>
      </w:r>
      <w:r w:rsidRPr="00232FB6">
        <w:rPr>
          <w:rFonts w:ascii="Times New Roman" w:hAnsi="Times New Roman" w:cs="Times New Roman"/>
          <w:color w:val="000000"/>
        </w:rPr>
        <w:t>na korytarze migracji i obszary chronione, w tym obszary Nat</w:t>
      </w:r>
      <w:r>
        <w:rPr>
          <w:rFonts w:ascii="Times New Roman" w:hAnsi="Times New Roman" w:cs="Times New Roman"/>
          <w:color w:val="000000"/>
        </w:rPr>
        <w:t xml:space="preserve">ura 2000, a ocena oddziaływania </w:t>
      </w:r>
      <w:r w:rsidRPr="00232FB6">
        <w:rPr>
          <w:rFonts w:ascii="Times New Roman" w:hAnsi="Times New Roman" w:cs="Times New Roman"/>
          <w:color w:val="000000"/>
        </w:rPr>
        <w:t xml:space="preserve">na środowisko </w:t>
      </w:r>
      <w:r>
        <w:rPr>
          <w:rFonts w:ascii="Times New Roman" w:hAnsi="Times New Roman" w:cs="Times New Roman"/>
          <w:color w:val="000000"/>
        </w:rPr>
        <w:br/>
      </w:r>
      <w:r w:rsidRPr="00232FB6">
        <w:rPr>
          <w:rFonts w:ascii="Times New Roman" w:hAnsi="Times New Roman" w:cs="Times New Roman"/>
          <w:color w:val="000000"/>
        </w:rPr>
        <w:t>w zakresie ochrony przyrody i obszarów Natura 2000 nie jest wymagana.</w:t>
      </w:r>
    </w:p>
    <w:p w:rsidR="00232FB6" w:rsidRPr="00232FB6" w:rsidRDefault="00232FB6" w:rsidP="0023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32FB6">
        <w:rPr>
          <w:rFonts w:ascii="Times New Roman" w:hAnsi="Times New Roman" w:cs="Times New Roman"/>
          <w:color w:val="000000"/>
        </w:rPr>
        <w:t>W przypadku jeśli skutkiem robót budowlanych bądź innych pra</w:t>
      </w:r>
      <w:r>
        <w:rPr>
          <w:rFonts w:ascii="Times New Roman" w:hAnsi="Times New Roman" w:cs="Times New Roman"/>
          <w:color w:val="000000"/>
        </w:rPr>
        <w:t xml:space="preserve">c związanych </w:t>
      </w:r>
      <w:r w:rsidRPr="00232FB6">
        <w:rPr>
          <w:rFonts w:ascii="Times New Roman" w:hAnsi="Times New Roman" w:cs="Times New Roman"/>
          <w:color w:val="000000"/>
        </w:rPr>
        <w:t>z realizacją zamierzenia będzie podjęcie czynności obję</w:t>
      </w:r>
      <w:r>
        <w:rPr>
          <w:rFonts w:ascii="Times New Roman" w:hAnsi="Times New Roman" w:cs="Times New Roman"/>
          <w:color w:val="000000"/>
        </w:rPr>
        <w:t xml:space="preserve">tych zakazami względem gatunków </w:t>
      </w:r>
      <w:r w:rsidRPr="00232FB6">
        <w:rPr>
          <w:rFonts w:ascii="Times New Roman" w:hAnsi="Times New Roman" w:cs="Times New Roman"/>
          <w:color w:val="000000"/>
        </w:rPr>
        <w:t>chronionych zwierząt, roślin oraz grzybów, wynikającymi</w:t>
      </w:r>
      <w:r>
        <w:rPr>
          <w:rFonts w:ascii="Times New Roman" w:hAnsi="Times New Roman" w:cs="Times New Roman"/>
          <w:color w:val="000000"/>
        </w:rPr>
        <w:t xml:space="preserve"> z art. 51 i art. 52 ustawy </w:t>
      </w:r>
      <w:r w:rsidRPr="00232FB6">
        <w:rPr>
          <w:rFonts w:ascii="Times New Roman" w:hAnsi="Times New Roman" w:cs="Times New Roman"/>
          <w:color w:val="000000"/>
        </w:rPr>
        <w:t>o ochronie przyrody, Inwestor lub Wykonawca są zobowiązani do uzyskan</w:t>
      </w:r>
      <w:r>
        <w:rPr>
          <w:rFonts w:ascii="Times New Roman" w:hAnsi="Times New Roman" w:cs="Times New Roman"/>
          <w:color w:val="000000"/>
        </w:rPr>
        <w:t xml:space="preserve">ia zgody </w:t>
      </w:r>
      <w:r w:rsidRPr="00232FB6">
        <w:rPr>
          <w:rFonts w:ascii="Times New Roman" w:hAnsi="Times New Roman" w:cs="Times New Roman"/>
          <w:color w:val="000000"/>
        </w:rPr>
        <w:t xml:space="preserve">na wykonanie czynności podlegających </w:t>
      </w:r>
      <w:r>
        <w:rPr>
          <w:rFonts w:ascii="Times New Roman" w:hAnsi="Times New Roman" w:cs="Times New Roman"/>
          <w:color w:val="000000"/>
        </w:rPr>
        <w:t xml:space="preserve">zakazom na zasadach określonych </w:t>
      </w:r>
      <w:r w:rsidRPr="00232FB6">
        <w:rPr>
          <w:rFonts w:ascii="Times New Roman" w:hAnsi="Times New Roman" w:cs="Times New Roman"/>
          <w:color w:val="000000"/>
        </w:rPr>
        <w:t xml:space="preserve">w art. 56 </w:t>
      </w:r>
      <w:r w:rsidR="001417B2">
        <w:rPr>
          <w:rFonts w:ascii="Times New Roman" w:hAnsi="Times New Roman" w:cs="Times New Roman"/>
          <w:color w:val="000000"/>
        </w:rPr>
        <w:t>tejże</w:t>
      </w:r>
      <w:r w:rsidRPr="00232FB6">
        <w:rPr>
          <w:rFonts w:ascii="Times New Roman" w:hAnsi="Times New Roman" w:cs="Times New Roman"/>
          <w:color w:val="000000"/>
        </w:rPr>
        <w:t xml:space="preserve"> ustawy.</w:t>
      </w:r>
    </w:p>
    <w:p w:rsidR="00232FB6" w:rsidRPr="00232FB6" w:rsidRDefault="00232FB6" w:rsidP="0023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32FB6">
        <w:rPr>
          <w:rFonts w:ascii="Times New Roman" w:hAnsi="Times New Roman" w:cs="Times New Roman"/>
          <w:color w:val="000000"/>
        </w:rPr>
        <w:t>Zadanie, ze względu na swój lokalny zasięg,</w:t>
      </w:r>
      <w:r>
        <w:rPr>
          <w:rFonts w:ascii="Times New Roman" w:hAnsi="Times New Roman" w:cs="Times New Roman"/>
          <w:color w:val="000000"/>
        </w:rPr>
        <w:t xml:space="preserve"> nie wiąże się z oddziaływaniem </w:t>
      </w:r>
      <w:r w:rsidRPr="00232FB6">
        <w:rPr>
          <w:rFonts w:ascii="Times New Roman" w:hAnsi="Times New Roman" w:cs="Times New Roman"/>
          <w:color w:val="000000"/>
        </w:rPr>
        <w:t>transgranicznym.</w:t>
      </w:r>
    </w:p>
    <w:p w:rsidR="00232FB6" w:rsidRDefault="00232FB6" w:rsidP="0023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32FB6">
        <w:rPr>
          <w:rFonts w:ascii="Times New Roman" w:hAnsi="Times New Roman" w:cs="Times New Roman"/>
          <w:color w:val="000000"/>
        </w:rPr>
        <w:t>Na etapie opiniowania zamierzenia, przy okre</w:t>
      </w:r>
      <w:r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232FB6">
        <w:rPr>
          <w:rFonts w:ascii="Times New Roman" w:hAnsi="Times New Roman" w:cs="Times New Roman"/>
          <w:color w:val="000000"/>
        </w:rPr>
        <w:t>uwzględniono wzajemne powiązania poszczególnych eleme</w:t>
      </w:r>
      <w:r>
        <w:rPr>
          <w:rFonts w:ascii="Times New Roman" w:hAnsi="Times New Roman" w:cs="Times New Roman"/>
          <w:color w:val="000000"/>
        </w:rPr>
        <w:t xml:space="preserve">ntów środowiska oraz interakcje </w:t>
      </w:r>
      <w:r w:rsidRPr="00232FB6">
        <w:rPr>
          <w:rFonts w:ascii="Times New Roman" w:hAnsi="Times New Roman" w:cs="Times New Roman"/>
          <w:color w:val="000000"/>
        </w:rPr>
        <w:t xml:space="preserve">pośrednie wynikające </w:t>
      </w:r>
      <w:r w:rsidR="005431D9">
        <w:rPr>
          <w:rFonts w:ascii="Times New Roman" w:hAnsi="Times New Roman" w:cs="Times New Roman"/>
          <w:color w:val="000000"/>
        </w:rPr>
        <w:br/>
      </w:r>
      <w:r w:rsidRPr="00232FB6">
        <w:rPr>
          <w:rFonts w:ascii="Times New Roman" w:hAnsi="Times New Roman" w:cs="Times New Roman"/>
          <w:color w:val="000000"/>
        </w:rPr>
        <w:t>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232FB6">
        <w:rPr>
          <w:rFonts w:ascii="Times New Roman" w:hAnsi="Times New Roman" w:cs="Times New Roman"/>
          <w:color w:val="000000"/>
        </w:rPr>
        <w:t xml:space="preserve">więc efekty skumulowane, związane </w:t>
      </w:r>
      <w:r w:rsidR="001417B2">
        <w:rPr>
          <w:rFonts w:ascii="Times New Roman" w:hAnsi="Times New Roman" w:cs="Times New Roman"/>
          <w:color w:val="000000"/>
        </w:rPr>
        <w:br/>
      </w:r>
      <w:r w:rsidRPr="00232FB6">
        <w:rPr>
          <w:rFonts w:ascii="Times New Roman" w:hAnsi="Times New Roman" w:cs="Times New Roman"/>
          <w:color w:val="000000"/>
        </w:rPr>
        <w:t>z potencjalną degrada</w:t>
      </w:r>
      <w:r>
        <w:rPr>
          <w:rFonts w:ascii="Times New Roman" w:hAnsi="Times New Roman" w:cs="Times New Roman"/>
          <w:color w:val="000000"/>
        </w:rPr>
        <w:t xml:space="preserve">cją kilku elementów środowiska. </w:t>
      </w:r>
      <w:r w:rsidRPr="00232FB6">
        <w:rPr>
          <w:rFonts w:ascii="Times New Roman" w:hAnsi="Times New Roman" w:cs="Times New Roman"/>
          <w:color w:val="000000"/>
        </w:rPr>
        <w:t>Biorąc pod uwagę powyższe, przeanalizowa</w:t>
      </w:r>
      <w:r>
        <w:rPr>
          <w:rFonts w:ascii="Times New Roman" w:hAnsi="Times New Roman" w:cs="Times New Roman"/>
          <w:color w:val="000000"/>
        </w:rPr>
        <w:t>no</w:t>
      </w:r>
      <w:r w:rsidRPr="00232FB6">
        <w:rPr>
          <w:rFonts w:ascii="Times New Roman" w:hAnsi="Times New Roman" w:cs="Times New Roman"/>
          <w:color w:val="000000"/>
        </w:rPr>
        <w:t xml:space="preserve"> ryzyko wystąpienia efektu skumulowaneg</w:t>
      </w:r>
      <w:r>
        <w:rPr>
          <w:rFonts w:ascii="Times New Roman" w:hAnsi="Times New Roman" w:cs="Times New Roman"/>
          <w:color w:val="000000"/>
        </w:rPr>
        <w:t xml:space="preserve">o oddziaływania dla niniejszego </w:t>
      </w:r>
      <w:r w:rsidRPr="00232FB6">
        <w:rPr>
          <w:rFonts w:ascii="Times New Roman" w:hAnsi="Times New Roman" w:cs="Times New Roman"/>
          <w:color w:val="000000"/>
        </w:rPr>
        <w:t>przedsięwzięcia. Na podstawie informacji zawartych w Kip stw</w:t>
      </w:r>
      <w:r>
        <w:rPr>
          <w:rFonts w:ascii="Times New Roman" w:hAnsi="Times New Roman" w:cs="Times New Roman"/>
          <w:color w:val="000000"/>
        </w:rPr>
        <w:t xml:space="preserve">ierdzono, że nie wystąpią </w:t>
      </w:r>
      <w:r w:rsidRPr="00232FB6">
        <w:rPr>
          <w:rFonts w:ascii="Times New Roman" w:hAnsi="Times New Roman" w:cs="Times New Roman"/>
          <w:color w:val="000000"/>
        </w:rPr>
        <w:t>oddziaływania skumulowane.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BD1EE6" w:rsidRPr="004B3DA6" w:rsidRDefault="001417B2" w:rsidP="0014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417B2">
        <w:rPr>
          <w:rFonts w:ascii="Times New Roman" w:hAnsi="Times New Roman" w:cs="Times New Roman"/>
          <w:color w:val="000000"/>
        </w:rPr>
        <w:t>Na podstawie analizy złożonej dokumentacji wraz z uzupełnieniami oraz po uzyskaniu opinii: Regionalnego Dyrektora Ochrony Środowiska w Bydgoszczy, Państwowego Powiatowego Inspektora Sanitarnego w Toruniu i Państwowego Gospodarstwa Wodnego Wody Polskie w Gd</w:t>
      </w:r>
      <w:r>
        <w:rPr>
          <w:rFonts w:ascii="Times New Roman" w:hAnsi="Times New Roman" w:cs="Times New Roman"/>
          <w:color w:val="000000"/>
        </w:rPr>
        <w:t xml:space="preserve">ańsku, Zarządu </w:t>
      </w:r>
      <w:r w:rsidRPr="001417B2">
        <w:rPr>
          <w:rFonts w:ascii="Times New Roman" w:hAnsi="Times New Roman" w:cs="Times New Roman"/>
          <w:color w:val="000000"/>
        </w:rPr>
        <w:t>Zlewni w Toruniu zgodnie z art. 84 ust. 1 uouioś, organ administracji publicznej orzekł jak w sentencji decyzji brak potrzeby przeprowadzenia oceny oddziaływania przedsięwzięcia na środowisko.</w:t>
      </w:r>
    </w:p>
    <w:p w:rsidR="00A411D7" w:rsidRDefault="00A411D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2267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2267" w:rsidRPr="004B3DA6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1417B2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17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</w:t>
      </w:r>
      <w:r w:rsidR="00232FB6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D1EE6" w:rsidRPr="001417B2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</w:t>
      </w:r>
      <w:r w:rsidR="00232FB6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417B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Wniosek ten powinien być złożony przed upływem </w:t>
      </w:r>
      <w:r w:rsidR="00C83658" w:rsidRPr="001417B2">
        <w:rPr>
          <w:rFonts w:ascii="Times New Roman" w:eastAsia="Times New Roman" w:hAnsi="Times New Roman" w:cs="Times New Roman"/>
          <w:bCs/>
          <w:color w:val="000000"/>
          <w:lang w:eastAsia="pl-PL"/>
        </w:rPr>
        <w:t>sześciu</w:t>
      </w:r>
      <w:r w:rsidRPr="001417B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17B2">
        <w:rPr>
          <w:rFonts w:ascii="Times New Roman" w:eastAsia="Times New Roman" w:hAnsi="Times New Roman" w:cs="Times New Roman"/>
          <w:color w:val="000000"/>
          <w:lang w:eastAsia="pl-PL"/>
        </w:rPr>
        <w:t>Od decyzji niniejszej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2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uouioś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232FB6" w:rsidRPr="00232FB6" w:rsidRDefault="00232FB6" w:rsidP="00232FB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232FB6"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  <w:t>Pani Iwona Matyjasik i Pan Piotr Matyjasik</w:t>
      </w:r>
    </w:p>
    <w:p w:rsidR="00232FB6" w:rsidRPr="00232FB6" w:rsidRDefault="00232FB6" w:rsidP="00232FB6">
      <w:pPr>
        <w:pStyle w:val="Akapitzlist"/>
        <w:spacing w:after="0" w:line="240" w:lineRule="auto"/>
        <w:ind w:left="357"/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232FB6"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  <w:t>reprezentowani przez Pana Krzysztofa Lisewskiego, Pracownia Projektowa PRO-KOR, ul. Polna 7b lok. 17 – Toruń</w:t>
      </w:r>
    </w:p>
    <w:p w:rsidR="00956E51" w:rsidRPr="00956E51" w:rsidRDefault="0059420A" w:rsidP="00232FB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>Strony postępowania informowane obwieszczeniem</w:t>
      </w:r>
    </w:p>
    <w:p w:rsidR="00232FB6" w:rsidRPr="00232FB6" w:rsidRDefault="006472F4" w:rsidP="00232FB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 xml:space="preserve">a/a </w:t>
      </w:r>
      <w:r w:rsidR="00232FB6">
        <w:rPr>
          <w:rFonts w:ascii="Times New Roman" w:hAnsi="Times New Roman"/>
          <w:color w:val="000000"/>
          <w:sz w:val="18"/>
          <w:szCs w:val="18"/>
        </w:rPr>
        <w:t>91/V/2023 (1)</w:t>
      </w:r>
    </w:p>
    <w:p w:rsidR="006472F4" w:rsidRPr="00956E51" w:rsidRDefault="006472F4" w:rsidP="00232FB6">
      <w:pPr>
        <w:pStyle w:val="Akapitzlist"/>
        <w:spacing w:after="0" w:line="240" w:lineRule="auto"/>
        <w:ind w:left="357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 xml:space="preserve">sprawę w </w:t>
      </w:r>
      <w:r w:rsidR="00232FB6">
        <w:rPr>
          <w:rFonts w:ascii="Times New Roman" w:hAnsi="Times New Roman"/>
          <w:color w:val="000000"/>
          <w:sz w:val="18"/>
          <w:szCs w:val="18"/>
        </w:rPr>
        <w:t>WAiB</w:t>
      </w:r>
      <w:r w:rsidRPr="00956E51">
        <w:rPr>
          <w:rFonts w:ascii="Times New Roman" w:hAnsi="Times New Roman"/>
          <w:color w:val="000000"/>
          <w:sz w:val="18"/>
          <w:szCs w:val="18"/>
        </w:rPr>
        <w:t xml:space="preserve"> UMT przy ul. Grudziądzkiej 12</w:t>
      </w:r>
      <w:r w:rsidR="00232FB6">
        <w:rPr>
          <w:rFonts w:ascii="Times New Roman" w:hAnsi="Times New Roman"/>
          <w:color w:val="000000"/>
          <w:sz w:val="18"/>
          <w:szCs w:val="18"/>
        </w:rPr>
        <w:t>6B  prowadzi Aleksandra Góra–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 xml:space="preserve">Wrzos </w:t>
      </w:r>
      <w:r w:rsidRPr="00956E51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232FB6" w:rsidRDefault="00232FB6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232FB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232FB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232FB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B5" w:rsidRDefault="004217B5" w:rsidP="00D077F1">
      <w:pPr>
        <w:spacing w:after="0" w:line="240" w:lineRule="auto"/>
      </w:pPr>
      <w:r>
        <w:separator/>
      </w:r>
    </w:p>
  </w:endnote>
  <w:endnote w:type="continuationSeparator" w:id="0">
    <w:p w:rsidR="004217B5" w:rsidRDefault="004217B5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4217B5" w:rsidRDefault="00421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81">
          <w:rPr>
            <w:noProof/>
          </w:rPr>
          <w:t>5</w:t>
        </w:r>
        <w:r>
          <w:fldChar w:fldCharType="end"/>
        </w:r>
      </w:p>
    </w:sdtContent>
  </w:sdt>
  <w:p w:rsidR="004217B5" w:rsidRDefault="004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B5" w:rsidRDefault="004217B5" w:rsidP="00D077F1">
      <w:pPr>
        <w:spacing w:after="0" w:line="240" w:lineRule="auto"/>
      </w:pPr>
      <w:r>
        <w:separator/>
      </w:r>
    </w:p>
  </w:footnote>
  <w:footnote w:type="continuationSeparator" w:id="0">
    <w:p w:rsidR="004217B5" w:rsidRDefault="004217B5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81" w:rsidRPr="00225E81" w:rsidRDefault="00225E81">
    <w:pPr>
      <w:pStyle w:val="Nagwek"/>
      <w:rPr>
        <w:rFonts w:ascii="Times New Roman" w:hAnsi="Times New Roman" w:cs="Times New Roman"/>
        <w:sz w:val="20"/>
        <w:szCs w:val="20"/>
      </w:rPr>
    </w:pPr>
    <w:r w:rsidRPr="00225E81">
      <w:rPr>
        <w:rFonts w:ascii="Times New Roman" w:hAnsi="Times New Roman" w:cs="Times New Roman"/>
        <w:sz w:val="20"/>
        <w:szCs w:val="20"/>
      </w:rPr>
      <w:t>PREZYDENT MIASTA TORUNIA</w:t>
    </w:r>
  </w:p>
  <w:p w:rsidR="00225E81" w:rsidRPr="00225E81" w:rsidRDefault="00225E81">
    <w:pPr>
      <w:pStyle w:val="Nagwek"/>
      <w:rPr>
        <w:rFonts w:ascii="Times New Roman" w:hAnsi="Times New Roman" w:cs="Times New Roman"/>
        <w:sz w:val="20"/>
        <w:szCs w:val="20"/>
      </w:rPr>
    </w:pPr>
    <w:r w:rsidRPr="00225E81">
      <w:rPr>
        <w:rFonts w:ascii="Times New Roman" w:hAnsi="Times New Roman" w:cs="Times New Roman"/>
        <w:sz w:val="20"/>
        <w:szCs w:val="20"/>
      </w:rPr>
      <w:t xml:space="preserve">         adres do doręczeń:</w:t>
    </w:r>
  </w:p>
  <w:p w:rsidR="00225E81" w:rsidRPr="00225E81" w:rsidRDefault="00225E81">
    <w:pPr>
      <w:pStyle w:val="Nagwek"/>
      <w:rPr>
        <w:rFonts w:ascii="Times New Roman" w:hAnsi="Times New Roman" w:cs="Times New Roman"/>
        <w:sz w:val="20"/>
        <w:szCs w:val="20"/>
      </w:rPr>
    </w:pPr>
    <w:r w:rsidRPr="00225E81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9709CA"/>
    <w:multiLevelType w:val="hybridMultilevel"/>
    <w:tmpl w:val="C1F2EC72"/>
    <w:lvl w:ilvl="0" w:tplc="D3B8B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428CC"/>
    <w:multiLevelType w:val="hybridMultilevel"/>
    <w:tmpl w:val="93664A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419B"/>
    <w:multiLevelType w:val="hybridMultilevel"/>
    <w:tmpl w:val="E92E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6C04A4"/>
    <w:multiLevelType w:val="hybridMultilevel"/>
    <w:tmpl w:val="C8329BE6"/>
    <w:lvl w:ilvl="0" w:tplc="56BE49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DE51ED"/>
    <w:multiLevelType w:val="hybridMultilevel"/>
    <w:tmpl w:val="7784A6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1866"/>
    <w:multiLevelType w:val="hybridMultilevel"/>
    <w:tmpl w:val="600AE6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BE9"/>
    <w:multiLevelType w:val="hybridMultilevel"/>
    <w:tmpl w:val="C73CD60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205F7"/>
    <w:multiLevelType w:val="hybridMultilevel"/>
    <w:tmpl w:val="FA9034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1107"/>
    <w:rsid w:val="0005441A"/>
    <w:rsid w:val="00064C60"/>
    <w:rsid w:val="000665F7"/>
    <w:rsid w:val="00070CC3"/>
    <w:rsid w:val="00071020"/>
    <w:rsid w:val="00080600"/>
    <w:rsid w:val="0008313A"/>
    <w:rsid w:val="000860DD"/>
    <w:rsid w:val="000A10A7"/>
    <w:rsid w:val="000A31D5"/>
    <w:rsid w:val="000B1903"/>
    <w:rsid w:val="000C3A07"/>
    <w:rsid w:val="000C57E7"/>
    <w:rsid w:val="000D46E0"/>
    <w:rsid w:val="000D6ED2"/>
    <w:rsid w:val="000E389D"/>
    <w:rsid w:val="000E38C2"/>
    <w:rsid w:val="00121C15"/>
    <w:rsid w:val="00134203"/>
    <w:rsid w:val="001417B2"/>
    <w:rsid w:val="00147181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D1F21"/>
    <w:rsid w:val="001E0414"/>
    <w:rsid w:val="001E0B82"/>
    <w:rsid w:val="001E5F9B"/>
    <w:rsid w:val="001F3F04"/>
    <w:rsid w:val="00216842"/>
    <w:rsid w:val="00220479"/>
    <w:rsid w:val="00225E81"/>
    <w:rsid w:val="00227B08"/>
    <w:rsid w:val="00230F48"/>
    <w:rsid w:val="00232FB6"/>
    <w:rsid w:val="00243DDE"/>
    <w:rsid w:val="00250B5D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0716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3A8B"/>
    <w:rsid w:val="003F43FE"/>
    <w:rsid w:val="003F5227"/>
    <w:rsid w:val="00400468"/>
    <w:rsid w:val="00400B55"/>
    <w:rsid w:val="00400F8E"/>
    <w:rsid w:val="00404B0E"/>
    <w:rsid w:val="0041528A"/>
    <w:rsid w:val="00417829"/>
    <w:rsid w:val="004217B5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E41E5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1D9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D58DA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1FC8"/>
    <w:rsid w:val="007456A7"/>
    <w:rsid w:val="007504B5"/>
    <w:rsid w:val="007532D2"/>
    <w:rsid w:val="00763CC8"/>
    <w:rsid w:val="007675F6"/>
    <w:rsid w:val="00772C99"/>
    <w:rsid w:val="007774EF"/>
    <w:rsid w:val="007B05F7"/>
    <w:rsid w:val="007B261E"/>
    <w:rsid w:val="007B688D"/>
    <w:rsid w:val="007D3670"/>
    <w:rsid w:val="007D7265"/>
    <w:rsid w:val="007E25EC"/>
    <w:rsid w:val="007E478A"/>
    <w:rsid w:val="007F5AE8"/>
    <w:rsid w:val="00815BEB"/>
    <w:rsid w:val="00824564"/>
    <w:rsid w:val="00826BB7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436E3"/>
    <w:rsid w:val="009553E8"/>
    <w:rsid w:val="00956E51"/>
    <w:rsid w:val="00957FDD"/>
    <w:rsid w:val="0096535D"/>
    <w:rsid w:val="009727B9"/>
    <w:rsid w:val="00980947"/>
    <w:rsid w:val="00982267"/>
    <w:rsid w:val="00982E87"/>
    <w:rsid w:val="009914DA"/>
    <w:rsid w:val="00997C29"/>
    <w:rsid w:val="009A480E"/>
    <w:rsid w:val="009B16ED"/>
    <w:rsid w:val="009B396D"/>
    <w:rsid w:val="009B4869"/>
    <w:rsid w:val="009C34CA"/>
    <w:rsid w:val="009C4838"/>
    <w:rsid w:val="009C60BE"/>
    <w:rsid w:val="009C69FB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CF7A64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53AD4"/>
    <w:rsid w:val="00D63564"/>
    <w:rsid w:val="00D64A93"/>
    <w:rsid w:val="00D711FA"/>
    <w:rsid w:val="00D75E8B"/>
    <w:rsid w:val="00D9463D"/>
    <w:rsid w:val="00D94677"/>
    <w:rsid w:val="00DA2C96"/>
    <w:rsid w:val="00DB5421"/>
    <w:rsid w:val="00DB6974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5881"/>
    <w:rsid w:val="00E27F0C"/>
    <w:rsid w:val="00E353E8"/>
    <w:rsid w:val="00E414F9"/>
    <w:rsid w:val="00E4627A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0805"/>
    <w:rsid w:val="00EE1071"/>
    <w:rsid w:val="00EF5582"/>
    <w:rsid w:val="00EF6576"/>
    <w:rsid w:val="00F016CC"/>
    <w:rsid w:val="00F02821"/>
    <w:rsid w:val="00F069E5"/>
    <w:rsid w:val="00F077CF"/>
    <w:rsid w:val="00F12C7B"/>
    <w:rsid w:val="00F24638"/>
    <w:rsid w:val="00F36BC9"/>
    <w:rsid w:val="00F42471"/>
    <w:rsid w:val="00F42E0D"/>
    <w:rsid w:val="00F57C9C"/>
    <w:rsid w:val="00F6159F"/>
    <w:rsid w:val="00F6557C"/>
    <w:rsid w:val="00F7556B"/>
    <w:rsid w:val="00F77DFA"/>
    <w:rsid w:val="00F8270F"/>
    <w:rsid w:val="00F9709D"/>
    <w:rsid w:val="00FB22A2"/>
    <w:rsid w:val="00FD3086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5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1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8C36CF1F9F4B5FA0EAF373BB2199B4">
    <w:name w:val="898C36CF1F9F4B5FA0EAF373BB2199B4"/>
    <w:rsid w:val="00164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8FC5-4EC6-4DA6-9255-E9CF270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10</Pages>
  <Words>5663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97</cp:revision>
  <cp:lastPrinted>2024-03-07T07:00:00Z</cp:lastPrinted>
  <dcterms:created xsi:type="dcterms:W3CDTF">2012-10-31T11:50:00Z</dcterms:created>
  <dcterms:modified xsi:type="dcterms:W3CDTF">2024-03-13T10:43:00Z</dcterms:modified>
</cp:coreProperties>
</file>