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5360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09317A">
        <w:rPr>
          <w:rFonts w:ascii="Times New Roman" w:hAnsi="Times New Roman" w:cs="Times New Roman"/>
        </w:rPr>
        <w:t>05</w:t>
      </w:r>
      <w:r w:rsidR="00A53BBB">
        <w:rPr>
          <w:rFonts w:ascii="Times New Roman" w:hAnsi="Times New Roman" w:cs="Times New Roman"/>
        </w:rPr>
        <w:t>.01</w:t>
      </w:r>
      <w:r w:rsidR="0082583A">
        <w:rPr>
          <w:rFonts w:ascii="Times New Roman" w:hAnsi="Times New Roman" w:cs="Times New Roman"/>
        </w:rPr>
        <w:t>.2024</w:t>
      </w:r>
      <w:r w:rsidRPr="0084425C">
        <w:rPr>
          <w:rFonts w:ascii="Times New Roman" w:hAnsi="Times New Roman" w:cs="Times New Roman"/>
        </w:rPr>
        <w:t xml:space="preserve"> r. </w:t>
      </w:r>
    </w:p>
    <w:p w14:paraId="370C5F85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7B5A26">
        <w:rPr>
          <w:rFonts w:ascii="Times New Roman" w:hAnsi="Times New Roman" w:cs="Times New Roman"/>
        </w:rPr>
        <w:t>iE.7021.</w:t>
      </w:r>
      <w:r w:rsidR="0009317A">
        <w:rPr>
          <w:rFonts w:ascii="Times New Roman" w:hAnsi="Times New Roman" w:cs="Times New Roman"/>
        </w:rPr>
        <w:t>3</w:t>
      </w:r>
      <w:r w:rsidR="002763EB">
        <w:rPr>
          <w:rFonts w:ascii="Times New Roman" w:hAnsi="Times New Roman" w:cs="Times New Roman"/>
        </w:rPr>
        <w:t>.2024</w:t>
      </w:r>
      <w:r w:rsidR="00A53BBB">
        <w:rPr>
          <w:rFonts w:ascii="Times New Roman" w:hAnsi="Times New Roman" w:cs="Times New Roman"/>
        </w:rPr>
        <w:t>.LG</w:t>
      </w:r>
    </w:p>
    <w:p w14:paraId="70B93C64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0D4EC8AF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22759AE6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14C41B4F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58708E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55E2BCAB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766CD817" w14:textId="77777777" w:rsidR="002B6A20" w:rsidRPr="0060383C" w:rsidRDefault="00AF6436" w:rsidP="00631E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09317A">
        <w:rPr>
          <w:rFonts w:ascii="Times New Roman" w:hAnsi="Times New Roman" w:cs="Times New Roman"/>
          <w:b/>
        </w:rPr>
        <w:t>Wymiana nawierzchni bezpiecznej na placu zabaw przy ul. Bażyńskich w Toruniu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48AAE0BE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5E7CB290" w14:textId="77777777" w:rsidR="0009317A" w:rsidRPr="0009317A" w:rsidRDefault="0009317A" w:rsidP="000931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09317A">
        <w:rPr>
          <w:rFonts w:ascii="Times New Roman" w:hAnsi="Times New Roman" w:cs="Times New Roman"/>
          <w:bCs/>
        </w:rPr>
        <w:t xml:space="preserve">Demontaż oraz utylizacja obecnej nawierzchni bezpiecznej o kształcie kratownicy, wykonanej z granulatu gumowego SBR oraz kleju </w:t>
      </w:r>
      <w:r w:rsidR="00673F0C">
        <w:rPr>
          <w:rFonts w:ascii="Times New Roman" w:hAnsi="Times New Roman" w:cs="Times New Roman"/>
          <w:bCs/>
        </w:rPr>
        <w:t>poliuretanowego bez krawężników</w:t>
      </w:r>
      <w:r w:rsidRPr="0009317A">
        <w:rPr>
          <w:rFonts w:ascii="Times New Roman" w:hAnsi="Times New Roman" w:cs="Times New Roman"/>
          <w:bCs/>
        </w:rPr>
        <w:t xml:space="preserve"> ( około 551 m2).</w:t>
      </w:r>
    </w:p>
    <w:p w14:paraId="70DB1A79" w14:textId="77777777" w:rsidR="0009317A" w:rsidRPr="0009317A" w:rsidRDefault="0009317A" w:rsidP="000931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09317A">
        <w:rPr>
          <w:rFonts w:ascii="Times New Roman" w:hAnsi="Times New Roman" w:cs="Times New Roman"/>
          <w:bCs/>
        </w:rPr>
        <w:t>Oczyszczenie podłoża oraz zastosowanie geowłókniny filtrującej.</w:t>
      </w:r>
    </w:p>
    <w:p w14:paraId="20937DD5" w14:textId="77777777" w:rsidR="0009317A" w:rsidRPr="0009317A" w:rsidRDefault="0009317A" w:rsidP="000931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09317A">
        <w:rPr>
          <w:rFonts w:ascii="Times New Roman" w:hAnsi="Times New Roman" w:cs="Times New Roman"/>
          <w:bCs/>
        </w:rPr>
        <w:t>Zastosowanie nowej nawierzchni bezpiecznej z piasku lub żwiru o wielkości ziaren od 0,25mm do 8 mm oraz grubo</w:t>
      </w:r>
      <w:r w:rsidR="00673F0C">
        <w:rPr>
          <w:rFonts w:ascii="Times New Roman" w:hAnsi="Times New Roman" w:cs="Times New Roman"/>
          <w:bCs/>
        </w:rPr>
        <w:t>ści warstwy nie mniej niż 30 cm</w:t>
      </w:r>
      <w:r w:rsidRPr="0009317A">
        <w:rPr>
          <w:rFonts w:ascii="Times New Roman" w:hAnsi="Times New Roman" w:cs="Times New Roman"/>
          <w:bCs/>
        </w:rPr>
        <w:t xml:space="preserve"> ( około 248 ton)</w:t>
      </w:r>
      <w:r w:rsidR="00673F0C">
        <w:rPr>
          <w:rFonts w:ascii="Times New Roman" w:hAnsi="Times New Roman" w:cs="Times New Roman"/>
          <w:bCs/>
        </w:rPr>
        <w:t>.</w:t>
      </w:r>
    </w:p>
    <w:p w14:paraId="554F212E" w14:textId="77777777" w:rsidR="00741958" w:rsidRDefault="00741958" w:rsidP="00741958">
      <w:pPr>
        <w:ind w:left="360"/>
        <w:jc w:val="both"/>
        <w:rPr>
          <w:rFonts w:ascii="Times New Roman" w:hAnsi="Times New Roman" w:cs="Times New Roman"/>
          <w:bCs/>
        </w:rPr>
      </w:pPr>
    </w:p>
    <w:p w14:paraId="57B8C284" w14:textId="77777777" w:rsidR="00A5126D" w:rsidRDefault="00A5126D" w:rsidP="00A53BBB">
      <w:pPr>
        <w:jc w:val="both"/>
        <w:rPr>
          <w:rFonts w:ascii="Times New Roman" w:hAnsi="Times New Roman" w:cs="Times New Roman"/>
          <w:bCs/>
        </w:rPr>
      </w:pPr>
    </w:p>
    <w:p w14:paraId="660B35DD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571E5F69" w14:textId="77777777" w:rsidR="001615E3" w:rsidRPr="0009317A" w:rsidRDefault="0009317A" w:rsidP="000931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30.04.2023r.</w:t>
      </w:r>
    </w:p>
    <w:p w14:paraId="433F3036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6A296520" w14:textId="77777777" w:rsidR="00156CC0" w:rsidRDefault="0009317A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09317A">
        <w:rPr>
          <w:rFonts w:ascii="Times New Roman" w:hAnsi="Times New Roman" w:cs="Times New Roman"/>
        </w:rPr>
        <w:t>warunki:</w:t>
      </w:r>
    </w:p>
    <w:p w14:paraId="511970D7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580AB761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2E29E4D2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183C2B4D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5755E8BC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5CE643E" w14:textId="77777777" w:rsidR="0060383C" w:rsidRPr="0060383C" w:rsidRDefault="0009317A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60383C" w:rsidRPr="0060383C">
        <w:rPr>
          <w:rFonts w:ascii="Times New Roman" w:hAnsi="Times New Roman" w:cs="Times New Roman"/>
          <w:b/>
        </w:rPr>
        <w:t>.</w:t>
      </w:r>
      <w:r w:rsidR="0060383C"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29E8603D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52C0C319" w14:textId="77777777" w:rsidR="0057287E" w:rsidRDefault="0009317A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5</w:t>
      </w:r>
      <w:r w:rsidR="0060383C"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4809861A" w14:textId="77777777" w:rsidR="002540E5" w:rsidRDefault="0009317A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306A5C21" w14:textId="77777777" w:rsidR="0060383C" w:rsidRDefault="0009317A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 w:rsidRPr="0060383C">
        <w:t xml:space="preserve"> </w:t>
      </w:r>
      <w:r w:rsidR="0060383C"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7B5D18CE" w14:textId="77777777" w:rsidR="00A56F51" w:rsidRPr="0060383C" w:rsidRDefault="0009317A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A56F51" w:rsidRPr="00A56F51">
        <w:rPr>
          <w:rFonts w:ascii="Times New Roman" w:hAnsi="Times New Roman" w:cs="Times New Roman"/>
          <w:b/>
          <w:color w:val="000000"/>
        </w:rPr>
        <w:t>.</w:t>
      </w:r>
      <w:r w:rsidR="00A56F51" w:rsidRPr="00A56F51">
        <w:t xml:space="preserve"> </w:t>
      </w:r>
      <w:r w:rsidR="00A56F51" w:rsidRPr="00A56F51">
        <w:rPr>
          <w:rFonts w:ascii="Times New Roman" w:hAnsi="Times New Roman" w:cs="Times New Roman"/>
          <w:color w:val="000000"/>
        </w:rPr>
        <w:t>Ofertę cenową  (druk w załączeniu) należ</w:t>
      </w:r>
      <w:r w:rsidR="00A56F51">
        <w:rPr>
          <w:rFonts w:ascii="Times New Roman" w:hAnsi="Times New Roman" w:cs="Times New Roman"/>
          <w:color w:val="000000"/>
        </w:rPr>
        <w:t xml:space="preserve">y przesłać lub złożyć do dnia </w:t>
      </w:r>
      <w:r>
        <w:rPr>
          <w:rFonts w:ascii="Times New Roman" w:hAnsi="Times New Roman" w:cs="Times New Roman"/>
          <w:b/>
          <w:color w:val="000000"/>
        </w:rPr>
        <w:t>19</w:t>
      </w:r>
      <w:r w:rsidR="0082583A">
        <w:rPr>
          <w:rFonts w:ascii="Times New Roman" w:hAnsi="Times New Roman" w:cs="Times New Roman"/>
          <w:b/>
          <w:color w:val="000000"/>
        </w:rPr>
        <w:t>.01.2024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 r. do godz. 10ºº </w:t>
      </w:r>
      <w:r w:rsidR="00A56F51"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 wsie@um.torun.pl, z dopiskiem „</w:t>
      </w:r>
      <w:r w:rsidRPr="0009317A">
        <w:rPr>
          <w:rFonts w:ascii="Times New Roman" w:hAnsi="Times New Roman" w:cs="Times New Roman"/>
          <w:color w:val="000000"/>
        </w:rPr>
        <w:t>Wymiana nawierzchni bezpiecznej na placu zabaw przy ul. Bażyńskich w Toruniu</w:t>
      </w:r>
      <w:r w:rsidR="00A56F51" w:rsidRPr="00A56F51">
        <w:rPr>
          <w:rFonts w:ascii="Times New Roman" w:hAnsi="Times New Roman" w:cs="Times New Roman"/>
          <w:color w:val="000000"/>
        </w:rPr>
        <w:t>”</w:t>
      </w:r>
    </w:p>
    <w:p w14:paraId="3D8D873B" w14:textId="77777777" w:rsidR="0009317A" w:rsidRDefault="002540E5" w:rsidP="00B72FF7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</w:p>
    <w:p w14:paraId="7989A797" w14:textId="77777777" w:rsidR="0009317A" w:rsidRDefault="0009317A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30EF3ECC" w14:textId="77777777" w:rsidR="0009317A" w:rsidRDefault="0009317A" w:rsidP="00B72FF7">
      <w:pPr>
        <w:jc w:val="both"/>
        <w:rPr>
          <w:rFonts w:ascii="Times New Roman" w:hAnsi="Times New Roman" w:cs="Times New Roman"/>
          <w:b/>
          <w:color w:val="000000"/>
        </w:rPr>
      </w:pPr>
    </w:p>
    <w:p w14:paraId="6548E429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lastRenderedPageBreak/>
        <w:t>Uwagi ogólne:</w:t>
      </w:r>
    </w:p>
    <w:p w14:paraId="3865E0BF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376BCFC9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3E0F280A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667FCF30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503C502F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34DCFC8F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1CD1B97E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34C5CB73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31AC8DB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55983760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B91321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C3BA2D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6E360C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C03CAF7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88E536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723537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144DD8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9F38F30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FC8E3AD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B8F4" w14:textId="77777777" w:rsidR="002C7045" w:rsidRDefault="002C7045" w:rsidP="0066549A">
      <w:r>
        <w:separator/>
      </w:r>
    </w:p>
  </w:endnote>
  <w:endnote w:type="continuationSeparator" w:id="0">
    <w:p w14:paraId="27A82688" w14:textId="77777777" w:rsidR="002C7045" w:rsidRDefault="002C7045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4960" w14:textId="77777777" w:rsidR="002C7045" w:rsidRDefault="002C7045" w:rsidP="0066549A">
      <w:r>
        <w:separator/>
      </w:r>
    </w:p>
  </w:footnote>
  <w:footnote w:type="continuationSeparator" w:id="0">
    <w:p w14:paraId="11737302" w14:textId="77777777" w:rsidR="002C7045" w:rsidRDefault="002C7045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6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FE7137"/>
    <w:multiLevelType w:val="hybridMultilevel"/>
    <w:tmpl w:val="45427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9317A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763EB"/>
    <w:rsid w:val="002A70DE"/>
    <w:rsid w:val="002B6A20"/>
    <w:rsid w:val="002C7045"/>
    <w:rsid w:val="0031259F"/>
    <w:rsid w:val="003753E4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E4AF6"/>
    <w:rsid w:val="004F6361"/>
    <w:rsid w:val="00505081"/>
    <w:rsid w:val="00545E8D"/>
    <w:rsid w:val="00554499"/>
    <w:rsid w:val="0057287E"/>
    <w:rsid w:val="0059175D"/>
    <w:rsid w:val="005C5652"/>
    <w:rsid w:val="005E11B4"/>
    <w:rsid w:val="005F2A4A"/>
    <w:rsid w:val="0060383C"/>
    <w:rsid w:val="00631E42"/>
    <w:rsid w:val="006420E9"/>
    <w:rsid w:val="0066549A"/>
    <w:rsid w:val="00673F0C"/>
    <w:rsid w:val="00684DFA"/>
    <w:rsid w:val="006F6D6F"/>
    <w:rsid w:val="00702AFF"/>
    <w:rsid w:val="00703054"/>
    <w:rsid w:val="00726BA1"/>
    <w:rsid w:val="00741958"/>
    <w:rsid w:val="00782743"/>
    <w:rsid w:val="007A5A4A"/>
    <w:rsid w:val="007B5A26"/>
    <w:rsid w:val="007B7B0E"/>
    <w:rsid w:val="008109D7"/>
    <w:rsid w:val="00815846"/>
    <w:rsid w:val="0082583A"/>
    <w:rsid w:val="00831725"/>
    <w:rsid w:val="008324E4"/>
    <w:rsid w:val="0084425C"/>
    <w:rsid w:val="008457DF"/>
    <w:rsid w:val="00847A1E"/>
    <w:rsid w:val="00861FF2"/>
    <w:rsid w:val="008745CC"/>
    <w:rsid w:val="008A06F1"/>
    <w:rsid w:val="008B6B50"/>
    <w:rsid w:val="008D3485"/>
    <w:rsid w:val="008F6ECA"/>
    <w:rsid w:val="00901AB8"/>
    <w:rsid w:val="00903575"/>
    <w:rsid w:val="009248B7"/>
    <w:rsid w:val="00934799"/>
    <w:rsid w:val="009510A7"/>
    <w:rsid w:val="009739DC"/>
    <w:rsid w:val="009757C1"/>
    <w:rsid w:val="009931A8"/>
    <w:rsid w:val="00996813"/>
    <w:rsid w:val="00997AD5"/>
    <w:rsid w:val="009A071F"/>
    <w:rsid w:val="009A4918"/>
    <w:rsid w:val="009B1BD4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C31C24"/>
    <w:rsid w:val="00C43253"/>
    <w:rsid w:val="00C45DD9"/>
    <w:rsid w:val="00C62D12"/>
    <w:rsid w:val="00C737C7"/>
    <w:rsid w:val="00C8338C"/>
    <w:rsid w:val="00C938C3"/>
    <w:rsid w:val="00CA4D57"/>
    <w:rsid w:val="00CB4AEE"/>
    <w:rsid w:val="00CE719E"/>
    <w:rsid w:val="00D139CC"/>
    <w:rsid w:val="00D61BDE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C4DC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3636-B304-4728-AFCC-7E6B4732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2023-12-29T07:34:00Z</cp:lastPrinted>
  <dcterms:created xsi:type="dcterms:W3CDTF">2024-01-05T08:42:00Z</dcterms:created>
  <dcterms:modified xsi:type="dcterms:W3CDTF">2024-01-05T08:42:00Z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