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Toruń, dnia</w:t>
      </w:r>
      <w:r w:rsidR="00F10AA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437951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grudnia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437951">
        <w:rPr>
          <w:rFonts w:ascii="Times New Roman" w:eastAsia="Times New Roman" w:hAnsi="Times New Roman" w:cs="Times New Roman"/>
          <w:color w:val="000000"/>
          <w:lang w:eastAsia="pl-PL"/>
        </w:rPr>
        <w:t>33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3795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6D58DA">
        <w:rPr>
          <w:rFonts w:ascii="Times New Roman" w:eastAsia="Times New Roman" w:hAnsi="Times New Roman" w:cs="Times New Roman"/>
          <w:lang w:eastAsia="pl-PL"/>
        </w:rPr>
        <w:t>183/V/2013 (</w:t>
      </w:r>
      <w:r w:rsidR="00437951">
        <w:rPr>
          <w:rFonts w:ascii="Times New Roman" w:eastAsia="Times New Roman" w:hAnsi="Times New Roman" w:cs="Times New Roman"/>
          <w:lang w:eastAsia="pl-PL"/>
        </w:rPr>
        <w:t>6</w:t>
      </w:r>
      <w:r w:rsidR="006D58DA">
        <w:rPr>
          <w:rFonts w:ascii="Times New Roman" w:eastAsia="Times New Roman" w:hAnsi="Times New Roman" w:cs="Times New Roman"/>
          <w:lang w:eastAsia="pl-PL"/>
        </w:rPr>
        <w:t>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A1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82267" w:rsidRDefault="00BD1EE6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6D58DA" w:rsidRPr="00982267" w:rsidRDefault="00982267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82267">
        <w:rPr>
          <w:rFonts w:ascii="Times New Roman" w:hAnsi="Times New Roman"/>
        </w:rPr>
        <w:t xml:space="preserve">§ 3 ust. 1 </w:t>
      </w:r>
      <w:r w:rsidR="006D58DA" w:rsidRPr="00982267">
        <w:rPr>
          <w:rFonts w:ascii="Times New Roman" w:hAnsi="Times New Roman"/>
        </w:rPr>
        <w:t xml:space="preserve">pkt </w:t>
      </w:r>
      <w:r w:rsidR="00437951">
        <w:rPr>
          <w:rFonts w:ascii="Times New Roman" w:hAnsi="Times New Roman"/>
        </w:rPr>
        <w:t>32</w:t>
      </w:r>
      <w:r w:rsidR="006D58DA" w:rsidRPr="00982267">
        <w:rPr>
          <w:rFonts w:ascii="Times New Roman" w:hAnsi="Times New Roman"/>
        </w:rPr>
        <w:t xml:space="preserve"> </w:t>
      </w:r>
      <w:r w:rsidR="00BD1EE6" w:rsidRPr="00982267">
        <w:rPr>
          <w:rFonts w:ascii="Times New Roman" w:hAnsi="Times New Roman"/>
          <w:color w:val="000000"/>
        </w:rPr>
        <w:t xml:space="preserve">rozporządzenia Rady Ministrów z dnia </w:t>
      </w:r>
      <w:r w:rsidR="00E95626" w:rsidRPr="00982267">
        <w:rPr>
          <w:rFonts w:ascii="Times New Roman" w:hAnsi="Times New Roman"/>
          <w:color w:val="000000"/>
        </w:rPr>
        <w:t>10 września 2019</w:t>
      </w:r>
      <w:r w:rsidR="00BD1EE6" w:rsidRPr="00982267">
        <w:rPr>
          <w:rFonts w:ascii="Times New Roman" w:hAnsi="Times New Roman"/>
          <w:color w:val="000000"/>
        </w:rPr>
        <w:t xml:space="preserve"> r. w sprawie przedsięwzięć mogących znacząco oddziaływać na środowisko (</w:t>
      </w:r>
      <w:r w:rsidR="003A2918" w:rsidRPr="00982267">
        <w:rPr>
          <w:rFonts w:ascii="Times New Roman" w:hAnsi="Times New Roman"/>
          <w:color w:val="000000"/>
        </w:rPr>
        <w:t xml:space="preserve">tekst jednolity </w:t>
      </w:r>
      <w:r w:rsidR="00BD1EE6" w:rsidRPr="00982267">
        <w:rPr>
          <w:rFonts w:ascii="Times New Roman" w:hAnsi="Times New Roman"/>
          <w:color w:val="000000"/>
        </w:rPr>
        <w:t>Dz. U. z 201</w:t>
      </w:r>
      <w:r w:rsidR="00E95626" w:rsidRPr="00982267">
        <w:rPr>
          <w:rFonts w:ascii="Times New Roman" w:hAnsi="Times New Roman"/>
          <w:color w:val="000000"/>
        </w:rPr>
        <w:t>9</w:t>
      </w:r>
      <w:r w:rsidR="003A2918" w:rsidRPr="00982267">
        <w:rPr>
          <w:rFonts w:ascii="Times New Roman" w:hAnsi="Times New Roman"/>
          <w:color w:val="000000"/>
        </w:rPr>
        <w:t xml:space="preserve"> r.</w:t>
      </w:r>
      <w:r w:rsidR="00BD1EE6" w:rsidRPr="00982267">
        <w:rPr>
          <w:rFonts w:ascii="Times New Roman" w:hAnsi="Times New Roman"/>
          <w:color w:val="000000"/>
        </w:rPr>
        <w:t>, poz.</w:t>
      </w:r>
      <w:r w:rsidR="00E95626" w:rsidRPr="00982267">
        <w:rPr>
          <w:rFonts w:ascii="Times New Roman" w:hAnsi="Times New Roman"/>
          <w:color w:val="000000"/>
        </w:rPr>
        <w:t xml:space="preserve"> 1839</w:t>
      </w:r>
      <w:r w:rsidR="001E0B82" w:rsidRPr="00982267">
        <w:rPr>
          <w:rFonts w:ascii="Times New Roman" w:hAnsi="Times New Roman"/>
          <w:color w:val="000000"/>
        </w:rPr>
        <w:t xml:space="preserve"> ze zm.</w:t>
      </w:r>
      <w:r w:rsidR="00437951">
        <w:rPr>
          <w:rFonts w:ascii="Times New Roman" w:hAnsi="Times New Roman"/>
          <w:color w:val="000000"/>
        </w:rPr>
        <w:t>)</w:t>
      </w:r>
      <w:r w:rsidR="006D58DA" w:rsidRPr="00982267">
        <w:rPr>
          <w:rFonts w:ascii="Times New Roman" w:hAnsi="Times New Roman"/>
          <w:color w:val="000000"/>
        </w:rPr>
        <w:t xml:space="preserve">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Pr="00437951" w:rsidRDefault="00BD1EE6" w:rsidP="00A45019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437951" w:rsidRPr="00437951">
        <w:rPr>
          <w:sz w:val="22"/>
          <w:szCs w:val="22"/>
        </w:rPr>
        <w:t>spółki Veolia Industry Polska Sp. z o.o., z siedzibą przy Alejach Solidarności 46, 61-696 Poznań, złożonego w dniu: 13 grudnia 2022 r., nr w rejestrze tut. organu l.dz. 8865/2022, uzupełnionego w dniu: 17 stycznia 2023 r. (wpływ do tut. Wydziału 18 stycznia 2023 r.), l.dz. 349/2022</w:t>
      </w:r>
      <w:r w:rsidR="006D58DA" w:rsidRPr="00437951">
        <w:rPr>
          <w:rStyle w:val="Domylnaczcionkaakapitu1"/>
          <w:sz w:val="22"/>
          <w:szCs w:val="22"/>
        </w:rPr>
        <w:t>,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7951" w:rsidRPr="00437951" w:rsidRDefault="00437951" w:rsidP="00437951">
      <w:pPr>
        <w:pStyle w:val="Tekstpodstawowywcity21"/>
        <w:ind w:firstLine="0"/>
        <w:rPr>
          <w:rFonts w:cs="Times New Roman"/>
          <w:szCs w:val="22"/>
        </w:rPr>
      </w:pPr>
      <w:r w:rsidRPr="00437951">
        <w:rPr>
          <w:rFonts w:cs="Times New Roman"/>
          <w:b/>
        </w:rPr>
        <w:t xml:space="preserve">„Budowa kotłowni kontenerowej zasilanej gazem ziemnym typu E oraz instalacji do przesyłu pary wodnej wykorzystywanej w procesach technologicznych na działce 4/18 obręb 45 przy </w:t>
      </w:r>
      <w:r w:rsidR="00A16824">
        <w:rPr>
          <w:rFonts w:cs="Times New Roman"/>
          <w:b/>
        </w:rPr>
        <w:br/>
      </w:r>
      <w:r w:rsidRPr="00437951">
        <w:rPr>
          <w:rFonts w:cs="Times New Roman"/>
          <w:b/>
        </w:rPr>
        <w:t>ul. Szymańskiego 24 w Toruniu”</w:t>
      </w:r>
    </w:p>
    <w:p w:rsidR="00437951" w:rsidRPr="00437951" w:rsidRDefault="00437951" w:rsidP="00437951">
      <w:pPr>
        <w:spacing w:after="0" w:line="24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43795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wykaz działek w zasięgu 100m od terenu przedsięwzięcia:</w:t>
      </w:r>
    </w:p>
    <w:p w:rsidR="00437951" w:rsidRPr="00437951" w:rsidRDefault="00437951" w:rsidP="004379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43795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obręb 45 – dz. 4/17, 5/12, 206/2, 157/3, 206/4, 154/3, 157/29, 157/28, 157/30, 154/14, 154/10, 154/9, 157/32, 154/12, 153/14, 153/18, 154/5, 157/31. 153/21, 208/4, 153/20, 206/7, 208/2, 208/3, 207/11, 207/2, 207/1, 208/1, 17/3, 230, 17/4, 229, 222, 217/2, 225/1, 225/2, 226/2, 226/1, 227, 4/12, 228.</w:t>
      </w:r>
    </w:p>
    <w:p w:rsidR="006D58DA" w:rsidRPr="004B3DA6" w:rsidRDefault="006D58DA" w:rsidP="006D58DA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>ustawy ooś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 celu zabezpieczenia gruntu oraz wód podziemnych i powierzchniowych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przed zanieczyszczeniem substancjami ropopochodnymi, podczas realizacji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inwestycji, używać wyłącznie sprawnego sprzętu i monitorować ewentualne wycieki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substancji ropopochodnych, które mogą powstać w wyniku</w:t>
      </w:r>
      <w:r>
        <w:rPr>
          <w:rFonts w:ascii="Times New Roman" w:eastAsia="Arial Unicode MS" w:hAnsi="Times New Roman"/>
          <w:kern w:val="3"/>
        </w:rPr>
        <w:t xml:space="preserve"> konserwacji lub</w:t>
      </w:r>
      <w:r w:rsidRPr="00437951">
        <w:rPr>
          <w:rFonts w:ascii="Times New Roman" w:eastAsia="Arial Unicode MS" w:hAnsi="Times New Roman"/>
          <w:kern w:val="3"/>
        </w:rPr>
        <w:t xml:space="preserve"> awarii </w:t>
      </w:r>
      <w:r>
        <w:rPr>
          <w:rFonts w:ascii="Times New Roman" w:eastAsia="Arial Unicode MS" w:hAnsi="Times New Roman"/>
          <w:kern w:val="3"/>
        </w:rPr>
        <w:t xml:space="preserve">sprzętu </w:t>
      </w:r>
      <w:r w:rsidRPr="00437951">
        <w:rPr>
          <w:rFonts w:ascii="Times New Roman" w:eastAsia="Arial Unicode MS" w:hAnsi="Times New Roman"/>
          <w:kern w:val="3"/>
        </w:rPr>
        <w:t>oraz zapewnić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dostępność sorbentów. W przypadku wycieku substancji niebezpiecznych,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zanieczyszczony grunt lub zużyty sorbent zebrać i przekazać uprawnionym odbiorcom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odpadów.</w:t>
      </w:r>
    </w:p>
    <w:p w:rsid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Zaplecze budowy oraz miejsca składowania materiałów budowlanych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 xml:space="preserve">lub postoju pojazdów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i maszyn zorganizować poza terenami chronionymi akustycznie,</w:t>
      </w:r>
      <w:r>
        <w:rPr>
          <w:rFonts w:ascii="Times New Roman" w:eastAsia="Arial Unicode MS" w:hAnsi="Times New Roman"/>
          <w:kern w:val="3"/>
        </w:rPr>
        <w:t xml:space="preserve"> na terenie utwardzonym, </w:t>
      </w:r>
      <w:r w:rsidRPr="00437951">
        <w:rPr>
          <w:rFonts w:ascii="Times New Roman" w:eastAsia="Arial Unicode MS" w:hAnsi="Times New Roman"/>
          <w:kern w:val="3"/>
        </w:rPr>
        <w:t>posiadającym szczelną nawierzchnię.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 xml:space="preserve">Zabiegi związane z konserwacją i naprawami maszyn i urządzeń należy wykonywać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 miejscach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do tego odpowiednio przystosowanych, o podłożu zabezpieczonym przed przedostaniem się do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gruntu i wód podziemnych zanieczyszczeń.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 celu neutralizacji ewentualnych wycieków substancji ropopochodnych należy na bieżąco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usuwać je z wykorzystaniem sorbentów, których odpowiednia ilość powinna być stale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zagwarantowana na terenie budowy.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lastRenderedPageBreak/>
        <w:t xml:space="preserve">Należy zapewnić odpowiednią ilość pojemników do selektywnego składowania odpadów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specjalnie wydzielonych dla tego celu miejscach.</w:t>
      </w:r>
    </w:p>
    <w:p w:rsid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Ścieki bytowe w fazie realizacji inwestycji należy gromadzić w szczelnych zbiornikach, które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będą opróżniane przez uprawnione podmioty.</w:t>
      </w:r>
    </w:p>
    <w:p w:rsidR="00437951" w:rsidRPr="00437951" w:rsidRDefault="00437951" w:rsidP="00437951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Wymagania dotyczące ochrony środowiska konieczne do uwzględnienia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w dokumentacji wymaganej do wydania decyzji, o których mowa w art. 72 ust. 1,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w szczególności w projekcie budowlanym, w przypadku decyzji, o których mowa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 xml:space="preserve">w art. 72 ust.1 pkt 1, 10, 14, 18 i 21, w tym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 szczególności:</w:t>
      </w:r>
    </w:p>
    <w:p w:rsid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Ścieki bytowe oraz przemysłowe odprowadzać na etapie eksploatacji inwestycji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do miejskiej sieci kanalizacji sanitarnej.</w:t>
      </w:r>
    </w:p>
    <w:p w:rsid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Zanieczyszczenia z kotłowni gazowej odprowadzać do atmosfery za pośrednictwem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emitora, o minimalnej wysokości geometrycznej 8,37 m oraz maksymalnym przekroju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0,35 m.</w:t>
      </w:r>
    </w:p>
    <w:p w:rsidR="00437951" w:rsidRP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W ramach przedsięwzięcia dopuszcza się jedno źródło ciepła o maksymalnej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mocy do 1500 kW (1800 kW w paliwie).</w:t>
      </w:r>
    </w:p>
    <w:p w:rsidR="001D1F21" w:rsidRDefault="001D1F21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E6829" w:rsidRDefault="00DE6829" w:rsidP="00FA5D9E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DE6829">
        <w:rPr>
          <w:rFonts w:ascii="Times New Roman" w:hAnsi="Times New Roman" w:cs="Times New Roman"/>
        </w:rPr>
        <w:t xml:space="preserve">Przedsięwzięcie polega na budowie </w:t>
      </w:r>
      <w:r w:rsidR="00FA5D9E" w:rsidRPr="00FA5D9E">
        <w:rPr>
          <w:rFonts w:ascii="Times New Roman" w:hAnsi="Times New Roman" w:cs="Times New Roman"/>
        </w:rPr>
        <w:t>kotłow</w:t>
      </w:r>
      <w:r w:rsidR="00FA5D9E">
        <w:rPr>
          <w:rFonts w:ascii="Times New Roman" w:hAnsi="Times New Roman" w:cs="Times New Roman"/>
        </w:rPr>
        <w:t xml:space="preserve">ni kontenerowej zasilanej gazem </w:t>
      </w:r>
      <w:r w:rsidR="00FA5D9E" w:rsidRPr="00FA5D9E">
        <w:rPr>
          <w:rFonts w:ascii="Times New Roman" w:hAnsi="Times New Roman" w:cs="Times New Roman"/>
        </w:rPr>
        <w:t>ziemnym typu E oraz instalacji do przesyłu pary wod</w:t>
      </w:r>
      <w:r w:rsidR="00FA5D9E">
        <w:rPr>
          <w:rFonts w:ascii="Times New Roman" w:hAnsi="Times New Roman" w:cs="Times New Roman"/>
        </w:rPr>
        <w:t xml:space="preserve">nej wykorzystywanej w procesach </w:t>
      </w:r>
      <w:r w:rsidR="00FA5D9E" w:rsidRPr="00FA5D9E">
        <w:rPr>
          <w:rFonts w:ascii="Times New Roman" w:hAnsi="Times New Roman" w:cs="Times New Roman"/>
        </w:rPr>
        <w:t>technologicznych. Przedsięwzięcie planuje się zrealizować</w:t>
      </w:r>
      <w:r w:rsidR="00FA5D9E">
        <w:rPr>
          <w:rFonts w:ascii="Times New Roman" w:hAnsi="Times New Roman" w:cs="Times New Roman"/>
        </w:rPr>
        <w:t xml:space="preserve"> na terenie Parku Przemysłowego </w:t>
      </w:r>
      <w:r w:rsidR="00FA5D9E" w:rsidRPr="00FA5D9E">
        <w:rPr>
          <w:rFonts w:ascii="Times New Roman" w:hAnsi="Times New Roman" w:cs="Times New Roman"/>
        </w:rPr>
        <w:t>Elana w Toruniu na działce o nr 4/18 obręb 45, przy ulicy Szymańskiego 45 w Toruniu.</w:t>
      </w:r>
    </w:p>
    <w:p w:rsidR="00FA5D9E" w:rsidRPr="00DE6829" w:rsidRDefault="00FA5D9E" w:rsidP="00FA5D9E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9C69FB" w:rsidRPr="004B3DA6" w:rsidRDefault="009C69FB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5529" w:rsidRPr="00DE6829" w:rsidRDefault="00080600" w:rsidP="00CF7A64">
      <w:pPr>
        <w:pStyle w:val="NormalnyWeb1"/>
        <w:spacing w:before="0" w:after="0" w:line="240" w:lineRule="auto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FA5D9E" w:rsidRPr="00FA5D9E">
        <w:rPr>
          <w:sz w:val="22"/>
          <w:szCs w:val="22"/>
        </w:rPr>
        <w:t>13 grudnia 2022 r.</w:t>
      </w:r>
      <w:r w:rsidR="00FA5D9E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 xml:space="preserve">spółki </w:t>
      </w:r>
      <w:r w:rsidR="00FA5D9E" w:rsidRPr="00FA5D9E">
        <w:rPr>
          <w:rStyle w:val="Domylnaczcionkaakapitu1"/>
          <w:sz w:val="22"/>
          <w:szCs w:val="22"/>
        </w:rPr>
        <w:t xml:space="preserve">Veolia Industry Polska Sp. </w:t>
      </w:r>
      <w:r w:rsidR="00FA5D9E">
        <w:rPr>
          <w:rStyle w:val="Domylnaczcionkaakapitu1"/>
          <w:sz w:val="22"/>
          <w:szCs w:val="22"/>
        </w:rPr>
        <w:br/>
      </w:r>
      <w:r w:rsidR="00FA5D9E" w:rsidRPr="00FA5D9E">
        <w:rPr>
          <w:rStyle w:val="Domylnaczcionkaakapitu1"/>
          <w:sz w:val="22"/>
          <w:szCs w:val="22"/>
        </w:rPr>
        <w:t>z o.o., z siedzibą przy Alejach Solidarności 46, 61-696 Poznań</w:t>
      </w:r>
      <w:r w:rsidRPr="004B3DA6">
        <w:rPr>
          <w:color w:val="000000"/>
          <w:sz w:val="22"/>
          <w:szCs w:val="22"/>
        </w:rPr>
        <w:t xml:space="preserve">, w sprawie wydania decyzji </w:t>
      </w:r>
      <w:r w:rsidR="00FA5D9E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środowiskowych uwarunkowaniach dla przedsięwzięcia pn.: </w:t>
      </w:r>
      <w:r w:rsidR="00FA5D9E">
        <w:rPr>
          <w:sz w:val="22"/>
          <w:szCs w:val="22"/>
        </w:rPr>
        <w:t>„b</w:t>
      </w:r>
      <w:r w:rsidR="00FA5D9E" w:rsidRPr="00FA5D9E">
        <w:rPr>
          <w:sz w:val="22"/>
          <w:szCs w:val="22"/>
        </w:rPr>
        <w:t xml:space="preserve">udowa kotłowni kontenerowej zasilanej gazem ziemnym typu E oraz instalacji do przesyłu pary wodnej wykorzystywanej </w:t>
      </w:r>
      <w:r w:rsidR="00FA5D9E">
        <w:rPr>
          <w:sz w:val="22"/>
          <w:szCs w:val="22"/>
        </w:rPr>
        <w:br/>
      </w:r>
      <w:r w:rsidR="00FA5D9E" w:rsidRPr="00FA5D9E">
        <w:rPr>
          <w:sz w:val="22"/>
          <w:szCs w:val="22"/>
        </w:rPr>
        <w:t>w procesach technologicznych na działce 4/18 obręb 45 przy ul. Szymańskiego 24 w Toruniu”</w:t>
      </w:r>
      <w:r w:rsidR="00E4627A">
        <w:rPr>
          <w:sz w:val="22"/>
          <w:szCs w:val="22"/>
        </w:rPr>
        <w:t>.</w:t>
      </w:r>
    </w:p>
    <w:p w:rsidR="005956FE" w:rsidRPr="00B35F34" w:rsidRDefault="005956FE" w:rsidP="00CF7A64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(t.j.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982267" w:rsidRPr="00982267">
        <w:rPr>
          <w:sz w:val="22"/>
          <w:szCs w:val="22"/>
        </w:rPr>
        <w:t>§ 3</w:t>
      </w:r>
      <w:r w:rsidR="00982267">
        <w:rPr>
          <w:sz w:val="22"/>
          <w:szCs w:val="22"/>
        </w:rPr>
        <w:t xml:space="preserve"> ust. 1 </w:t>
      </w:r>
      <w:r w:rsidR="009C69FB" w:rsidRPr="009C69FB">
        <w:rPr>
          <w:sz w:val="22"/>
          <w:szCs w:val="22"/>
        </w:rPr>
        <w:t xml:space="preserve">pkt </w:t>
      </w:r>
      <w:r w:rsidR="00FA5D9E">
        <w:rPr>
          <w:sz w:val="22"/>
          <w:szCs w:val="22"/>
        </w:rPr>
        <w:t>32</w:t>
      </w:r>
      <w:r w:rsidR="009C69FB" w:rsidRPr="009C69FB">
        <w:rPr>
          <w:sz w:val="22"/>
          <w:szCs w:val="22"/>
        </w:rPr>
        <w:t xml:space="preserve">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(t.j.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982267">
        <w:rPr>
          <w:color w:val="000000"/>
          <w:sz w:val="22"/>
          <w:szCs w:val="22"/>
        </w:rPr>
        <w:t>, jako przedsięwzięcie mogące potencjalnie znacząco oddziaływać na środowisko.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9822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udostępnianiu informacji o środowisku i jego ochronie (...), charakteryzującą zamierzenie.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FA5D9E">
        <w:rPr>
          <w:color w:val="000000"/>
          <w:sz w:val="22"/>
          <w:szCs w:val="22"/>
        </w:rPr>
        <w:t>492</w:t>
      </w:r>
      <w:r w:rsidR="005A132A">
        <w:rPr>
          <w:color w:val="000000"/>
          <w:sz w:val="22"/>
          <w:szCs w:val="22"/>
        </w:rPr>
        <w:t>/202</w:t>
      </w:r>
      <w:r w:rsidR="00FA5D9E">
        <w:rPr>
          <w:color w:val="000000"/>
          <w:sz w:val="22"/>
          <w:szCs w:val="22"/>
        </w:rPr>
        <w:t>2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FA5D9E">
        <w:rPr>
          <w:color w:val="000000"/>
          <w:sz w:val="22"/>
          <w:szCs w:val="22"/>
        </w:rPr>
        <w:t>30 stycznia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</w:t>
      </w:r>
      <w:r w:rsidR="00EA00B9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>ust. 1 ustawy ooś)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FA5D9E">
        <w:rPr>
          <w:color w:val="000000"/>
          <w:sz w:val="22"/>
          <w:szCs w:val="22"/>
        </w:rPr>
        <w:t>6 listopada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FA5D9E">
        <w:rPr>
          <w:color w:val="000000"/>
          <w:sz w:val="22"/>
          <w:szCs w:val="22"/>
        </w:rPr>
        <w:t>114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FA5D9E">
        <w:rPr>
          <w:color w:val="000000"/>
          <w:sz w:val="22"/>
          <w:szCs w:val="22"/>
        </w:rPr>
        <w:t>HRK.8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FA5D9E">
        <w:rPr>
          <w:color w:val="000000"/>
          <w:sz w:val="22"/>
          <w:szCs w:val="22"/>
        </w:rPr>
        <w:t>6 listopada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</w:t>
      </w:r>
      <w:r w:rsidR="009C69FB">
        <w:rPr>
          <w:color w:val="000000"/>
          <w:sz w:val="22"/>
          <w:szCs w:val="22"/>
        </w:rPr>
        <w:t>/</w:t>
      </w:r>
      <w:r w:rsidR="00FA5D9E">
        <w:rPr>
          <w:color w:val="000000"/>
          <w:sz w:val="22"/>
          <w:szCs w:val="22"/>
        </w:rPr>
        <w:t>85879</w:t>
      </w:r>
      <w:r w:rsidR="006D0C4F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FA5D9E">
        <w:rPr>
          <w:rFonts w:ascii="Times New Roman" w:hAnsi="Times New Roman" w:cs="Times New Roman"/>
          <w:lang w:eastAsia="pl-PL"/>
        </w:rPr>
        <w:t>9 lutego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FA5D9E">
        <w:rPr>
          <w:rFonts w:ascii="Times New Roman" w:hAnsi="Times New Roman" w:cs="Times New Roman"/>
          <w:lang w:eastAsia="pl-PL"/>
        </w:rPr>
        <w:t>55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9C69FB">
        <w:rPr>
          <w:rFonts w:ascii="Times New Roman" w:hAnsi="Times New Roman" w:cs="Times New Roman"/>
          <w:lang w:eastAsia="pl-PL"/>
        </w:rPr>
        <w:t>WL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FA5D9E">
        <w:rPr>
          <w:rFonts w:ascii="Times New Roman" w:hAnsi="Times New Roman" w:cs="Times New Roman"/>
          <w:lang w:eastAsia="pl-PL"/>
        </w:rPr>
        <w:t>10 lutego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</w:t>
      </w:r>
      <w:r w:rsidR="008926F3">
        <w:rPr>
          <w:rFonts w:ascii="Times New Roman" w:hAnsi="Times New Roman" w:cs="Times New Roman"/>
          <w:lang w:eastAsia="pl-PL"/>
        </w:rPr>
        <w:t>11557</w:t>
      </w:r>
      <w:r w:rsidR="00E4627A">
        <w:rPr>
          <w:rFonts w:ascii="Times New Roman" w:hAnsi="Times New Roman" w:cs="Times New Roman"/>
          <w:lang w:eastAsia="pl-PL"/>
        </w:rPr>
        <w:t>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</w:t>
      </w:r>
      <w:r w:rsidRPr="004B3DA6">
        <w:rPr>
          <w:rFonts w:ascii="Times New Roman" w:hAnsi="Times New Roman" w:cs="Times New Roman"/>
          <w:lang w:eastAsia="pl-PL"/>
        </w:rPr>
        <w:t>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8926F3">
        <w:rPr>
          <w:rFonts w:ascii="Times New Roman" w:hAnsi="Times New Roman" w:cs="Times New Roman"/>
          <w:color w:val="000000"/>
        </w:rPr>
        <w:t>8 lutego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8926F3">
        <w:rPr>
          <w:rFonts w:ascii="Times New Roman" w:hAnsi="Times New Roman" w:cs="Times New Roman"/>
          <w:color w:val="000000"/>
        </w:rPr>
        <w:t>7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8926F3">
        <w:rPr>
          <w:rFonts w:ascii="Times New Roman" w:hAnsi="Times New Roman" w:cs="Times New Roman"/>
          <w:color w:val="000000"/>
        </w:rPr>
        <w:t>14 lutego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8926F3">
        <w:rPr>
          <w:rFonts w:ascii="Times New Roman" w:hAnsi="Times New Roman" w:cs="Times New Roman"/>
          <w:color w:val="000000"/>
        </w:rPr>
        <w:t>12217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E4627A">
        <w:rPr>
          <w:rFonts w:ascii="Times New Roman" w:hAnsi="Times New Roman" w:cs="Times New Roman"/>
          <w:color w:val="000000"/>
        </w:rPr>
        <w:t>biorąc pod uwagę rodzaj, skalę, usytuowanie i zasięg oddziaływania projektowanej inwestycji, gęstość zaludnienia na analizowanym terenie oraz emisje i inne uciążliwości których źródłem będzie w/w zamierzenie, a także czas trwania negatywnych oddziaływań</w:t>
      </w:r>
      <w:r w:rsidR="003F43FE">
        <w:rPr>
          <w:rFonts w:ascii="Times New Roman" w:hAnsi="Times New Roman" w:cs="Times New Roman"/>
          <w:color w:val="000000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uznał</w:t>
      </w:r>
      <w:r w:rsidR="003F43FE">
        <w:rPr>
          <w:rFonts w:ascii="Times New Roman" w:hAnsi="Times New Roman" w:cs="Times New Roman"/>
          <w:color w:val="000000"/>
        </w:rPr>
        <w:t>,</w:t>
      </w:r>
      <w:r w:rsidR="000A31D5" w:rsidRPr="000A31D5">
        <w:rPr>
          <w:rFonts w:ascii="Times New Roman" w:hAnsi="Times New Roman" w:cs="Times New Roman"/>
          <w:color w:val="000000"/>
        </w:rPr>
        <w:t xml:space="preserve">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1314C1">
        <w:rPr>
          <w:color w:val="000000"/>
          <w:sz w:val="22"/>
          <w:szCs w:val="22"/>
        </w:rPr>
        <w:t>519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1314C1">
        <w:rPr>
          <w:color w:val="000000"/>
          <w:sz w:val="22"/>
          <w:szCs w:val="22"/>
        </w:rPr>
        <w:t>34</w:t>
      </w:r>
      <w:r w:rsidR="007350BE">
        <w:rPr>
          <w:color w:val="000000"/>
          <w:sz w:val="22"/>
          <w:szCs w:val="22"/>
        </w:rPr>
        <w:t>/2023</w:t>
      </w:r>
      <w:r w:rsidR="00CF7A64">
        <w:rPr>
          <w:color w:val="000000"/>
          <w:sz w:val="22"/>
          <w:szCs w:val="22"/>
        </w:rPr>
        <w:t xml:space="preserve"> i</w:t>
      </w:r>
      <w:r w:rsidR="001314C1">
        <w:rPr>
          <w:color w:val="000000"/>
          <w:sz w:val="22"/>
          <w:szCs w:val="22"/>
        </w:rPr>
        <w:t xml:space="preserve"> 38</w:t>
      </w:r>
      <w:r w:rsidR="00CF7A64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1314C1" w:rsidRDefault="00B35F34" w:rsidP="0013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>Planowane przedsięwzięcie polega na budowi</w:t>
      </w:r>
      <w:r>
        <w:rPr>
          <w:rFonts w:ascii="Times New Roman" w:hAnsi="Times New Roman" w:cs="Times New Roman"/>
          <w:color w:val="000000"/>
        </w:rPr>
        <w:t xml:space="preserve">e </w:t>
      </w:r>
      <w:r w:rsidR="001314C1" w:rsidRPr="001314C1">
        <w:rPr>
          <w:rFonts w:ascii="Times New Roman" w:hAnsi="Times New Roman" w:cs="Times New Roman"/>
          <w:color w:val="000000"/>
        </w:rPr>
        <w:t>kotłowni kontenerowej zasilanej ga</w:t>
      </w:r>
      <w:r w:rsidR="001314C1">
        <w:rPr>
          <w:rFonts w:ascii="Times New Roman" w:hAnsi="Times New Roman" w:cs="Times New Roman"/>
          <w:color w:val="000000"/>
        </w:rPr>
        <w:t xml:space="preserve">zem </w:t>
      </w:r>
      <w:r w:rsidR="001314C1" w:rsidRPr="001314C1">
        <w:rPr>
          <w:rFonts w:ascii="Times New Roman" w:hAnsi="Times New Roman" w:cs="Times New Roman"/>
          <w:color w:val="000000"/>
        </w:rPr>
        <w:t>ziemnym typu E oraz instalacji do przesyłu pary wod</w:t>
      </w:r>
      <w:r w:rsidR="001314C1">
        <w:rPr>
          <w:rFonts w:ascii="Times New Roman" w:hAnsi="Times New Roman" w:cs="Times New Roman"/>
          <w:color w:val="000000"/>
        </w:rPr>
        <w:t xml:space="preserve">nej wykorzystywanej w procesach </w:t>
      </w:r>
      <w:r w:rsidR="001314C1" w:rsidRPr="001314C1">
        <w:rPr>
          <w:rFonts w:ascii="Times New Roman" w:hAnsi="Times New Roman" w:cs="Times New Roman"/>
          <w:color w:val="000000"/>
        </w:rPr>
        <w:t>technologicznych. Przedsięwzięcie planuje się zrealizować</w:t>
      </w:r>
      <w:r w:rsidR="001314C1">
        <w:rPr>
          <w:rFonts w:ascii="Times New Roman" w:hAnsi="Times New Roman" w:cs="Times New Roman"/>
          <w:color w:val="000000"/>
        </w:rPr>
        <w:t xml:space="preserve"> na terenie Parku Przemysłowego </w:t>
      </w:r>
      <w:r w:rsidR="001314C1" w:rsidRPr="001314C1">
        <w:rPr>
          <w:rFonts w:ascii="Times New Roman" w:hAnsi="Times New Roman" w:cs="Times New Roman"/>
          <w:color w:val="000000"/>
        </w:rPr>
        <w:t xml:space="preserve">Elana </w:t>
      </w:r>
      <w:r w:rsidR="00A16824">
        <w:rPr>
          <w:rFonts w:ascii="Times New Roman" w:hAnsi="Times New Roman" w:cs="Times New Roman"/>
          <w:color w:val="000000"/>
        </w:rPr>
        <w:br/>
      </w:r>
      <w:r w:rsidR="001314C1" w:rsidRPr="001314C1">
        <w:rPr>
          <w:rFonts w:ascii="Times New Roman" w:hAnsi="Times New Roman" w:cs="Times New Roman"/>
          <w:color w:val="000000"/>
        </w:rPr>
        <w:t>w Toruniu na działce o nr 4/18 obręb 45, przy ulicy Szymańskiego 45 w Toru</w:t>
      </w:r>
      <w:r w:rsidR="001314C1">
        <w:rPr>
          <w:rFonts w:ascii="Times New Roman" w:hAnsi="Times New Roman" w:cs="Times New Roman"/>
          <w:color w:val="000000"/>
        </w:rPr>
        <w:t xml:space="preserve">niu. </w:t>
      </w:r>
      <w:r w:rsidR="001314C1" w:rsidRPr="001314C1">
        <w:rPr>
          <w:rFonts w:ascii="Times New Roman" w:hAnsi="Times New Roman" w:cs="Times New Roman"/>
          <w:color w:val="000000"/>
        </w:rPr>
        <w:t>Inwestorem przedsięwzięcia jest Veolia Industry Polska sp. z o.o.</w:t>
      </w:r>
    </w:p>
    <w:p w:rsidR="001314C1" w:rsidRPr="001314C1" w:rsidRDefault="001314C1" w:rsidP="0013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Celem przedmiotowej inwestycji jest zast</w:t>
      </w:r>
      <w:r>
        <w:rPr>
          <w:rFonts w:ascii="Times New Roman" w:hAnsi="Times New Roman" w:cs="Times New Roman"/>
          <w:color w:val="000000"/>
        </w:rPr>
        <w:t xml:space="preserve">ąpienie węglowego źródła ciepła </w:t>
      </w:r>
      <w:r w:rsidRPr="001314C1">
        <w:rPr>
          <w:rFonts w:ascii="Times New Roman" w:hAnsi="Times New Roman" w:cs="Times New Roman"/>
          <w:color w:val="000000"/>
        </w:rPr>
        <w:t>wykorzystywanego do produkcji łącznej pary technolog</w:t>
      </w:r>
      <w:r>
        <w:rPr>
          <w:rFonts w:ascii="Times New Roman" w:hAnsi="Times New Roman" w:cs="Times New Roman"/>
          <w:color w:val="000000"/>
        </w:rPr>
        <w:t xml:space="preserve">icznej i ciepłej wody grzewczej </w:t>
      </w:r>
      <w:r w:rsidRPr="001314C1">
        <w:rPr>
          <w:rFonts w:ascii="Times New Roman" w:hAnsi="Times New Roman" w:cs="Times New Roman"/>
          <w:color w:val="000000"/>
        </w:rPr>
        <w:t>odrębnymi gazowymi źródłami produkującymi parę techno</w:t>
      </w:r>
      <w:r>
        <w:rPr>
          <w:rFonts w:ascii="Times New Roman" w:hAnsi="Times New Roman" w:cs="Times New Roman"/>
          <w:color w:val="000000"/>
        </w:rPr>
        <w:t xml:space="preserve">logiczną i ciepłą wodę do celów </w:t>
      </w:r>
      <w:r w:rsidRPr="001314C1">
        <w:rPr>
          <w:rFonts w:ascii="Times New Roman" w:hAnsi="Times New Roman" w:cs="Times New Roman"/>
          <w:color w:val="000000"/>
        </w:rPr>
        <w:t>grzewczych. Kotłownia kontenerowa stanowi indywidulane źródło ciepła do obecnego klienta.</w:t>
      </w:r>
    </w:p>
    <w:p w:rsidR="00072819" w:rsidRDefault="001314C1" w:rsidP="0013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Kotłownia należeć będzie do Veolii, natomiast odbio</w:t>
      </w:r>
      <w:r>
        <w:rPr>
          <w:rFonts w:ascii="Times New Roman" w:hAnsi="Times New Roman" w:cs="Times New Roman"/>
          <w:color w:val="000000"/>
        </w:rPr>
        <w:t xml:space="preserve">rcą pary będzie zakład Lerg-Pet Sp. z o.o. w Toruniu. </w:t>
      </w:r>
    </w:p>
    <w:p w:rsidR="001314C1" w:rsidRPr="001314C1" w:rsidRDefault="001314C1" w:rsidP="0013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Przedsięwzięcie zakłada zlokalizowanie kontenera</w:t>
      </w:r>
      <w:r>
        <w:rPr>
          <w:rFonts w:ascii="Times New Roman" w:hAnsi="Times New Roman" w:cs="Times New Roman"/>
          <w:color w:val="000000"/>
        </w:rPr>
        <w:t xml:space="preserve"> obok istniejącego budynku hali </w:t>
      </w:r>
      <w:r w:rsidRPr="001314C1">
        <w:rPr>
          <w:rFonts w:ascii="Times New Roman" w:hAnsi="Times New Roman" w:cs="Times New Roman"/>
          <w:color w:val="000000"/>
        </w:rPr>
        <w:t>produkcyjnej.</w:t>
      </w:r>
    </w:p>
    <w:p w:rsidR="001314C1" w:rsidRPr="001314C1" w:rsidRDefault="001314C1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Paliwem dostarczanym do kontenera będzie gaz ziem</w:t>
      </w:r>
      <w:r w:rsidR="00072819">
        <w:rPr>
          <w:rFonts w:ascii="Times New Roman" w:hAnsi="Times New Roman" w:cs="Times New Roman"/>
          <w:color w:val="000000"/>
        </w:rPr>
        <w:t xml:space="preserve">ny wysokometanowy typu E, który </w:t>
      </w:r>
      <w:r w:rsidRPr="001314C1">
        <w:rPr>
          <w:rFonts w:ascii="Times New Roman" w:hAnsi="Times New Roman" w:cs="Times New Roman"/>
          <w:color w:val="000000"/>
        </w:rPr>
        <w:t>zostanie dostarczony do kotłowni za pomocą projektowanego przyłącza gazowego.</w:t>
      </w:r>
    </w:p>
    <w:p w:rsidR="001314C1" w:rsidRPr="001314C1" w:rsidRDefault="001314C1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W kontenerze będzie znajdować się źródło ciepła o</w:t>
      </w:r>
      <w:r w:rsidR="00072819">
        <w:rPr>
          <w:rFonts w:ascii="Times New Roman" w:hAnsi="Times New Roman" w:cs="Times New Roman"/>
          <w:color w:val="000000"/>
        </w:rPr>
        <w:t xml:space="preserve">parte na jednej wytwornicy pary </w:t>
      </w:r>
      <w:r w:rsidRPr="001314C1">
        <w:rPr>
          <w:rFonts w:ascii="Times New Roman" w:hAnsi="Times New Roman" w:cs="Times New Roman"/>
          <w:color w:val="000000"/>
        </w:rPr>
        <w:t>wytwarzające ciepło w postaci pary technologicznej wraz z</w:t>
      </w:r>
      <w:r w:rsidR="00072819">
        <w:rPr>
          <w:rFonts w:ascii="Times New Roman" w:hAnsi="Times New Roman" w:cs="Times New Roman"/>
          <w:color w:val="000000"/>
        </w:rPr>
        <w:t xml:space="preserve"> instalacją przygotowania wody. </w:t>
      </w:r>
      <w:r w:rsidRPr="001314C1">
        <w:rPr>
          <w:rFonts w:ascii="Times New Roman" w:hAnsi="Times New Roman" w:cs="Times New Roman"/>
          <w:color w:val="000000"/>
        </w:rPr>
        <w:t>Woda zostaje przygotowana w stacji uzdatniania w</w:t>
      </w:r>
      <w:r w:rsidR="00072819">
        <w:rPr>
          <w:rFonts w:ascii="Times New Roman" w:hAnsi="Times New Roman" w:cs="Times New Roman"/>
          <w:color w:val="000000"/>
        </w:rPr>
        <w:t xml:space="preserve">ody. Stacja przygotowująca wodę </w:t>
      </w:r>
      <w:r w:rsidRPr="001314C1">
        <w:rPr>
          <w:rFonts w:ascii="Times New Roman" w:hAnsi="Times New Roman" w:cs="Times New Roman"/>
          <w:color w:val="000000"/>
        </w:rPr>
        <w:t>do produkcji ciepła będzie posiadać wydajność do 5 m</w:t>
      </w:r>
      <w:r w:rsidRPr="00A16824">
        <w:rPr>
          <w:rFonts w:ascii="Times New Roman" w:hAnsi="Times New Roman" w:cs="Times New Roman"/>
          <w:color w:val="000000"/>
          <w:vertAlign w:val="superscript"/>
        </w:rPr>
        <w:t>3</w:t>
      </w:r>
      <w:r w:rsidRPr="001314C1">
        <w:rPr>
          <w:rFonts w:ascii="Times New Roman" w:hAnsi="Times New Roman" w:cs="Times New Roman"/>
          <w:color w:val="000000"/>
        </w:rPr>
        <w:t>/h wody uzdatnianej. Technologia stacji</w:t>
      </w:r>
      <w:r w:rsidR="00072819">
        <w:rPr>
          <w:rFonts w:ascii="Times New Roman" w:hAnsi="Times New Roman" w:cs="Times New Roman"/>
          <w:color w:val="000000"/>
        </w:rPr>
        <w:t xml:space="preserve"> </w:t>
      </w:r>
      <w:r w:rsidRPr="001314C1">
        <w:rPr>
          <w:rFonts w:ascii="Times New Roman" w:hAnsi="Times New Roman" w:cs="Times New Roman"/>
          <w:color w:val="000000"/>
        </w:rPr>
        <w:t>wymaga okresowego płukania, dzięki któremu zostaną usu</w:t>
      </w:r>
      <w:r w:rsidR="00072819">
        <w:rPr>
          <w:rFonts w:ascii="Times New Roman" w:hAnsi="Times New Roman" w:cs="Times New Roman"/>
          <w:color w:val="000000"/>
        </w:rPr>
        <w:t xml:space="preserve">nięte nagromadzone jony wapnia, </w:t>
      </w:r>
      <w:r w:rsidRPr="001314C1">
        <w:rPr>
          <w:rFonts w:ascii="Times New Roman" w:hAnsi="Times New Roman" w:cs="Times New Roman"/>
          <w:color w:val="000000"/>
        </w:rPr>
        <w:t>które wraz z płukaną wodą zostaną odprowadzone do kanalizacji sanitarnej.</w:t>
      </w:r>
    </w:p>
    <w:p w:rsidR="001314C1" w:rsidRDefault="001314C1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14C1">
        <w:rPr>
          <w:rFonts w:ascii="Times New Roman" w:hAnsi="Times New Roman" w:cs="Times New Roman"/>
          <w:color w:val="000000"/>
        </w:rPr>
        <w:t>Para technologiczna w kotłowni powstaje w sku</w:t>
      </w:r>
      <w:r w:rsidR="00072819">
        <w:rPr>
          <w:rFonts w:ascii="Times New Roman" w:hAnsi="Times New Roman" w:cs="Times New Roman"/>
          <w:color w:val="000000"/>
        </w:rPr>
        <w:t xml:space="preserve">tek zmiany stanu skupienia wody </w:t>
      </w:r>
      <w:r w:rsidR="00A16824">
        <w:rPr>
          <w:rFonts w:ascii="Times New Roman" w:hAnsi="Times New Roman" w:cs="Times New Roman"/>
          <w:color w:val="000000"/>
        </w:rPr>
        <w:br/>
      </w:r>
      <w:r w:rsidRPr="001314C1">
        <w:rPr>
          <w:rFonts w:ascii="Times New Roman" w:hAnsi="Times New Roman" w:cs="Times New Roman"/>
          <w:color w:val="000000"/>
        </w:rPr>
        <w:t>w wytwornicy, która przemienia energię zawartą w pa</w:t>
      </w:r>
      <w:r w:rsidR="00072819">
        <w:rPr>
          <w:rFonts w:ascii="Times New Roman" w:hAnsi="Times New Roman" w:cs="Times New Roman"/>
          <w:color w:val="000000"/>
        </w:rPr>
        <w:t xml:space="preserve">liwie gazowym za pomocą reakcji </w:t>
      </w:r>
      <w:r w:rsidRPr="001314C1">
        <w:rPr>
          <w:rFonts w:ascii="Times New Roman" w:hAnsi="Times New Roman" w:cs="Times New Roman"/>
          <w:color w:val="000000"/>
        </w:rPr>
        <w:t>spalania. Para stanowi nośnik ciepła i będzie dostarczana do is</w:t>
      </w:r>
      <w:r w:rsidR="00072819">
        <w:rPr>
          <w:rFonts w:ascii="Times New Roman" w:hAnsi="Times New Roman" w:cs="Times New Roman"/>
          <w:color w:val="000000"/>
        </w:rPr>
        <w:t xml:space="preserve">tniejącej linii technologicznej </w:t>
      </w:r>
      <w:r w:rsidRPr="001314C1">
        <w:rPr>
          <w:rFonts w:ascii="Times New Roman" w:hAnsi="Times New Roman" w:cs="Times New Roman"/>
          <w:color w:val="000000"/>
        </w:rPr>
        <w:t>w budynku produkcyjnym, który zajmuje się przetwórst</w:t>
      </w:r>
      <w:r w:rsidR="00072819">
        <w:rPr>
          <w:rFonts w:ascii="Times New Roman" w:hAnsi="Times New Roman" w:cs="Times New Roman"/>
          <w:color w:val="000000"/>
        </w:rPr>
        <w:t xml:space="preserve">wem płatków PET. Transport pary </w:t>
      </w:r>
      <w:r w:rsidRPr="001314C1">
        <w:rPr>
          <w:rFonts w:ascii="Times New Roman" w:hAnsi="Times New Roman" w:cs="Times New Roman"/>
          <w:color w:val="000000"/>
        </w:rPr>
        <w:t>pomiędzy źródłem ciepła, a budynkiem produkcyjnym o</w:t>
      </w:r>
      <w:r w:rsidR="00072819">
        <w:rPr>
          <w:rFonts w:ascii="Times New Roman" w:hAnsi="Times New Roman" w:cs="Times New Roman"/>
          <w:color w:val="000000"/>
        </w:rPr>
        <w:t xml:space="preserve">dbędzie się za pomocą rurociągu </w:t>
      </w:r>
      <w:r w:rsidRPr="001314C1">
        <w:rPr>
          <w:rFonts w:ascii="Times New Roman" w:hAnsi="Times New Roman" w:cs="Times New Roman"/>
          <w:color w:val="000000"/>
        </w:rPr>
        <w:t>parowego DN50.</w:t>
      </w:r>
    </w:p>
    <w:p w:rsidR="00072819" w:rsidRP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Wytwornica pary będzie generowała ciepło pod postacią pary technologicznej, któ</w:t>
      </w:r>
      <w:r>
        <w:rPr>
          <w:rFonts w:ascii="Times New Roman" w:hAnsi="Times New Roman" w:cs="Times New Roman"/>
          <w:color w:val="000000"/>
        </w:rPr>
        <w:t xml:space="preserve">rej </w:t>
      </w:r>
      <w:r w:rsidRPr="00072819">
        <w:rPr>
          <w:rFonts w:ascii="Times New Roman" w:hAnsi="Times New Roman" w:cs="Times New Roman"/>
          <w:color w:val="000000"/>
        </w:rPr>
        <w:t>ciśnienie wyniesie do 2,0 MPa. Ilość pary wyniesie do 2,2 Mg/h. Część wody przygotowana</w:t>
      </w:r>
      <w:r>
        <w:rPr>
          <w:rFonts w:ascii="Times New Roman" w:hAnsi="Times New Roman" w:cs="Times New Roman"/>
          <w:color w:val="000000"/>
        </w:rPr>
        <w:t xml:space="preserve"> </w:t>
      </w:r>
      <w:r w:rsidRPr="00072819">
        <w:rPr>
          <w:rFonts w:ascii="Times New Roman" w:hAnsi="Times New Roman" w:cs="Times New Roman"/>
          <w:color w:val="000000"/>
        </w:rPr>
        <w:t>przez stację zmiękczania podczas produkcji ciepła zostani</w:t>
      </w:r>
      <w:r>
        <w:rPr>
          <w:rFonts w:ascii="Times New Roman" w:hAnsi="Times New Roman" w:cs="Times New Roman"/>
          <w:color w:val="000000"/>
        </w:rPr>
        <w:t xml:space="preserve">e po wcześniejszym oczyszczeniu </w:t>
      </w:r>
      <w:r w:rsidRPr="00072819">
        <w:rPr>
          <w:rFonts w:ascii="Times New Roman" w:hAnsi="Times New Roman" w:cs="Times New Roman"/>
          <w:color w:val="000000"/>
        </w:rPr>
        <w:t>z mułu, osadu i soli, spuszczona do kanalizacji. Oprócz tego, do kanalizacj</w:t>
      </w:r>
      <w:r>
        <w:rPr>
          <w:rFonts w:ascii="Times New Roman" w:hAnsi="Times New Roman" w:cs="Times New Roman"/>
          <w:color w:val="000000"/>
        </w:rPr>
        <w:t xml:space="preserve">i zostaną </w:t>
      </w:r>
      <w:r w:rsidRPr="00072819">
        <w:rPr>
          <w:rFonts w:ascii="Times New Roman" w:hAnsi="Times New Roman" w:cs="Times New Roman"/>
          <w:color w:val="000000"/>
        </w:rPr>
        <w:t xml:space="preserve">odprowadzone ścieki pochodzące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 xml:space="preserve">z odmulania i odsalania </w:t>
      </w:r>
      <w:r>
        <w:rPr>
          <w:rFonts w:ascii="Times New Roman" w:hAnsi="Times New Roman" w:cs="Times New Roman"/>
          <w:color w:val="000000"/>
        </w:rPr>
        <w:t xml:space="preserve">źródeł parowych, gdyż występuje </w:t>
      </w:r>
      <w:r w:rsidRPr="00072819">
        <w:rPr>
          <w:rFonts w:ascii="Times New Roman" w:hAnsi="Times New Roman" w:cs="Times New Roman"/>
          <w:color w:val="000000"/>
        </w:rPr>
        <w:t xml:space="preserve">konieczność okresowego odmulania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odsalania urządzenia</w:t>
      </w:r>
      <w:r>
        <w:rPr>
          <w:rFonts w:ascii="Times New Roman" w:hAnsi="Times New Roman" w:cs="Times New Roman"/>
          <w:color w:val="000000"/>
        </w:rPr>
        <w:t xml:space="preserve"> wytwórczego. Para wodna, która </w:t>
      </w:r>
      <w:r w:rsidRPr="00072819">
        <w:rPr>
          <w:rFonts w:ascii="Times New Roman" w:hAnsi="Times New Roman" w:cs="Times New Roman"/>
          <w:color w:val="000000"/>
        </w:rPr>
        <w:t>powstaje w wytwornicy pozostawia mułki, sole i osady z dostarczonej wody</w:t>
      </w:r>
      <w:r>
        <w:rPr>
          <w:rFonts w:ascii="Times New Roman" w:hAnsi="Times New Roman" w:cs="Times New Roman"/>
          <w:color w:val="000000"/>
        </w:rPr>
        <w:t xml:space="preserve">, która przepływa </w:t>
      </w:r>
      <w:r w:rsidRPr="00072819">
        <w:rPr>
          <w:rFonts w:ascii="Times New Roman" w:hAnsi="Times New Roman" w:cs="Times New Roman"/>
          <w:color w:val="000000"/>
        </w:rPr>
        <w:t>do instalacji odbiorczych. Usuwanie wszystkich osadów wy</w:t>
      </w:r>
      <w:r>
        <w:rPr>
          <w:rFonts w:ascii="Times New Roman" w:hAnsi="Times New Roman" w:cs="Times New Roman"/>
          <w:color w:val="000000"/>
        </w:rPr>
        <w:t xml:space="preserve">nika z konieczności zapewnienia </w:t>
      </w:r>
      <w:r w:rsidRPr="00072819">
        <w:rPr>
          <w:rFonts w:ascii="Times New Roman" w:hAnsi="Times New Roman" w:cs="Times New Roman"/>
          <w:color w:val="000000"/>
        </w:rPr>
        <w:t>drożności instalacji. Ściek technologiczny trafia do kanalizacji sanitarnej.</w:t>
      </w:r>
    </w:p>
    <w:p w:rsidR="00072819" w:rsidRP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Przedsięwzięcie przewiduje wyłącznie jedno źródło ciepła o mocy do 1500 k</w:t>
      </w:r>
      <w:r>
        <w:rPr>
          <w:rFonts w:ascii="Times New Roman" w:hAnsi="Times New Roman" w:cs="Times New Roman"/>
          <w:color w:val="000000"/>
        </w:rPr>
        <w:t xml:space="preserve">W </w:t>
      </w:r>
      <w:r w:rsidRPr="00072819">
        <w:rPr>
          <w:rFonts w:ascii="Times New Roman" w:hAnsi="Times New Roman" w:cs="Times New Roman"/>
          <w:color w:val="000000"/>
        </w:rPr>
        <w:t xml:space="preserve">(1800 kW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w paliwie). Wytwornica zostanie wyposa</w:t>
      </w:r>
      <w:r>
        <w:rPr>
          <w:rFonts w:ascii="Times New Roman" w:hAnsi="Times New Roman" w:cs="Times New Roman"/>
          <w:color w:val="000000"/>
        </w:rPr>
        <w:t xml:space="preserve">żona w modulowany palnik gazowy </w:t>
      </w:r>
      <w:r w:rsidRPr="00072819">
        <w:rPr>
          <w:rFonts w:ascii="Times New Roman" w:hAnsi="Times New Roman" w:cs="Times New Roman"/>
          <w:color w:val="000000"/>
        </w:rPr>
        <w:t xml:space="preserve">25-100%. Kontener będzie wyposażony w komin o </w:t>
      </w:r>
      <w:r>
        <w:rPr>
          <w:rFonts w:ascii="Times New Roman" w:hAnsi="Times New Roman" w:cs="Times New Roman"/>
          <w:color w:val="000000"/>
        </w:rPr>
        <w:t xml:space="preserve">wysokości do 8,37 m. Gaz ziemny </w:t>
      </w:r>
      <w:r w:rsidRPr="00072819">
        <w:rPr>
          <w:rFonts w:ascii="Times New Roman" w:hAnsi="Times New Roman" w:cs="Times New Roman"/>
          <w:color w:val="000000"/>
        </w:rPr>
        <w:t>dostarczany do źródła ciepła będzie z lokalnej sieci g</w:t>
      </w:r>
      <w:r>
        <w:rPr>
          <w:rFonts w:ascii="Times New Roman" w:hAnsi="Times New Roman" w:cs="Times New Roman"/>
          <w:color w:val="000000"/>
        </w:rPr>
        <w:t xml:space="preserve">azowej za pomocą projektowanego </w:t>
      </w:r>
      <w:r w:rsidRPr="00072819">
        <w:rPr>
          <w:rFonts w:ascii="Times New Roman" w:hAnsi="Times New Roman" w:cs="Times New Roman"/>
          <w:color w:val="000000"/>
        </w:rPr>
        <w:t>przyłącza gazowego. Zużycie gazu wysokometanowego</w:t>
      </w:r>
      <w:r>
        <w:rPr>
          <w:rFonts w:ascii="Times New Roman" w:hAnsi="Times New Roman" w:cs="Times New Roman"/>
          <w:color w:val="000000"/>
        </w:rPr>
        <w:t xml:space="preserve"> typu E wyniesie 774,388 m3/rok </w:t>
      </w:r>
      <w:r w:rsidRPr="00072819">
        <w:rPr>
          <w:rFonts w:ascii="Times New Roman" w:hAnsi="Times New Roman" w:cs="Times New Roman"/>
          <w:color w:val="000000"/>
        </w:rPr>
        <w:t>(8497 MWh).</w:t>
      </w:r>
    </w:p>
    <w:p w:rsidR="00072819" w:rsidRP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Projektowany odcinek ciepłociągu będzie transpo</w:t>
      </w:r>
      <w:r>
        <w:rPr>
          <w:rFonts w:ascii="Times New Roman" w:hAnsi="Times New Roman" w:cs="Times New Roman"/>
          <w:color w:val="000000"/>
        </w:rPr>
        <w:t xml:space="preserve">rtował ciepło za pomocą nośnika </w:t>
      </w:r>
      <w:r w:rsidRPr="00072819">
        <w:rPr>
          <w:rFonts w:ascii="Times New Roman" w:hAnsi="Times New Roman" w:cs="Times New Roman"/>
          <w:color w:val="000000"/>
        </w:rPr>
        <w:t>w postaci pary wodnej do zakładu Lerg-Pet Sp. z o.o. w Toruniu. Długość ciepłociągu wynosić</w:t>
      </w:r>
      <w:r>
        <w:rPr>
          <w:rFonts w:ascii="Times New Roman" w:hAnsi="Times New Roman" w:cs="Times New Roman"/>
          <w:color w:val="000000"/>
        </w:rPr>
        <w:t xml:space="preserve"> </w:t>
      </w:r>
      <w:r w:rsidRPr="00072819">
        <w:rPr>
          <w:rFonts w:ascii="Times New Roman" w:hAnsi="Times New Roman" w:cs="Times New Roman"/>
          <w:color w:val="000000"/>
        </w:rPr>
        <w:t>będzie około 4 m po terenie.</w:t>
      </w:r>
    </w:p>
    <w:p w:rsid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Kotłownia kontenerowa składać się będzie z dwóc</w:t>
      </w:r>
      <w:r>
        <w:rPr>
          <w:rFonts w:ascii="Times New Roman" w:hAnsi="Times New Roman" w:cs="Times New Roman"/>
          <w:color w:val="000000"/>
        </w:rPr>
        <w:t xml:space="preserve">h kontenerów morskich 20’ i 10’ </w:t>
      </w:r>
      <w:r w:rsidRPr="00072819">
        <w:rPr>
          <w:rFonts w:ascii="Times New Roman" w:hAnsi="Times New Roman" w:cs="Times New Roman"/>
          <w:color w:val="000000"/>
        </w:rPr>
        <w:t>połączonych w sposób trwały krótszymi</w:t>
      </w:r>
      <w:r>
        <w:rPr>
          <w:rFonts w:ascii="Times New Roman" w:hAnsi="Times New Roman" w:cs="Times New Roman"/>
          <w:color w:val="000000"/>
        </w:rPr>
        <w:t xml:space="preserve"> bokami, których łączna długość </w:t>
      </w:r>
      <w:r w:rsidRPr="00072819">
        <w:rPr>
          <w:rFonts w:ascii="Times New Roman" w:hAnsi="Times New Roman" w:cs="Times New Roman"/>
          <w:color w:val="000000"/>
        </w:rPr>
        <w:t xml:space="preserve">nie przekroczy 9,5 m.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W skład kotłowni wejdą: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instalacja elektyczna i AKPiA, w której skład wchodzi instalacja oświetleniowa,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instalacja gniazd wtykowych, instalacja automatycznego sterowania i zawiadywania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pracą kotła,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wewnętrzna instalacja gazowa wraz z zewnętrznym modułem regulacji gazu ziemnego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zabudowanym w zewnętrznej szafce odpowiedzialnym za redukcję ciśnienia gazu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do wymaganego i stabilne jego utrzymanie,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instalacja wodna wraz z modułem przygotowania wody, z której wytwarzana będzie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para technologiczna. Moduł przygotowania wody służy do zmiękczenia wody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i pozbawienia jej zanieczyszczeń, minerałów i tlenu, w jego skład wchodzi między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innymi instalacja zmiękczania oraz instalacja odwróconej osmozy, zbiornik wody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uzdatnionej o pojemności do 1,7 m</w:t>
      </w:r>
      <w:r w:rsidRPr="00072819">
        <w:rPr>
          <w:rFonts w:ascii="Times New Roman" w:hAnsi="Times New Roman"/>
          <w:color w:val="000000"/>
          <w:vertAlign w:val="superscript"/>
        </w:rPr>
        <w:t>3</w:t>
      </w:r>
      <w:r w:rsidRPr="00072819">
        <w:rPr>
          <w:rFonts w:ascii="Times New Roman" w:hAnsi="Times New Roman"/>
          <w:color w:val="000000"/>
        </w:rPr>
        <w:t xml:space="preserve"> i zbiornik wody zasilającej o pojemności do 2,5 m</w:t>
      </w:r>
      <w:r w:rsidRPr="00072819">
        <w:rPr>
          <w:rFonts w:ascii="Times New Roman" w:hAnsi="Times New Roman"/>
          <w:color w:val="000000"/>
          <w:vertAlign w:val="superscript"/>
        </w:rPr>
        <w:t>3</w:t>
      </w:r>
      <w:r w:rsidRPr="00072819">
        <w:rPr>
          <w:rFonts w:ascii="Times New Roman" w:hAnsi="Times New Roman"/>
          <w:color w:val="000000"/>
        </w:rPr>
        <w:t>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instalacja kanalizacji sanitarnej służąca do odprowadzania zanieczyszczeń usuniętych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z wody pitnej przez stację zmiękczania i stację odwróconej osmozy oraz odsolin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i odmulin z kotła parowego,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instalacji parowej wraz z zaworem bezpieczeństwa służącej do dostarczenia pary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 xml:space="preserve">wytworzonej </w:t>
      </w:r>
      <w:r w:rsidR="00A16824">
        <w:rPr>
          <w:rFonts w:ascii="Times New Roman" w:hAnsi="Times New Roman"/>
          <w:color w:val="000000"/>
        </w:rPr>
        <w:br/>
      </w:r>
      <w:r w:rsidRPr="00072819">
        <w:rPr>
          <w:rFonts w:ascii="Times New Roman" w:hAnsi="Times New Roman"/>
          <w:color w:val="000000"/>
        </w:rPr>
        <w:t>w kotle gazowym do istniejącej technicznej instalacji parowej znajdującej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się wewnątrz istniejącego budynku produkcyjnego,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moduł pompowy dostarczający przygotowaną wodę i zgromadzoną w zbiorniku wodę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do kotła,</w:t>
      </w:r>
    </w:p>
    <w:p w:rsid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instalacja rozprężania odmulin i odsolin z kotła parowego,</w:t>
      </w:r>
    </w:p>
    <w:p w:rsidR="00072819" w:rsidRPr="00072819" w:rsidRDefault="00072819" w:rsidP="000728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819">
        <w:rPr>
          <w:rFonts w:ascii="Times New Roman" w:hAnsi="Times New Roman"/>
          <w:color w:val="000000"/>
        </w:rPr>
        <w:t>system odprowadzenia spalin – komin dwupłaszczowy ze stali nierdzewnej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wraz z konstrukcją wsporczą o wysokości około 8 m od poziomu posadowienia</w:t>
      </w:r>
      <w:r>
        <w:rPr>
          <w:rFonts w:ascii="Times New Roman" w:hAnsi="Times New Roman"/>
          <w:color w:val="000000"/>
        </w:rPr>
        <w:t xml:space="preserve"> </w:t>
      </w:r>
      <w:r w:rsidRPr="00072819">
        <w:rPr>
          <w:rFonts w:ascii="Times New Roman" w:hAnsi="Times New Roman"/>
          <w:color w:val="000000"/>
        </w:rPr>
        <w:t>kontenera.</w:t>
      </w:r>
    </w:p>
    <w:p w:rsidR="00072819" w:rsidRP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Odnośnie ryzyka wystąpienia poważnej awarii, należ</w:t>
      </w:r>
      <w:r>
        <w:rPr>
          <w:rFonts w:ascii="Times New Roman" w:hAnsi="Times New Roman" w:cs="Times New Roman"/>
          <w:color w:val="000000"/>
        </w:rPr>
        <w:t xml:space="preserve">y zaznaczyć, że przedsięwzięcie </w:t>
      </w:r>
      <w:r w:rsidRPr="00072819">
        <w:rPr>
          <w:rFonts w:ascii="Times New Roman" w:hAnsi="Times New Roman" w:cs="Times New Roman"/>
          <w:color w:val="000000"/>
        </w:rPr>
        <w:t>nie należy do kategorii zakładu o zwiększonym bądź duż</w:t>
      </w:r>
      <w:r>
        <w:rPr>
          <w:rFonts w:ascii="Times New Roman" w:hAnsi="Times New Roman" w:cs="Times New Roman"/>
          <w:color w:val="000000"/>
        </w:rPr>
        <w:t xml:space="preserve">ym ryzyku pojawienia się awarii </w:t>
      </w:r>
      <w:r w:rsidRPr="00072819">
        <w:rPr>
          <w:rFonts w:ascii="Times New Roman" w:hAnsi="Times New Roman" w:cs="Times New Roman"/>
          <w:color w:val="000000"/>
        </w:rPr>
        <w:t>przemysłowej, w myśl rozporządzenia Ministra Rozwoju z dnia 29 stycznia 2016 r. w spr</w:t>
      </w:r>
      <w:r>
        <w:rPr>
          <w:rFonts w:ascii="Times New Roman" w:hAnsi="Times New Roman" w:cs="Times New Roman"/>
          <w:color w:val="000000"/>
        </w:rPr>
        <w:t xml:space="preserve">awie </w:t>
      </w:r>
      <w:r w:rsidRPr="00072819">
        <w:rPr>
          <w:rFonts w:ascii="Times New Roman" w:hAnsi="Times New Roman" w:cs="Times New Roman"/>
          <w:color w:val="000000"/>
        </w:rPr>
        <w:t>rodzajów i ilości znajdujących się w zakładzie substancj</w:t>
      </w:r>
      <w:r>
        <w:rPr>
          <w:rFonts w:ascii="Times New Roman" w:hAnsi="Times New Roman" w:cs="Times New Roman"/>
          <w:color w:val="000000"/>
        </w:rPr>
        <w:t xml:space="preserve">i niebezpiecznych, decydujących </w:t>
      </w:r>
      <w:r w:rsidRPr="00072819">
        <w:rPr>
          <w:rFonts w:ascii="Times New Roman" w:hAnsi="Times New Roman" w:cs="Times New Roman"/>
          <w:color w:val="000000"/>
        </w:rPr>
        <w:t>o zaliczeniu zakładu do zakładu o zwiększonym lub du</w:t>
      </w:r>
      <w:r>
        <w:rPr>
          <w:rFonts w:ascii="Times New Roman" w:hAnsi="Times New Roman" w:cs="Times New Roman"/>
          <w:color w:val="000000"/>
        </w:rPr>
        <w:t xml:space="preserve">żym ryzyku wystąpienia poważnej </w:t>
      </w:r>
      <w:r w:rsidRPr="00072819">
        <w:rPr>
          <w:rFonts w:ascii="Times New Roman" w:hAnsi="Times New Roman" w:cs="Times New Roman"/>
          <w:color w:val="000000"/>
        </w:rPr>
        <w:t>awarii przemysłowej (Dz. U. z 2016 r., poz. 138).</w:t>
      </w:r>
    </w:p>
    <w:p w:rsidR="001314C1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Na terenie projektowanego zadania nie występują obs</w:t>
      </w:r>
      <w:r>
        <w:rPr>
          <w:rFonts w:ascii="Times New Roman" w:hAnsi="Times New Roman" w:cs="Times New Roman"/>
          <w:color w:val="000000"/>
        </w:rPr>
        <w:t xml:space="preserve">zary wodno-błotne, inne obszary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o płytkim zaleganiu wód podziemnych, w tym siedliska ł</w:t>
      </w:r>
      <w:r>
        <w:rPr>
          <w:rFonts w:ascii="Times New Roman" w:hAnsi="Times New Roman" w:cs="Times New Roman"/>
          <w:color w:val="000000"/>
        </w:rPr>
        <w:t xml:space="preserve">ęgowe oraz ujścia rzek, obszary </w:t>
      </w:r>
      <w:r w:rsidRPr="00072819">
        <w:rPr>
          <w:rFonts w:ascii="Times New Roman" w:hAnsi="Times New Roman" w:cs="Times New Roman"/>
          <w:color w:val="000000"/>
        </w:rPr>
        <w:t xml:space="preserve">wybrzeży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środowisko morskie, górskie lub leśne, obsza</w:t>
      </w:r>
      <w:r>
        <w:rPr>
          <w:rFonts w:ascii="Times New Roman" w:hAnsi="Times New Roman" w:cs="Times New Roman"/>
          <w:color w:val="000000"/>
        </w:rPr>
        <w:t xml:space="preserve">ry objęte ochroną, w tym strefy </w:t>
      </w:r>
      <w:r w:rsidRPr="00072819">
        <w:rPr>
          <w:rFonts w:ascii="Times New Roman" w:hAnsi="Times New Roman" w:cs="Times New Roman"/>
          <w:color w:val="000000"/>
        </w:rPr>
        <w:t>ochronne ujęć wód, obszary wymagające specjalnej och</w:t>
      </w:r>
      <w:r>
        <w:rPr>
          <w:rFonts w:ascii="Times New Roman" w:hAnsi="Times New Roman" w:cs="Times New Roman"/>
          <w:color w:val="000000"/>
        </w:rPr>
        <w:t xml:space="preserve">rony ze względu na występowanie </w:t>
      </w:r>
      <w:r w:rsidRPr="00072819">
        <w:rPr>
          <w:rFonts w:ascii="Times New Roman" w:hAnsi="Times New Roman" w:cs="Times New Roman"/>
          <w:color w:val="000000"/>
        </w:rPr>
        <w:t xml:space="preserve">gatunków roślin, grzybów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zwierząt lub ich siedlisk lub s</w:t>
      </w:r>
      <w:r>
        <w:rPr>
          <w:rFonts w:ascii="Times New Roman" w:hAnsi="Times New Roman" w:cs="Times New Roman"/>
          <w:color w:val="000000"/>
        </w:rPr>
        <w:t xml:space="preserve">iedlisk przyrodniczych objętych </w:t>
      </w:r>
      <w:r w:rsidRPr="00072819">
        <w:rPr>
          <w:rFonts w:ascii="Times New Roman" w:hAnsi="Times New Roman" w:cs="Times New Roman"/>
          <w:color w:val="000000"/>
        </w:rPr>
        <w:t>ochroną, w tym obszary Natura 2000, oraz pozostałe formy oc</w:t>
      </w:r>
      <w:r>
        <w:rPr>
          <w:rFonts w:ascii="Times New Roman" w:hAnsi="Times New Roman" w:cs="Times New Roman"/>
          <w:color w:val="000000"/>
        </w:rPr>
        <w:t xml:space="preserve">hrony przyrody, a także obszary </w:t>
      </w:r>
      <w:r w:rsidRPr="00072819">
        <w:rPr>
          <w:rFonts w:ascii="Times New Roman" w:hAnsi="Times New Roman" w:cs="Times New Roman"/>
          <w:color w:val="000000"/>
        </w:rPr>
        <w:t>o krajobrazie mającym znaczenie historyczne, kulturowe</w:t>
      </w:r>
      <w:r>
        <w:rPr>
          <w:rFonts w:ascii="Times New Roman" w:hAnsi="Times New Roman" w:cs="Times New Roman"/>
          <w:color w:val="000000"/>
        </w:rPr>
        <w:t xml:space="preserve"> lub archeologiczne, o znacznej </w:t>
      </w:r>
      <w:r w:rsidRPr="00072819">
        <w:rPr>
          <w:rFonts w:ascii="Times New Roman" w:hAnsi="Times New Roman" w:cs="Times New Roman"/>
          <w:color w:val="000000"/>
        </w:rPr>
        <w:t xml:space="preserve">gęstości zaludnienia, przylegające do jezior, uzdrowiska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obszary ochrony uzdrowiskowej.</w:t>
      </w:r>
    </w:p>
    <w:p w:rsidR="001314C1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Zgodnie z uzupełnieniami Kip, etap realizacji pr</w:t>
      </w:r>
      <w:r>
        <w:rPr>
          <w:rFonts w:ascii="Times New Roman" w:hAnsi="Times New Roman" w:cs="Times New Roman"/>
          <w:color w:val="000000"/>
        </w:rPr>
        <w:t xml:space="preserve">zedsięwzięcia będzie się wiązał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z wykonaniem wykopów o głębokości do 4 m p.p.t. Jak wynika z przedłożonej dokumentacji,</w:t>
      </w:r>
      <w:r>
        <w:rPr>
          <w:rFonts w:ascii="Times New Roman" w:hAnsi="Times New Roman" w:cs="Times New Roman"/>
          <w:color w:val="000000"/>
        </w:rPr>
        <w:t xml:space="preserve"> </w:t>
      </w:r>
      <w:r w:rsidRPr="00072819">
        <w:rPr>
          <w:rFonts w:ascii="Times New Roman" w:hAnsi="Times New Roman" w:cs="Times New Roman"/>
          <w:color w:val="000000"/>
        </w:rPr>
        <w:t>w tym opinii geotechnicznej z dokumentacją badań p</w:t>
      </w:r>
      <w:r w:rsidR="00A16824">
        <w:rPr>
          <w:rFonts w:ascii="Times New Roman" w:hAnsi="Times New Roman" w:cs="Times New Roman"/>
          <w:color w:val="000000"/>
        </w:rPr>
        <w:t>odłoża gruntowego</w:t>
      </w:r>
      <w:r>
        <w:rPr>
          <w:rFonts w:ascii="Times New Roman" w:hAnsi="Times New Roman" w:cs="Times New Roman"/>
          <w:color w:val="000000"/>
        </w:rPr>
        <w:t xml:space="preserve">, w wyniku prac terenowych, </w:t>
      </w:r>
      <w:r w:rsidRPr="00072819">
        <w:rPr>
          <w:rFonts w:ascii="Times New Roman" w:hAnsi="Times New Roman" w:cs="Times New Roman"/>
          <w:color w:val="000000"/>
        </w:rPr>
        <w:t>w tym odwiertu o głębokości 4,5 m p.p.t., wykonanego w g</w:t>
      </w:r>
      <w:r>
        <w:rPr>
          <w:rFonts w:ascii="Times New Roman" w:hAnsi="Times New Roman" w:cs="Times New Roman"/>
          <w:color w:val="000000"/>
        </w:rPr>
        <w:t xml:space="preserve">ranicach działki inwestycyjnej, </w:t>
      </w:r>
      <w:r w:rsidRPr="00072819">
        <w:rPr>
          <w:rFonts w:ascii="Times New Roman" w:hAnsi="Times New Roman" w:cs="Times New Roman"/>
          <w:color w:val="000000"/>
        </w:rPr>
        <w:t>stwierdzono występowanie utworów czwarto</w:t>
      </w:r>
      <w:r>
        <w:rPr>
          <w:rFonts w:ascii="Times New Roman" w:hAnsi="Times New Roman" w:cs="Times New Roman"/>
          <w:color w:val="000000"/>
        </w:rPr>
        <w:t xml:space="preserve">rzędowych holoceńskich (nasypy) </w:t>
      </w:r>
      <w:r w:rsidRPr="00072819">
        <w:rPr>
          <w:rFonts w:ascii="Times New Roman" w:hAnsi="Times New Roman" w:cs="Times New Roman"/>
          <w:color w:val="000000"/>
        </w:rPr>
        <w:t>oraz plejstoceńskich (piaski). Nie udokumentowano występ</w:t>
      </w:r>
      <w:r>
        <w:rPr>
          <w:rFonts w:ascii="Times New Roman" w:hAnsi="Times New Roman" w:cs="Times New Roman"/>
          <w:color w:val="000000"/>
        </w:rPr>
        <w:t xml:space="preserve">owania zjawisk geodynamicznych, </w:t>
      </w:r>
      <w:r w:rsidRPr="00072819">
        <w:rPr>
          <w:rFonts w:ascii="Times New Roman" w:hAnsi="Times New Roman" w:cs="Times New Roman"/>
          <w:color w:val="000000"/>
        </w:rPr>
        <w:t>a swobodne zwierciadło wód podziemnych wystąpi</w:t>
      </w:r>
      <w:r>
        <w:rPr>
          <w:rFonts w:ascii="Times New Roman" w:hAnsi="Times New Roman" w:cs="Times New Roman"/>
          <w:color w:val="000000"/>
        </w:rPr>
        <w:t xml:space="preserve">ło na głębokości 4,15 m p.p.t., </w:t>
      </w:r>
      <w:r w:rsidRPr="00072819">
        <w:rPr>
          <w:rFonts w:ascii="Times New Roman" w:hAnsi="Times New Roman" w:cs="Times New Roman"/>
          <w:color w:val="000000"/>
        </w:rPr>
        <w:t>w związku z czym prowadzone wykopy</w:t>
      </w:r>
      <w:r>
        <w:rPr>
          <w:rFonts w:ascii="Times New Roman" w:hAnsi="Times New Roman" w:cs="Times New Roman"/>
          <w:color w:val="000000"/>
        </w:rPr>
        <w:t xml:space="preserve"> nie będą wymagały odwadniania. </w:t>
      </w:r>
      <w:r w:rsidRPr="00072819">
        <w:rPr>
          <w:rFonts w:ascii="Times New Roman" w:hAnsi="Times New Roman" w:cs="Times New Roman"/>
          <w:color w:val="000000"/>
        </w:rPr>
        <w:t>Tym samym nie przewiduje się naruszenia istniejący</w:t>
      </w:r>
      <w:r>
        <w:rPr>
          <w:rFonts w:ascii="Times New Roman" w:hAnsi="Times New Roman" w:cs="Times New Roman"/>
          <w:color w:val="000000"/>
        </w:rPr>
        <w:t xml:space="preserve">ch warstw wodonośnych, a zakres </w:t>
      </w:r>
      <w:r w:rsidRPr="00072819">
        <w:rPr>
          <w:rFonts w:ascii="Times New Roman" w:hAnsi="Times New Roman" w:cs="Times New Roman"/>
          <w:color w:val="000000"/>
        </w:rPr>
        <w:t>prowadzonych robót nie spowoduje zakłócenia lub zmiany</w:t>
      </w:r>
      <w:r>
        <w:rPr>
          <w:rFonts w:ascii="Times New Roman" w:hAnsi="Times New Roman" w:cs="Times New Roman"/>
          <w:color w:val="000000"/>
        </w:rPr>
        <w:t xml:space="preserve"> przepływu wód powierzchniowych </w:t>
      </w:r>
      <w:r w:rsidRPr="00072819">
        <w:rPr>
          <w:rFonts w:ascii="Times New Roman" w:hAnsi="Times New Roman" w:cs="Times New Roman"/>
          <w:color w:val="000000"/>
        </w:rPr>
        <w:t>i podziemnych.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Zarówno podczas realizacji, jak i użytkowania przedsi</w:t>
      </w:r>
      <w:r w:rsidR="00275434">
        <w:rPr>
          <w:rFonts w:ascii="Times New Roman" w:hAnsi="Times New Roman" w:cs="Times New Roman"/>
          <w:color w:val="000000"/>
        </w:rPr>
        <w:t xml:space="preserve">ęwzięcia, woda będzie pobierana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z miejskiej sieci wodociągowej. Zakłada się, że użytkowa</w:t>
      </w:r>
      <w:r w:rsidR="00275434">
        <w:rPr>
          <w:rFonts w:ascii="Times New Roman" w:hAnsi="Times New Roman" w:cs="Times New Roman"/>
          <w:color w:val="000000"/>
        </w:rPr>
        <w:t xml:space="preserve">nie zamierzenia może się wiązać </w:t>
      </w:r>
      <w:r w:rsidRPr="00072819">
        <w:rPr>
          <w:rFonts w:ascii="Times New Roman" w:hAnsi="Times New Roman" w:cs="Times New Roman"/>
          <w:color w:val="000000"/>
        </w:rPr>
        <w:t>z poborem wody w ilości około 1128 m</w:t>
      </w:r>
      <w:r w:rsidRPr="00A16824">
        <w:rPr>
          <w:rFonts w:ascii="Times New Roman" w:hAnsi="Times New Roman" w:cs="Times New Roman"/>
          <w:color w:val="000000"/>
          <w:vertAlign w:val="superscript"/>
        </w:rPr>
        <w:t>3</w:t>
      </w:r>
      <w:r w:rsidRPr="00072819">
        <w:rPr>
          <w:rFonts w:ascii="Times New Roman" w:hAnsi="Times New Roman" w:cs="Times New Roman"/>
          <w:color w:val="000000"/>
        </w:rPr>
        <w:t xml:space="preserve"> rocznie. Woda</w:t>
      </w:r>
      <w:r w:rsidR="00275434">
        <w:rPr>
          <w:rFonts w:ascii="Times New Roman" w:hAnsi="Times New Roman" w:cs="Times New Roman"/>
          <w:color w:val="000000"/>
        </w:rPr>
        <w:t xml:space="preserve"> będzie przygotowywana w stacji </w:t>
      </w:r>
      <w:r w:rsidRPr="00072819">
        <w:rPr>
          <w:rFonts w:ascii="Times New Roman" w:hAnsi="Times New Roman" w:cs="Times New Roman"/>
          <w:color w:val="000000"/>
        </w:rPr>
        <w:t>uzdatniania, a następnie wykorzystywana w formie pary</w:t>
      </w:r>
      <w:r w:rsidR="00275434">
        <w:rPr>
          <w:rFonts w:ascii="Times New Roman" w:hAnsi="Times New Roman" w:cs="Times New Roman"/>
          <w:color w:val="000000"/>
        </w:rPr>
        <w:t xml:space="preserve"> na potrzeby linii produkcyjnej </w:t>
      </w:r>
      <w:r w:rsidRPr="00072819">
        <w:rPr>
          <w:rFonts w:ascii="Times New Roman" w:hAnsi="Times New Roman" w:cs="Times New Roman"/>
          <w:color w:val="000000"/>
        </w:rPr>
        <w:t>w zakładzie.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Na etapie realizacji zostaną wykorzystane pr</w:t>
      </w:r>
      <w:r w:rsidR="00275434">
        <w:rPr>
          <w:rFonts w:ascii="Times New Roman" w:hAnsi="Times New Roman" w:cs="Times New Roman"/>
          <w:color w:val="000000"/>
        </w:rPr>
        <w:t xml:space="preserve">zenośne toalety z bezodpływowym </w:t>
      </w:r>
      <w:r w:rsidRPr="00072819">
        <w:rPr>
          <w:rFonts w:ascii="Times New Roman" w:hAnsi="Times New Roman" w:cs="Times New Roman"/>
          <w:color w:val="000000"/>
        </w:rPr>
        <w:t>zbiornikiem na ścieki, których opróżnianiem zajmie się spe</w:t>
      </w:r>
      <w:r w:rsidR="00275434">
        <w:rPr>
          <w:rFonts w:ascii="Times New Roman" w:hAnsi="Times New Roman" w:cs="Times New Roman"/>
          <w:color w:val="000000"/>
        </w:rPr>
        <w:t xml:space="preserve">cjalistyczna firma, posiadająca </w:t>
      </w:r>
      <w:r w:rsidRPr="00072819">
        <w:rPr>
          <w:rFonts w:ascii="Times New Roman" w:hAnsi="Times New Roman" w:cs="Times New Roman"/>
          <w:color w:val="000000"/>
        </w:rPr>
        <w:t>stosowne zezwolenie.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Ścieki bytowe, powstające podczas eksploatac</w:t>
      </w:r>
      <w:r w:rsidR="00275434">
        <w:rPr>
          <w:rFonts w:ascii="Times New Roman" w:hAnsi="Times New Roman" w:cs="Times New Roman"/>
          <w:color w:val="000000"/>
        </w:rPr>
        <w:t xml:space="preserve">ji inwestycji będą odprowadzane </w:t>
      </w:r>
      <w:r w:rsidRPr="00072819">
        <w:rPr>
          <w:rFonts w:ascii="Times New Roman" w:hAnsi="Times New Roman" w:cs="Times New Roman"/>
          <w:color w:val="000000"/>
        </w:rPr>
        <w:t>do miejskiej sieci kanalizacji sanitarnej.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Zamierzenie wiąże się z wytwarzaniem ścieków p</w:t>
      </w:r>
      <w:r w:rsidR="00275434">
        <w:rPr>
          <w:rFonts w:ascii="Times New Roman" w:hAnsi="Times New Roman" w:cs="Times New Roman"/>
          <w:color w:val="000000"/>
        </w:rPr>
        <w:t xml:space="preserve">rzemysłowych, pochodzących </w:t>
      </w:r>
      <w:r w:rsidRPr="00072819">
        <w:rPr>
          <w:rFonts w:ascii="Times New Roman" w:hAnsi="Times New Roman" w:cs="Times New Roman"/>
          <w:color w:val="000000"/>
        </w:rPr>
        <w:t xml:space="preserve">z odmulania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odsalania źródeł parowych oraz w procesach</w:t>
      </w:r>
      <w:r w:rsidR="00275434">
        <w:rPr>
          <w:rFonts w:ascii="Times New Roman" w:hAnsi="Times New Roman" w:cs="Times New Roman"/>
          <w:color w:val="000000"/>
        </w:rPr>
        <w:t xml:space="preserve"> zmiękczania wody dla omawianej </w:t>
      </w:r>
      <w:r w:rsidRPr="00072819">
        <w:rPr>
          <w:rFonts w:ascii="Times New Roman" w:hAnsi="Times New Roman" w:cs="Times New Roman"/>
          <w:color w:val="000000"/>
        </w:rPr>
        <w:t>instalacji. Jak wynika z uzupełnień Kip, ścieki te nie będ</w:t>
      </w:r>
      <w:r w:rsidR="00275434">
        <w:rPr>
          <w:rFonts w:ascii="Times New Roman" w:hAnsi="Times New Roman" w:cs="Times New Roman"/>
          <w:color w:val="000000"/>
        </w:rPr>
        <w:t xml:space="preserve">ą wymagać podczyszczania i będą </w:t>
      </w:r>
      <w:r w:rsidRPr="00072819">
        <w:rPr>
          <w:rFonts w:ascii="Times New Roman" w:hAnsi="Times New Roman" w:cs="Times New Roman"/>
          <w:color w:val="000000"/>
        </w:rPr>
        <w:t>odprowadzane do miejskiej sieci kanalizacji sanitarnej.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Całkowita ilość wytwarzanych ścieków byto</w:t>
      </w:r>
      <w:r w:rsidR="00275434">
        <w:rPr>
          <w:rFonts w:ascii="Times New Roman" w:hAnsi="Times New Roman" w:cs="Times New Roman"/>
          <w:color w:val="000000"/>
        </w:rPr>
        <w:t xml:space="preserve">wych oraz przemysłowych podczas </w:t>
      </w:r>
      <w:r w:rsidRPr="00072819">
        <w:rPr>
          <w:rFonts w:ascii="Times New Roman" w:hAnsi="Times New Roman" w:cs="Times New Roman"/>
          <w:color w:val="000000"/>
        </w:rPr>
        <w:t>eksploatacji przedsięwzięcia została oszacowana na 200 m</w:t>
      </w:r>
      <w:r w:rsidRPr="00A16824">
        <w:rPr>
          <w:rFonts w:ascii="Times New Roman" w:hAnsi="Times New Roman" w:cs="Times New Roman"/>
          <w:color w:val="000000"/>
          <w:vertAlign w:val="superscript"/>
        </w:rPr>
        <w:t>3</w:t>
      </w:r>
      <w:r w:rsidRPr="00072819">
        <w:rPr>
          <w:rFonts w:ascii="Times New Roman" w:hAnsi="Times New Roman" w:cs="Times New Roman"/>
          <w:color w:val="000000"/>
        </w:rPr>
        <w:t xml:space="preserve"> rocznie.</w:t>
      </w:r>
    </w:p>
    <w:p w:rsidR="00072819" w:rsidRP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 xml:space="preserve">Wody opadowe i roztopowe będą odprowadzane, </w:t>
      </w:r>
      <w:r w:rsidR="00275434">
        <w:rPr>
          <w:rFonts w:ascii="Times New Roman" w:hAnsi="Times New Roman" w:cs="Times New Roman"/>
          <w:color w:val="000000"/>
        </w:rPr>
        <w:t xml:space="preserve">tak jak obecnie, powierzchniowo </w:t>
      </w:r>
      <w:r w:rsidR="00A16824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w granicach działek inwestycyjnych i nie przewiduje się konieczności ich podczyszczania.</w:t>
      </w:r>
    </w:p>
    <w:p w:rsidR="00072819" w:rsidRDefault="00072819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Teren realizacji przedsięwzięcia znajduje się poza gr</w:t>
      </w:r>
      <w:r w:rsidR="00275434">
        <w:rPr>
          <w:rFonts w:ascii="Times New Roman" w:hAnsi="Times New Roman" w:cs="Times New Roman"/>
          <w:color w:val="000000"/>
        </w:rPr>
        <w:t xml:space="preserve">anicami głównych zbiorników wód </w:t>
      </w:r>
      <w:r w:rsidRPr="00072819">
        <w:rPr>
          <w:rFonts w:ascii="Times New Roman" w:hAnsi="Times New Roman" w:cs="Times New Roman"/>
          <w:color w:val="000000"/>
        </w:rPr>
        <w:t xml:space="preserve">podziemnych, obszarami szczególnego zagrożenia powodzią </w:t>
      </w:r>
      <w:r w:rsidR="00275434">
        <w:rPr>
          <w:rFonts w:ascii="Times New Roman" w:hAnsi="Times New Roman" w:cs="Times New Roman"/>
          <w:color w:val="000000"/>
        </w:rPr>
        <w:t xml:space="preserve">i poza strefami ochronnymi ujęć </w:t>
      </w:r>
      <w:r w:rsidRPr="00072819">
        <w:rPr>
          <w:rFonts w:ascii="Times New Roman" w:hAnsi="Times New Roman" w:cs="Times New Roman"/>
          <w:color w:val="000000"/>
        </w:rPr>
        <w:t>wód na potrzeby zaopatrzenia ludności.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 xml:space="preserve">Przedmiotowa inwestycja zlokalizowana </w:t>
      </w:r>
      <w:r>
        <w:rPr>
          <w:rFonts w:ascii="Times New Roman" w:hAnsi="Times New Roman" w:cs="Times New Roman"/>
          <w:color w:val="000000"/>
        </w:rPr>
        <w:t xml:space="preserve">jest w obszarze dorzecza Wisły, </w:t>
      </w:r>
      <w:r w:rsidRPr="00275434">
        <w:rPr>
          <w:rFonts w:ascii="Times New Roman" w:hAnsi="Times New Roman" w:cs="Times New Roman"/>
          <w:color w:val="000000"/>
        </w:rPr>
        <w:t xml:space="preserve">zgodnie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275434">
        <w:rPr>
          <w:rFonts w:ascii="Times New Roman" w:hAnsi="Times New Roman" w:cs="Times New Roman"/>
          <w:color w:val="000000"/>
        </w:rPr>
        <w:t>Planu gospodarowania wodami na obszarze dorzecza Wisły (Dz</w:t>
      </w:r>
      <w:r>
        <w:rPr>
          <w:rFonts w:ascii="Times New Roman" w:hAnsi="Times New Roman" w:cs="Times New Roman"/>
          <w:color w:val="000000"/>
        </w:rPr>
        <w:t>. U. z 2023 r., poz. 300 t.j.).</w:t>
      </w:r>
    </w:p>
    <w:p w:rsid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Zamierzenie znajduje się w obszarze jednolitej cz</w:t>
      </w:r>
      <w:r>
        <w:rPr>
          <w:rFonts w:ascii="Times New Roman" w:hAnsi="Times New Roman" w:cs="Times New Roman"/>
          <w:color w:val="000000"/>
        </w:rPr>
        <w:t xml:space="preserve">ęści wód podziemnych oznaczonym </w:t>
      </w:r>
      <w:r w:rsidRPr="00275434">
        <w:rPr>
          <w:rFonts w:ascii="Times New Roman" w:hAnsi="Times New Roman" w:cs="Times New Roman"/>
          <w:color w:val="000000"/>
        </w:rPr>
        <w:t>europejskim kodem PLGW200039, zaliczonym d</w:t>
      </w:r>
      <w:r>
        <w:rPr>
          <w:rFonts w:ascii="Times New Roman" w:hAnsi="Times New Roman" w:cs="Times New Roman"/>
          <w:color w:val="000000"/>
        </w:rPr>
        <w:t xml:space="preserve">o regionu wodnego Dolnej Wisły. </w:t>
      </w:r>
      <w:r w:rsidRPr="00275434">
        <w:rPr>
          <w:rFonts w:ascii="Times New Roman" w:hAnsi="Times New Roman" w:cs="Times New Roman"/>
          <w:color w:val="000000"/>
        </w:rPr>
        <w:t xml:space="preserve">Zgodnie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275434">
        <w:rPr>
          <w:rFonts w:ascii="Times New Roman" w:hAnsi="Times New Roman" w:cs="Times New Roman"/>
          <w:color w:val="000000"/>
        </w:rPr>
        <w:t>Planu gospodarowania wodami na obszarze dorzecza Wisły,</w:t>
      </w:r>
      <w:r>
        <w:rPr>
          <w:rFonts w:ascii="Times New Roman" w:hAnsi="Times New Roman" w:cs="Times New Roman"/>
          <w:color w:val="000000"/>
        </w:rPr>
        <w:t xml:space="preserve"> stan ogólny tej JCWPd oceniono </w:t>
      </w:r>
      <w:r w:rsidRPr="00275434">
        <w:rPr>
          <w:rFonts w:ascii="Times New Roman" w:hAnsi="Times New Roman" w:cs="Times New Roman"/>
          <w:color w:val="000000"/>
        </w:rPr>
        <w:t>jako dobry (stan chemiczny: dobry; stan ilościowy: dobry). R</w:t>
      </w:r>
      <w:r>
        <w:rPr>
          <w:rFonts w:ascii="Times New Roman" w:hAnsi="Times New Roman" w:cs="Times New Roman"/>
          <w:color w:val="000000"/>
        </w:rPr>
        <w:t xml:space="preserve">ozpatrywana jednolita część wód </w:t>
      </w:r>
      <w:r w:rsidRPr="00275434">
        <w:rPr>
          <w:rFonts w:ascii="Times New Roman" w:hAnsi="Times New Roman" w:cs="Times New Roman"/>
          <w:color w:val="000000"/>
        </w:rPr>
        <w:t>podziemnych jest zagrożona chemicznie ryzykiem nieos</w:t>
      </w:r>
      <w:r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275434">
        <w:rPr>
          <w:rFonts w:ascii="Times New Roman" w:hAnsi="Times New Roman" w:cs="Times New Roman"/>
          <w:color w:val="000000"/>
        </w:rPr>
        <w:t>tj. utrzymania dobrego stanu ilościowego i dobrego stanu chemicznego wód podziemnych.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Przedsięwzięcie usytuowane jest w obszar</w:t>
      </w:r>
      <w:r>
        <w:rPr>
          <w:rFonts w:ascii="Times New Roman" w:hAnsi="Times New Roman" w:cs="Times New Roman"/>
          <w:color w:val="000000"/>
        </w:rPr>
        <w:t xml:space="preserve">ze zlewni jednolitej części wód </w:t>
      </w:r>
      <w:r w:rsidRPr="00275434">
        <w:rPr>
          <w:rFonts w:ascii="Times New Roman" w:hAnsi="Times New Roman" w:cs="Times New Roman"/>
          <w:color w:val="000000"/>
        </w:rPr>
        <w:t>powierzchniowych oznaczonej europejskim</w:t>
      </w:r>
      <w:r>
        <w:rPr>
          <w:rFonts w:ascii="Times New Roman" w:hAnsi="Times New Roman" w:cs="Times New Roman"/>
          <w:color w:val="000000"/>
        </w:rPr>
        <w:t xml:space="preserve"> kodem PLRW20001229199 – „Wisła </w:t>
      </w:r>
      <w:r w:rsidRPr="00275434">
        <w:rPr>
          <w:rFonts w:ascii="Times New Roman" w:hAnsi="Times New Roman" w:cs="Times New Roman"/>
          <w:color w:val="000000"/>
        </w:rPr>
        <w:t>od Zgłowiączki do Brdy”, zaliczonym do regionu wodnego Dolnej Wisły.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Zgodnie 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275434">
        <w:rPr>
          <w:rFonts w:ascii="Times New Roman" w:hAnsi="Times New Roman" w:cs="Times New Roman"/>
          <w:color w:val="000000"/>
        </w:rPr>
        <w:t>Planu gospodarowania wodami na obszarze dorzecza Wisły</w:t>
      </w:r>
      <w:r>
        <w:rPr>
          <w:rFonts w:ascii="Times New Roman" w:hAnsi="Times New Roman" w:cs="Times New Roman"/>
          <w:color w:val="000000"/>
        </w:rPr>
        <w:t xml:space="preserve">, ta JCWP posiada status silnie </w:t>
      </w:r>
      <w:r w:rsidRPr="00275434">
        <w:rPr>
          <w:rFonts w:ascii="Times New Roman" w:hAnsi="Times New Roman" w:cs="Times New Roman"/>
          <w:color w:val="000000"/>
        </w:rPr>
        <w:t>zmienionej części wód, której stan ogólny oceniono jako zły</w:t>
      </w:r>
      <w:r>
        <w:rPr>
          <w:rFonts w:ascii="Times New Roman" w:hAnsi="Times New Roman" w:cs="Times New Roman"/>
          <w:color w:val="000000"/>
        </w:rPr>
        <w:t xml:space="preserve"> (potencjał ekologiczny: słaby; </w:t>
      </w:r>
      <w:r w:rsidRPr="00275434">
        <w:rPr>
          <w:rFonts w:ascii="Times New Roman" w:hAnsi="Times New Roman" w:cs="Times New Roman"/>
          <w:color w:val="000000"/>
        </w:rPr>
        <w:t xml:space="preserve">stan chemiczny: dobry). Rozpatrywana jednolita część wód </w:t>
      </w:r>
      <w:r>
        <w:rPr>
          <w:rFonts w:ascii="Times New Roman" w:hAnsi="Times New Roman" w:cs="Times New Roman"/>
          <w:color w:val="000000"/>
        </w:rPr>
        <w:t xml:space="preserve">powierzchniowych jest zagrożona </w:t>
      </w:r>
      <w:r w:rsidRPr="00275434">
        <w:rPr>
          <w:rFonts w:ascii="Times New Roman" w:hAnsi="Times New Roman" w:cs="Times New Roman"/>
          <w:color w:val="000000"/>
        </w:rPr>
        <w:t>ryzykiem nieosiągnięcia celów środowiskowych, tj. osiąg</w:t>
      </w:r>
      <w:r>
        <w:rPr>
          <w:rFonts w:ascii="Times New Roman" w:hAnsi="Times New Roman" w:cs="Times New Roman"/>
          <w:color w:val="000000"/>
        </w:rPr>
        <w:t xml:space="preserve">nięcia umiarkowanego potencjału </w:t>
      </w:r>
      <w:r w:rsidRPr="00275434">
        <w:rPr>
          <w:rFonts w:ascii="Times New Roman" w:hAnsi="Times New Roman" w:cs="Times New Roman"/>
          <w:color w:val="000000"/>
        </w:rPr>
        <w:t>ekologicznego oraz zapewnienia drożności cieku dla migrac</w:t>
      </w:r>
      <w:r>
        <w:rPr>
          <w:rFonts w:ascii="Times New Roman" w:hAnsi="Times New Roman" w:cs="Times New Roman"/>
          <w:color w:val="000000"/>
        </w:rPr>
        <w:t xml:space="preserve">ji ichtiofauny na odcinku cieku </w:t>
      </w:r>
      <w:r w:rsidRPr="00275434">
        <w:rPr>
          <w:rFonts w:ascii="Times New Roman" w:hAnsi="Times New Roman" w:cs="Times New Roman"/>
          <w:color w:val="000000"/>
        </w:rPr>
        <w:t>istotnego Wisła w obrębie JCWP (dla jesiotra); zapewnienia</w:t>
      </w:r>
      <w:r>
        <w:rPr>
          <w:rFonts w:ascii="Times New Roman" w:hAnsi="Times New Roman" w:cs="Times New Roman"/>
          <w:color w:val="000000"/>
        </w:rPr>
        <w:t xml:space="preserve"> drożności cieku według wymagań </w:t>
      </w:r>
      <w:r w:rsidRPr="00275434">
        <w:rPr>
          <w:rFonts w:ascii="Times New Roman" w:hAnsi="Times New Roman" w:cs="Times New Roman"/>
          <w:color w:val="000000"/>
        </w:rPr>
        <w:t>gatunków chronionych; zapewnienia drożności cieku dl</w:t>
      </w:r>
      <w:r>
        <w:rPr>
          <w:rFonts w:ascii="Times New Roman" w:hAnsi="Times New Roman" w:cs="Times New Roman"/>
          <w:color w:val="000000"/>
        </w:rPr>
        <w:t xml:space="preserve">a migracji gatunków o znaczeniu </w:t>
      </w:r>
      <w:r w:rsidRPr="00275434">
        <w:rPr>
          <w:rFonts w:ascii="Times New Roman" w:hAnsi="Times New Roman" w:cs="Times New Roman"/>
          <w:color w:val="000000"/>
        </w:rPr>
        <w:t>gospodarczym na odcinku cieku głównego Wisła w ob</w:t>
      </w:r>
      <w:r>
        <w:rPr>
          <w:rFonts w:ascii="Times New Roman" w:hAnsi="Times New Roman" w:cs="Times New Roman"/>
          <w:color w:val="000000"/>
        </w:rPr>
        <w:t xml:space="preserve">rębie JCWP (dla troci wędrownej </w:t>
      </w:r>
      <w:r w:rsidRPr="00275434">
        <w:rPr>
          <w:rFonts w:ascii="Times New Roman" w:hAnsi="Times New Roman" w:cs="Times New Roman"/>
          <w:color w:val="000000"/>
        </w:rPr>
        <w:t>oraz węgorza europejskiego) i utrzymania dobrego stanu chemicznego wód powierzchniowych.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W celu zabezpieczenia gruntu oraz wód</w:t>
      </w:r>
      <w:r>
        <w:rPr>
          <w:rFonts w:ascii="Times New Roman" w:hAnsi="Times New Roman" w:cs="Times New Roman"/>
          <w:color w:val="000000"/>
        </w:rPr>
        <w:t xml:space="preserve"> podziemnych i powierzchniowych </w:t>
      </w:r>
      <w:r w:rsidRPr="00275434">
        <w:rPr>
          <w:rFonts w:ascii="Times New Roman" w:hAnsi="Times New Roman" w:cs="Times New Roman"/>
          <w:color w:val="000000"/>
        </w:rPr>
        <w:t>przed zanieczyszczeniem substancjami ropopochodnymi</w:t>
      </w:r>
      <w:r>
        <w:rPr>
          <w:rFonts w:ascii="Times New Roman" w:hAnsi="Times New Roman" w:cs="Times New Roman"/>
          <w:color w:val="000000"/>
        </w:rPr>
        <w:t xml:space="preserve">, podczas realizacji inwestycji </w:t>
      </w:r>
      <w:r w:rsidRPr="00275434">
        <w:rPr>
          <w:rFonts w:ascii="Times New Roman" w:hAnsi="Times New Roman" w:cs="Times New Roman"/>
          <w:color w:val="000000"/>
        </w:rPr>
        <w:t>używany będzie wyłącznie sprawny sprzęt i monitorowane będą ewentualne wycieki substancji</w:t>
      </w:r>
      <w:r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ropopochodnych, które mogą powstać w wyniku awarii.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Na etapie realizacji przedsięwzięcia, zapewniona zostanie dostępność sorbentó</w:t>
      </w:r>
      <w:r>
        <w:rPr>
          <w:rFonts w:ascii="Times New Roman" w:hAnsi="Times New Roman" w:cs="Times New Roman"/>
          <w:color w:val="000000"/>
        </w:rPr>
        <w:t xml:space="preserve">w.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W przypadku wycieku substancji niebezpiecznych, zanieczyszczony grunt lub zużyty sorbent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należy zebrać i przekazać uprawnionym odbiorcom odpadów.</w:t>
      </w:r>
    </w:p>
    <w:p w:rsid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Podczas budowy, głównymi przyczynami za</w:t>
      </w:r>
      <w:r>
        <w:rPr>
          <w:rFonts w:ascii="Times New Roman" w:hAnsi="Times New Roman" w:cs="Times New Roman"/>
          <w:color w:val="000000"/>
        </w:rPr>
        <w:t xml:space="preserve">nieczyszczenia wód i gleby mogą </w:t>
      </w:r>
      <w:r w:rsidRPr="00275434">
        <w:rPr>
          <w:rFonts w:ascii="Times New Roman" w:hAnsi="Times New Roman" w:cs="Times New Roman"/>
          <w:color w:val="000000"/>
        </w:rPr>
        <w:t>być spływy deszczowe oraz roztopowe z ter</w:t>
      </w:r>
      <w:r>
        <w:rPr>
          <w:rFonts w:ascii="Times New Roman" w:hAnsi="Times New Roman" w:cs="Times New Roman"/>
          <w:color w:val="000000"/>
        </w:rPr>
        <w:t xml:space="preserve">enu budowy, a także wypłukiwane </w:t>
      </w:r>
      <w:r w:rsidRPr="00275434">
        <w:rPr>
          <w:rFonts w:ascii="Times New Roman" w:hAnsi="Times New Roman" w:cs="Times New Roman"/>
          <w:color w:val="000000"/>
        </w:rPr>
        <w:t>zanieczyszczenia z materiałów używanych do budowy. B</w:t>
      </w:r>
      <w:r>
        <w:rPr>
          <w:rFonts w:ascii="Times New Roman" w:hAnsi="Times New Roman" w:cs="Times New Roman"/>
          <w:color w:val="000000"/>
        </w:rPr>
        <w:t xml:space="preserve">iorąc pod uwagę niewielką skalę </w:t>
      </w:r>
      <w:r w:rsidRPr="00275434">
        <w:rPr>
          <w:rFonts w:ascii="Times New Roman" w:hAnsi="Times New Roman" w:cs="Times New Roman"/>
          <w:color w:val="000000"/>
        </w:rPr>
        <w:t>oraz krótki czas realizacji, nie przewiduje się znacz</w:t>
      </w:r>
      <w:r>
        <w:rPr>
          <w:rFonts w:ascii="Times New Roman" w:hAnsi="Times New Roman" w:cs="Times New Roman"/>
          <w:color w:val="000000"/>
        </w:rPr>
        <w:t xml:space="preserve">ącego negatywnego oddziaływania </w:t>
      </w:r>
      <w:r w:rsidRPr="00275434">
        <w:rPr>
          <w:rFonts w:ascii="Times New Roman" w:hAnsi="Times New Roman" w:cs="Times New Roman"/>
          <w:color w:val="000000"/>
        </w:rPr>
        <w:t>na środowisko gruntowo-wodne.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Tymczasowe zaplecze budowy oraz miejsca skł</w:t>
      </w:r>
      <w:r>
        <w:rPr>
          <w:rFonts w:ascii="Times New Roman" w:hAnsi="Times New Roman" w:cs="Times New Roman"/>
          <w:color w:val="000000"/>
        </w:rPr>
        <w:t xml:space="preserve">adowania materiałów budowlanych </w:t>
      </w:r>
      <w:r w:rsidRPr="00275434">
        <w:rPr>
          <w:rFonts w:ascii="Times New Roman" w:hAnsi="Times New Roman" w:cs="Times New Roman"/>
          <w:color w:val="000000"/>
        </w:rPr>
        <w:t>lub postoju pojazdów i maszyn zostaną zorga</w:t>
      </w:r>
      <w:r>
        <w:rPr>
          <w:rFonts w:ascii="Times New Roman" w:hAnsi="Times New Roman" w:cs="Times New Roman"/>
          <w:color w:val="000000"/>
        </w:rPr>
        <w:t xml:space="preserve">nizowane na terenie utwardzonym </w:t>
      </w:r>
      <w:r w:rsidRPr="00275434">
        <w:rPr>
          <w:rFonts w:ascii="Times New Roman" w:hAnsi="Times New Roman" w:cs="Times New Roman"/>
          <w:color w:val="000000"/>
        </w:rPr>
        <w:t>lub posiadającym szczelną nawierzchnię.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 uwagi na rodzaj, zakres i lokalizację przedsięwzi</w:t>
      </w:r>
      <w:r>
        <w:rPr>
          <w:rFonts w:ascii="Times New Roman" w:hAnsi="Times New Roman" w:cs="Times New Roman"/>
          <w:color w:val="000000"/>
        </w:rPr>
        <w:t xml:space="preserve">ęcia stwierdza się, </w:t>
      </w:r>
      <w:r w:rsidRPr="00275434">
        <w:rPr>
          <w:rFonts w:ascii="Times New Roman" w:hAnsi="Times New Roman" w:cs="Times New Roman"/>
          <w:color w:val="000000"/>
        </w:rPr>
        <w:t>że przy zastosowaniu rozwiązań opisanych w Kip,</w:t>
      </w:r>
      <w:r>
        <w:rPr>
          <w:rFonts w:ascii="Times New Roman" w:hAnsi="Times New Roman" w:cs="Times New Roman"/>
          <w:color w:val="000000"/>
        </w:rPr>
        <w:t xml:space="preserve"> jego realizacja i eksploatacja </w:t>
      </w:r>
      <w:r w:rsidRPr="00275434">
        <w:rPr>
          <w:rFonts w:ascii="Times New Roman" w:hAnsi="Times New Roman" w:cs="Times New Roman"/>
          <w:color w:val="000000"/>
        </w:rPr>
        <w:t>nie wpłynie negatywnie na ryzyko nieosiągnięcia</w:t>
      </w:r>
      <w:r>
        <w:rPr>
          <w:rFonts w:ascii="Times New Roman" w:hAnsi="Times New Roman" w:cs="Times New Roman"/>
          <w:color w:val="000000"/>
        </w:rPr>
        <w:t xml:space="preserve"> celów środowiskowych zawartych </w:t>
      </w:r>
      <w:r w:rsidRPr="00275434">
        <w:rPr>
          <w:rFonts w:ascii="Times New Roman" w:hAnsi="Times New Roman" w:cs="Times New Roman"/>
          <w:color w:val="000000"/>
        </w:rPr>
        <w:t>w Planie gospodarowania wodami na obszarze dorzecza Wisły.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Podczas fazy realizacji źródłem odpadów b</w:t>
      </w:r>
      <w:r>
        <w:rPr>
          <w:rFonts w:ascii="Times New Roman" w:hAnsi="Times New Roman" w:cs="Times New Roman"/>
          <w:color w:val="000000"/>
        </w:rPr>
        <w:t xml:space="preserve">ędą prace budowlane, opakowania </w:t>
      </w:r>
      <w:r w:rsidRPr="00275434">
        <w:rPr>
          <w:rFonts w:ascii="Times New Roman" w:hAnsi="Times New Roman" w:cs="Times New Roman"/>
          <w:color w:val="000000"/>
        </w:rPr>
        <w:t>po materiałach oraz zaplecze budowy. Podczas fazy</w:t>
      </w:r>
      <w:r>
        <w:rPr>
          <w:rFonts w:ascii="Times New Roman" w:hAnsi="Times New Roman" w:cs="Times New Roman"/>
          <w:color w:val="000000"/>
        </w:rPr>
        <w:t xml:space="preserve"> realizacji nie powstaną odpady </w:t>
      </w:r>
      <w:r w:rsidRPr="00275434">
        <w:rPr>
          <w:rFonts w:ascii="Times New Roman" w:hAnsi="Times New Roman" w:cs="Times New Roman"/>
          <w:color w:val="000000"/>
        </w:rPr>
        <w:t>niebezpieczne.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Wszystkie odpady na etapie realizacji pla</w:t>
      </w:r>
      <w:r>
        <w:rPr>
          <w:rFonts w:ascii="Times New Roman" w:hAnsi="Times New Roman" w:cs="Times New Roman"/>
          <w:color w:val="000000"/>
        </w:rPr>
        <w:t xml:space="preserve">nuje się gromadzić selektywnie, </w:t>
      </w:r>
      <w:r w:rsidRPr="00275434">
        <w:rPr>
          <w:rFonts w:ascii="Times New Roman" w:hAnsi="Times New Roman" w:cs="Times New Roman"/>
          <w:color w:val="000000"/>
        </w:rPr>
        <w:t>w miejscach do tego przystosowanych oraz w sposób unie</w:t>
      </w:r>
      <w:r>
        <w:rPr>
          <w:rFonts w:ascii="Times New Roman" w:hAnsi="Times New Roman" w:cs="Times New Roman"/>
          <w:color w:val="000000"/>
        </w:rPr>
        <w:t xml:space="preserve">możliwiający przedostawaniu się </w:t>
      </w:r>
      <w:r w:rsidRPr="00275434">
        <w:rPr>
          <w:rFonts w:ascii="Times New Roman" w:hAnsi="Times New Roman" w:cs="Times New Roman"/>
          <w:color w:val="000000"/>
        </w:rPr>
        <w:t>szkodliwych substancji do gruntu.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Wszystkie odpady po opakowaniach z pap</w:t>
      </w:r>
      <w:r>
        <w:rPr>
          <w:rFonts w:ascii="Times New Roman" w:hAnsi="Times New Roman" w:cs="Times New Roman"/>
          <w:color w:val="000000"/>
        </w:rPr>
        <w:t xml:space="preserve">ieru, tektury, plastiku, drewna </w:t>
      </w:r>
      <w:r w:rsidRPr="00275434">
        <w:rPr>
          <w:rFonts w:ascii="Times New Roman" w:hAnsi="Times New Roman" w:cs="Times New Roman"/>
          <w:color w:val="000000"/>
        </w:rPr>
        <w:t>lub metali planuje się segregować i zabezpieczyć przed rozwi</w:t>
      </w:r>
      <w:r>
        <w:rPr>
          <w:rFonts w:ascii="Times New Roman" w:hAnsi="Times New Roman" w:cs="Times New Roman"/>
          <w:color w:val="000000"/>
        </w:rPr>
        <w:t xml:space="preserve">ewaniem. Materiały filtracyjne, </w:t>
      </w:r>
      <w:r w:rsidRPr="00275434">
        <w:rPr>
          <w:rFonts w:ascii="Times New Roman" w:hAnsi="Times New Roman" w:cs="Times New Roman"/>
          <w:color w:val="000000"/>
        </w:rPr>
        <w:t xml:space="preserve">tkaniny, ubrania ochronne, sorbenty będą gromadzone w </w:t>
      </w:r>
      <w:r>
        <w:rPr>
          <w:rFonts w:ascii="Times New Roman" w:hAnsi="Times New Roman" w:cs="Times New Roman"/>
          <w:color w:val="000000"/>
        </w:rPr>
        <w:t xml:space="preserve">pojemnikach. Odpady ceramiczne, </w:t>
      </w:r>
      <w:r w:rsidRPr="00275434">
        <w:rPr>
          <w:rFonts w:ascii="Times New Roman" w:hAnsi="Times New Roman" w:cs="Times New Roman"/>
          <w:color w:val="000000"/>
        </w:rPr>
        <w:t>betonowe, ceglane planuje się gromadzić w wydzielonych</w:t>
      </w:r>
      <w:r>
        <w:rPr>
          <w:rFonts w:ascii="Times New Roman" w:hAnsi="Times New Roman" w:cs="Times New Roman"/>
          <w:color w:val="000000"/>
        </w:rPr>
        <w:t xml:space="preserve"> kontenerach. Materiały żelazne </w:t>
      </w:r>
      <w:r w:rsidRPr="00275434">
        <w:rPr>
          <w:rFonts w:ascii="Times New Roman" w:hAnsi="Times New Roman" w:cs="Times New Roman"/>
          <w:color w:val="000000"/>
        </w:rPr>
        <w:t xml:space="preserve">lub stalowe będą gromadzone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w kontenerach lub na utwar</w:t>
      </w:r>
      <w:r>
        <w:rPr>
          <w:rFonts w:ascii="Times New Roman" w:hAnsi="Times New Roman" w:cs="Times New Roman"/>
          <w:color w:val="000000"/>
        </w:rPr>
        <w:t xml:space="preserve">dzonym placu. Kable umieszczone </w:t>
      </w:r>
      <w:r w:rsidRPr="00275434">
        <w:rPr>
          <w:rFonts w:ascii="Times New Roman" w:hAnsi="Times New Roman" w:cs="Times New Roman"/>
          <w:color w:val="000000"/>
        </w:rPr>
        <w:t>zostaną w pojemnikach w wydzielonym miejscu na terenie d</w:t>
      </w:r>
      <w:r>
        <w:rPr>
          <w:rFonts w:ascii="Times New Roman" w:hAnsi="Times New Roman" w:cs="Times New Roman"/>
          <w:color w:val="000000"/>
        </w:rPr>
        <w:t xml:space="preserve">ziałki. Urobek należy składować </w:t>
      </w:r>
      <w:r w:rsidRPr="00275434">
        <w:rPr>
          <w:rFonts w:ascii="Times New Roman" w:hAnsi="Times New Roman" w:cs="Times New Roman"/>
          <w:color w:val="000000"/>
        </w:rPr>
        <w:t>na hałdach.</w:t>
      </w:r>
    </w:p>
    <w:p w:rsid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Odpady komunalne planuje się gromadzić w pojem</w:t>
      </w:r>
      <w:r>
        <w:rPr>
          <w:rFonts w:ascii="Times New Roman" w:hAnsi="Times New Roman" w:cs="Times New Roman"/>
          <w:color w:val="000000"/>
        </w:rPr>
        <w:t xml:space="preserve">nikach. Wszystkie posegregowane </w:t>
      </w:r>
      <w:r w:rsidRPr="00275434">
        <w:rPr>
          <w:rFonts w:ascii="Times New Roman" w:hAnsi="Times New Roman" w:cs="Times New Roman"/>
          <w:color w:val="000000"/>
        </w:rPr>
        <w:t>odpady zostaną poddane recyklingowi przez odpowiedzialne za to podmioty.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Na etapie eksploatacji odpady mogą powstawać z pracujących urządzeń.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Wytworzone odpady planuje się segregowa</w:t>
      </w:r>
      <w:r>
        <w:rPr>
          <w:rFonts w:ascii="Times New Roman" w:hAnsi="Times New Roman" w:cs="Times New Roman"/>
          <w:color w:val="000000"/>
        </w:rPr>
        <w:t xml:space="preserve">ć i przechowywać w pojemnikach, </w:t>
      </w:r>
      <w:r w:rsidRPr="00275434">
        <w:rPr>
          <w:rFonts w:ascii="Times New Roman" w:hAnsi="Times New Roman" w:cs="Times New Roman"/>
          <w:color w:val="000000"/>
        </w:rPr>
        <w:t>a następnie przekazywać do recyklingu do podmiotu odpowiedzialnego za odbiór odpadów.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Etap realizacji wiąże się z emisją niezor</w:t>
      </w:r>
      <w:r>
        <w:rPr>
          <w:rFonts w:ascii="Times New Roman" w:hAnsi="Times New Roman" w:cs="Times New Roman"/>
          <w:color w:val="000000"/>
        </w:rPr>
        <w:t xml:space="preserve">ganizowaną z maszyn budowlanych </w:t>
      </w:r>
      <w:r w:rsidRPr="00275434">
        <w:rPr>
          <w:rFonts w:ascii="Times New Roman" w:hAnsi="Times New Roman" w:cs="Times New Roman"/>
          <w:color w:val="000000"/>
        </w:rPr>
        <w:t>oraz pojazdów transportujących materiały na budowę. Wszy</w:t>
      </w:r>
      <w:r>
        <w:rPr>
          <w:rFonts w:ascii="Times New Roman" w:hAnsi="Times New Roman" w:cs="Times New Roman"/>
          <w:color w:val="000000"/>
        </w:rPr>
        <w:t xml:space="preserve">stkie pojazdy i maszyny powinny </w:t>
      </w:r>
      <w:r w:rsidRPr="00275434">
        <w:rPr>
          <w:rFonts w:ascii="Times New Roman" w:hAnsi="Times New Roman" w:cs="Times New Roman"/>
          <w:color w:val="000000"/>
        </w:rPr>
        <w:t>spełniać wymagania normowe i ustawowe w zakresie ochro</w:t>
      </w:r>
      <w:r>
        <w:rPr>
          <w:rFonts w:ascii="Times New Roman" w:hAnsi="Times New Roman" w:cs="Times New Roman"/>
          <w:color w:val="000000"/>
        </w:rPr>
        <w:t xml:space="preserve">ny przed hałasem. Oddziaływanie </w:t>
      </w:r>
      <w:r w:rsidRPr="00275434">
        <w:rPr>
          <w:rFonts w:ascii="Times New Roman" w:hAnsi="Times New Roman" w:cs="Times New Roman"/>
          <w:color w:val="000000"/>
        </w:rPr>
        <w:t xml:space="preserve">to będzie krótkotrwałe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i ustanie po zakończeniu realizacji inwestycji.</w:t>
      </w:r>
    </w:p>
    <w:p w:rsidR="00072819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Planowane przedsięwzięcie nie będzie generować zna</w:t>
      </w:r>
      <w:r>
        <w:rPr>
          <w:rFonts w:ascii="Times New Roman" w:hAnsi="Times New Roman" w:cs="Times New Roman"/>
          <w:color w:val="000000"/>
        </w:rPr>
        <w:t xml:space="preserve">czących źródeł hałasu. Ponadto, </w:t>
      </w:r>
      <w:r w:rsidRPr="00275434">
        <w:rPr>
          <w:rFonts w:ascii="Times New Roman" w:hAnsi="Times New Roman" w:cs="Times New Roman"/>
          <w:color w:val="000000"/>
        </w:rPr>
        <w:t>inwestycja zlokalizowana jest w dużej odległości od t</w:t>
      </w:r>
      <w:r>
        <w:rPr>
          <w:rFonts w:ascii="Times New Roman" w:hAnsi="Times New Roman" w:cs="Times New Roman"/>
          <w:color w:val="000000"/>
        </w:rPr>
        <w:t xml:space="preserve">erenów chronionych akustycznie. </w:t>
      </w:r>
      <w:r w:rsidRPr="00275434">
        <w:rPr>
          <w:rFonts w:ascii="Times New Roman" w:hAnsi="Times New Roman" w:cs="Times New Roman"/>
          <w:color w:val="000000"/>
        </w:rPr>
        <w:t xml:space="preserve">Najbliższe tereny chronione akustycznie to rekreacyjne </w:t>
      </w:r>
      <w:r>
        <w:rPr>
          <w:rFonts w:ascii="Times New Roman" w:hAnsi="Times New Roman" w:cs="Times New Roman"/>
          <w:color w:val="000000"/>
        </w:rPr>
        <w:t xml:space="preserve">ogródki działkowe zlokalizowane </w:t>
      </w:r>
      <w:r w:rsidRPr="00275434">
        <w:rPr>
          <w:rFonts w:ascii="Times New Roman" w:hAnsi="Times New Roman" w:cs="Times New Roman"/>
          <w:color w:val="000000"/>
        </w:rPr>
        <w:t>po południowej stronie ul. Skłodowskiej-Curie, w odleg</w:t>
      </w:r>
      <w:r>
        <w:rPr>
          <w:rFonts w:ascii="Times New Roman" w:hAnsi="Times New Roman" w:cs="Times New Roman"/>
          <w:color w:val="000000"/>
        </w:rPr>
        <w:t xml:space="preserve">łości ponad 900 m od inwestycji </w:t>
      </w:r>
      <w:r w:rsidRPr="00275434">
        <w:rPr>
          <w:rFonts w:ascii="Times New Roman" w:hAnsi="Times New Roman" w:cs="Times New Roman"/>
          <w:color w:val="000000"/>
        </w:rPr>
        <w:t>oraz zabudowa usługowo-mieszkaniowa w odległości 500 m w kierunku północno-wschodnim.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Źródłem hałasu będzie palenisko gazowe (o maksym</w:t>
      </w:r>
      <w:r>
        <w:rPr>
          <w:rFonts w:ascii="Times New Roman" w:hAnsi="Times New Roman" w:cs="Times New Roman"/>
          <w:color w:val="000000"/>
        </w:rPr>
        <w:t xml:space="preserve">alnym poziomie mocy akustycznej </w:t>
      </w:r>
      <w:r w:rsidRPr="00275434">
        <w:rPr>
          <w:rFonts w:ascii="Times New Roman" w:hAnsi="Times New Roman" w:cs="Times New Roman"/>
          <w:color w:val="000000"/>
        </w:rPr>
        <w:t xml:space="preserve">80 dB) umiejscowione wewnątrz urządzenia oraz </w:t>
      </w:r>
      <w:r>
        <w:rPr>
          <w:rFonts w:ascii="Times New Roman" w:hAnsi="Times New Roman" w:cs="Times New Roman"/>
          <w:color w:val="000000"/>
        </w:rPr>
        <w:t xml:space="preserve">wewnątrz budynku przeznaczonego </w:t>
      </w:r>
      <w:r w:rsidRPr="00275434">
        <w:rPr>
          <w:rFonts w:ascii="Times New Roman" w:hAnsi="Times New Roman" w:cs="Times New Roman"/>
          <w:color w:val="000000"/>
        </w:rPr>
        <w:t>do realizacji przedsięwzięcia.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Nie przewiduje się negatywnego oddziaływania anal</w:t>
      </w:r>
      <w:r>
        <w:rPr>
          <w:rFonts w:ascii="Times New Roman" w:hAnsi="Times New Roman" w:cs="Times New Roman"/>
          <w:color w:val="000000"/>
        </w:rPr>
        <w:t xml:space="preserve">izowanego zamierzenia na klimat </w:t>
      </w:r>
      <w:r w:rsidRPr="00275434">
        <w:rPr>
          <w:rFonts w:ascii="Times New Roman" w:hAnsi="Times New Roman" w:cs="Times New Roman"/>
          <w:color w:val="000000"/>
        </w:rPr>
        <w:t>akustyczny rozpatrywanego obszaru. Zgodnie z przedstawioną analizą akustyczną, zakłada się,</w:t>
      </w:r>
      <w:r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że oddziaływanie akustyczne przedsięwzięcia ni</w:t>
      </w:r>
      <w:r>
        <w:rPr>
          <w:rFonts w:ascii="Times New Roman" w:hAnsi="Times New Roman" w:cs="Times New Roman"/>
          <w:color w:val="000000"/>
        </w:rPr>
        <w:t xml:space="preserve">e powinno powodować przekroczeń </w:t>
      </w:r>
      <w:r w:rsidRPr="00275434">
        <w:rPr>
          <w:rFonts w:ascii="Times New Roman" w:hAnsi="Times New Roman" w:cs="Times New Roman"/>
          <w:color w:val="000000"/>
        </w:rPr>
        <w:t>dopuszczalnych poziomów hałasu na najbliższych terenach chronionych akustycznie.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Planowana inwestycja zrealizowana z</w:t>
      </w:r>
      <w:r>
        <w:rPr>
          <w:rFonts w:ascii="Times New Roman" w:hAnsi="Times New Roman" w:cs="Times New Roman"/>
          <w:color w:val="000000"/>
        </w:rPr>
        <w:t xml:space="preserve">ostanie na terenie przemysłowym </w:t>
      </w:r>
      <w:r w:rsidRPr="00275434">
        <w:rPr>
          <w:rFonts w:ascii="Times New Roman" w:hAnsi="Times New Roman" w:cs="Times New Roman"/>
          <w:color w:val="000000"/>
        </w:rPr>
        <w:t>(Park Przemysłowy Elana w Toruniu), na którym istnieje d</w:t>
      </w:r>
      <w:r>
        <w:rPr>
          <w:rFonts w:ascii="Times New Roman" w:hAnsi="Times New Roman" w:cs="Times New Roman"/>
          <w:color w:val="000000"/>
        </w:rPr>
        <w:t xml:space="preserve">uże zagęszczenie zakładów pracy </w:t>
      </w:r>
      <w:r w:rsidRPr="00275434">
        <w:rPr>
          <w:rFonts w:ascii="Times New Roman" w:hAnsi="Times New Roman" w:cs="Times New Roman"/>
          <w:color w:val="000000"/>
        </w:rPr>
        <w:t>o podobnym charakterze.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Na etapie eksploatacji emisja zanieczyszczeń zwią</w:t>
      </w:r>
      <w:r>
        <w:rPr>
          <w:rFonts w:ascii="Times New Roman" w:hAnsi="Times New Roman" w:cs="Times New Roman"/>
          <w:color w:val="000000"/>
        </w:rPr>
        <w:t xml:space="preserve">zana będzie z procesem spalania </w:t>
      </w:r>
      <w:r w:rsidRPr="00275434">
        <w:rPr>
          <w:rFonts w:ascii="Times New Roman" w:hAnsi="Times New Roman" w:cs="Times New Roman"/>
          <w:color w:val="000000"/>
        </w:rPr>
        <w:t>gazu.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Zamierzenie będzie pracować przez całą dobę. Zgodni</w:t>
      </w:r>
      <w:r>
        <w:rPr>
          <w:rFonts w:ascii="Times New Roman" w:hAnsi="Times New Roman" w:cs="Times New Roman"/>
          <w:color w:val="000000"/>
        </w:rPr>
        <w:t xml:space="preserve">e z przedstawioną dokumentacją, </w:t>
      </w:r>
      <w:r w:rsidRPr="00275434">
        <w:rPr>
          <w:rFonts w:ascii="Times New Roman" w:hAnsi="Times New Roman" w:cs="Times New Roman"/>
          <w:color w:val="000000"/>
        </w:rPr>
        <w:t>zanieczyszczenia z kotłowni gazowej</w:t>
      </w:r>
      <w:r>
        <w:rPr>
          <w:rFonts w:ascii="Times New Roman" w:hAnsi="Times New Roman" w:cs="Times New Roman"/>
          <w:color w:val="000000"/>
        </w:rPr>
        <w:t xml:space="preserve"> będą odprowadzane do atmosfery </w:t>
      </w:r>
      <w:r w:rsidRPr="00275434">
        <w:rPr>
          <w:rFonts w:ascii="Times New Roman" w:hAnsi="Times New Roman" w:cs="Times New Roman"/>
          <w:color w:val="000000"/>
        </w:rPr>
        <w:t xml:space="preserve">za pośrednictwem emitora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E-1, o minimalnej</w:t>
      </w:r>
      <w:r>
        <w:rPr>
          <w:rFonts w:ascii="Times New Roman" w:hAnsi="Times New Roman" w:cs="Times New Roman"/>
          <w:color w:val="000000"/>
        </w:rPr>
        <w:t xml:space="preserve"> wysokości geometrycznej 8,37 m </w:t>
      </w:r>
      <w:r w:rsidRPr="00275434">
        <w:rPr>
          <w:rFonts w:ascii="Times New Roman" w:hAnsi="Times New Roman" w:cs="Times New Roman"/>
          <w:color w:val="000000"/>
        </w:rPr>
        <w:t>oraz maksymalnym przekroju 0,35 m.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Zakłada się, że eksploatacja zakładu nie spowo</w:t>
      </w:r>
      <w:r>
        <w:rPr>
          <w:rFonts w:ascii="Times New Roman" w:hAnsi="Times New Roman" w:cs="Times New Roman"/>
          <w:color w:val="000000"/>
        </w:rPr>
        <w:t xml:space="preserve">duje przekroczeń obowiązujących </w:t>
      </w:r>
      <w:r w:rsidRPr="00275434">
        <w:rPr>
          <w:rFonts w:ascii="Times New Roman" w:hAnsi="Times New Roman" w:cs="Times New Roman"/>
          <w:color w:val="000000"/>
        </w:rPr>
        <w:t>wartości stężeń zanieczyszczeń i wartości odniesienia substancji w powietrzu.</w:t>
      </w:r>
    </w:p>
    <w:p w:rsidR="00072819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W dniu 26 czerwca 2023 r. Sejmik Województwa Kujawsko-Pomorskiego uchwalił</w:t>
      </w:r>
      <w:r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nowy program ochrony powietrza dla wszystkich stref wo</w:t>
      </w:r>
      <w:r>
        <w:rPr>
          <w:rFonts w:ascii="Times New Roman" w:hAnsi="Times New Roman" w:cs="Times New Roman"/>
          <w:color w:val="000000"/>
        </w:rPr>
        <w:t xml:space="preserve">jewództwa kujawsko-pomorskiego, </w:t>
      </w:r>
      <w:r w:rsidRPr="00275434">
        <w:rPr>
          <w:rFonts w:ascii="Times New Roman" w:hAnsi="Times New Roman" w:cs="Times New Roman"/>
          <w:color w:val="000000"/>
        </w:rPr>
        <w:t>w tym m.in. dla strefy miasto Toruń, na terenie któr</w:t>
      </w:r>
      <w:r>
        <w:rPr>
          <w:rFonts w:ascii="Times New Roman" w:hAnsi="Times New Roman" w:cs="Times New Roman"/>
          <w:color w:val="000000"/>
        </w:rPr>
        <w:t xml:space="preserve">ej zlokalizowane jest planowane </w:t>
      </w:r>
      <w:r w:rsidRPr="00275434">
        <w:rPr>
          <w:rFonts w:ascii="Times New Roman" w:hAnsi="Times New Roman" w:cs="Times New Roman"/>
          <w:color w:val="000000"/>
        </w:rPr>
        <w:t>przedsięwzięcie (uchwala nr LIX/805/23 z dnia 26.06.2023 r</w:t>
      </w:r>
      <w:r>
        <w:rPr>
          <w:rFonts w:ascii="Times New Roman" w:hAnsi="Times New Roman" w:cs="Times New Roman"/>
          <w:color w:val="000000"/>
        </w:rPr>
        <w:t xml:space="preserve">. w sprawie określenia programu </w:t>
      </w:r>
      <w:r w:rsidRPr="00275434">
        <w:rPr>
          <w:rFonts w:ascii="Times New Roman" w:hAnsi="Times New Roman" w:cs="Times New Roman"/>
          <w:color w:val="000000"/>
        </w:rPr>
        <w:t>ochrony powietrza w zakresie pyłu zawieszonego PM10, PM2,5</w:t>
      </w:r>
      <w:r>
        <w:rPr>
          <w:rFonts w:ascii="Times New Roman" w:hAnsi="Times New Roman" w:cs="Times New Roman"/>
          <w:color w:val="000000"/>
        </w:rPr>
        <w:t xml:space="preserve"> oraz benzo(a)pirenu dla strefy </w:t>
      </w:r>
      <w:r w:rsidRPr="00275434">
        <w:rPr>
          <w:rFonts w:ascii="Times New Roman" w:hAnsi="Times New Roman" w:cs="Times New Roman"/>
          <w:color w:val="000000"/>
        </w:rPr>
        <w:t>miasto Toruń – aktualizacja).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Program ochrony powietrza w zakresi</w:t>
      </w:r>
      <w:r>
        <w:rPr>
          <w:rFonts w:ascii="Times New Roman" w:hAnsi="Times New Roman" w:cs="Times New Roman"/>
          <w:color w:val="000000"/>
        </w:rPr>
        <w:t xml:space="preserve">e pyłu zawieszonego PM10, PM2,5 </w:t>
      </w:r>
      <w:r w:rsidRPr="00275434">
        <w:rPr>
          <w:rFonts w:ascii="Times New Roman" w:hAnsi="Times New Roman" w:cs="Times New Roman"/>
          <w:color w:val="000000"/>
        </w:rPr>
        <w:t xml:space="preserve">oraz benzo(a)pirenu dla strefy miasto Toruń – aktualizacja </w:t>
      </w:r>
      <w:r>
        <w:rPr>
          <w:rFonts w:ascii="Times New Roman" w:hAnsi="Times New Roman" w:cs="Times New Roman"/>
          <w:color w:val="000000"/>
        </w:rPr>
        <w:t xml:space="preserve">(dalej POP lub Program) stanowi </w:t>
      </w:r>
      <w:r w:rsidRPr="00275434">
        <w:rPr>
          <w:rFonts w:ascii="Times New Roman" w:hAnsi="Times New Roman" w:cs="Times New Roman"/>
          <w:color w:val="000000"/>
        </w:rPr>
        <w:t>aktualizację obowiązującego dotychczas „Programu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275434">
        <w:rPr>
          <w:rFonts w:ascii="Times New Roman" w:hAnsi="Times New Roman" w:cs="Times New Roman"/>
          <w:color w:val="000000"/>
        </w:rPr>
        <w:t>zawieszonego PM10 oraz benzo(a)pirenu dla strefy miasto Toruń” określonego uchwałą</w:t>
      </w:r>
      <w:r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XXIII/341/20 Sejmiku Województwa Kujawsko-Pomorsk</w:t>
      </w:r>
      <w:r>
        <w:rPr>
          <w:rFonts w:ascii="Times New Roman" w:hAnsi="Times New Roman" w:cs="Times New Roman"/>
          <w:color w:val="000000"/>
        </w:rPr>
        <w:t xml:space="preserve">iego z dnia 22 czerwca 2020 r., </w:t>
      </w:r>
      <w:r w:rsidRPr="00275434">
        <w:rPr>
          <w:rFonts w:ascii="Times New Roman" w:hAnsi="Times New Roman" w:cs="Times New Roman"/>
          <w:color w:val="000000"/>
        </w:rPr>
        <w:t>w zakresie benzo(a)pirenu, a także uwzględnia nowe zaniecz</w:t>
      </w:r>
      <w:r>
        <w:rPr>
          <w:rFonts w:ascii="Times New Roman" w:hAnsi="Times New Roman" w:cs="Times New Roman"/>
          <w:color w:val="000000"/>
        </w:rPr>
        <w:t xml:space="preserve">yszczenie pył zawieszony PM2,5. </w:t>
      </w:r>
      <w:r w:rsidRPr="00275434">
        <w:rPr>
          <w:rFonts w:ascii="Times New Roman" w:hAnsi="Times New Roman" w:cs="Times New Roman"/>
          <w:color w:val="000000"/>
        </w:rPr>
        <w:t>Został opracowany w związku z odnotowaniem w 2021 r. przekroczenia poziomu doceloweg</w:t>
      </w:r>
      <w:r>
        <w:rPr>
          <w:rFonts w:ascii="Times New Roman" w:hAnsi="Times New Roman" w:cs="Times New Roman"/>
          <w:color w:val="000000"/>
        </w:rPr>
        <w:t xml:space="preserve">o </w:t>
      </w:r>
      <w:r w:rsidRPr="00275434">
        <w:rPr>
          <w:rFonts w:ascii="Times New Roman" w:hAnsi="Times New Roman" w:cs="Times New Roman"/>
          <w:color w:val="000000"/>
        </w:rPr>
        <w:t>benzo(a)pirenu oraz przekroczenia standardu jakości po</w:t>
      </w:r>
      <w:r>
        <w:rPr>
          <w:rFonts w:ascii="Times New Roman" w:hAnsi="Times New Roman" w:cs="Times New Roman"/>
          <w:color w:val="000000"/>
        </w:rPr>
        <w:t xml:space="preserve">wietrza pyłu zawieszonego PM2,5 </w:t>
      </w:r>
      <w:r w:rsidRPr="00275434">
        <w:rPr>
          <w:rFonts w:ascii="Times New Roman" w:hAnsi="Times New Roman" w:cs="Times New Roman"/>
          <w:color w:val="000000"/>
        </w:rPr>
        <w:t>(nowego zanieczyszczenia, którego przekroczenie pozio</w:t>
      </w:r>
      <w:r>
        <w:rPr>
          <w:rFonts w:ascii="Times New Roman" w:hAnsi="Times New Roman" w:cs="Times New Roman"/>
          <w:color w:val="000000"/>
        </w:rPr>
        <w:t xml:space="preserve">mu dopuszczalnego nie wystąpiło </w:t>
      </w:r>
      <w:r w:rsidRPr="00275434">
        <w:rPr>
          <w:rFonts w:ascii="Times New Roman" w:hAnsi="Times New Roman" w:cs="Times New Roman"/>
          <w:color w:val="000000"/>
        </w:rPr>
        <w:t>w 2018 r.) na terenie strefy. W 2021 r. w strefie miasto Toruń nie stwierdzono prze</w:t>
      </w:r>
      <w:r>
        <w:rPr>
          <w:rFonts w:ascii="Times New Roman" w:hAnsi="Times New Roman" w:cs="Times New Roman"/>
          <w:color w:val="000000"/>
        </w:rPr>
        <w:t xml:space="preserve">kroczenia </w:t>
      </w:r>
      <w:r w:rsidRPr="00275434">
        <w:rPr>
          <w:rFonts w:ascii="Times New Roman" w:hAnsi="Times New Roman" w:cs="Times New Roman"/>
          <w:color w:val="000000"/>
        </w:rPr>
        <w:t xml:space="preserve">poziomów dopuszczalnych pyłu zawieszonego PM10, a </w:t>
      </w:r>
      <w:r>
        <w:rPr>
          <w:rFonts w:ascii="Times New Roman" w:hAnsi="Times New Roman" w:cs="Times New Roman"/>
          <w:color w:val="000000"/>
        </w:rPr>
        <w:t xml:space="preserve">więc dla tej substancji Program </w:t>
      </w:r>
      <w:r w:rsidRPr="00275434">
        <w:rPr>
          <w:rFonts w:ascii="Times New Roman" w:hAnsi="Times New Roman" w:cs="Times New Roman"/>
          <w:color w:val="000000"/>
        </w:rPr>
        <w:t>nie podlega aktualizacji.</w:t>
      </w:r>
    </w:p>
    <w:p w:rsid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 xml:space="preserve">Na podstawie rocznej oceny jakości powietrza </w:t>
      </w:r>
      <w:r>
        <w:rPr>
          <w:rFonts w:ascii="Times New Roman" w:hAnsi="Times New Roman" w:cs="Times New Roman"/>
          <w:color w:val="000000"/>
        </w:rPr>
        <w:t xml:space="preserve">za rok 2018 strefa miasto Toruń </w:t>
      </w:r>
      <w:r w:rsidRPr="00275434">
        <w:rPr>
          <w:rFonts w:ascii="Times New Roman" w:hAnsi="Times New Roman" w:cs="Times New Roman"/>
          <w:color w:val="000000"/>
        </w:rPr>
        <w:t>ze względu na ochronę zdrowia została zakwalifikowana do k</w:t>
      </w:r>
      <w:r>
        <w:rPr>
          <w:rFonts w:ascii="Times New Roman" w:hAnsi="Times New Roman" w:cs="Times New Roman"/>
          <w:color w:val="000000"/>
        </w:rPr>
        <w:t xml:space="preserve">lasy C pod kątem pyłu </w:t>
      </w:r>
      <w:r w:rsidRPr="00275434">
        <w:rPr>
          <w:rFonts w:ascii="Times New Roman" w:hAnsi="Times New Roman" w:cs="Times New Roman"/>
          <w:color w:val="000000"/>
        </w:rPr>
        <w:t xml:space="preserve">zawieszonego PM10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i benzo(a)pirenu. Zgodnie z</w:t>
      </w:r>
      <w:r>
        <w:rPr>
          <w:rFonts w:ascii="Times New Roman" w:hAnsi="Times New Roman" w:cs="Times New Roman"/>
          <w:color w:val="000000"/>
        </w:rPr>
        <w:t xml:space="preserve"> roczną oceną jakości powietrza </w:t>
      </w:r>
      <w:r w:rsidRPr="00275434">
        <w:rPr>
          <w:rFonts w:ascii="Times New Roman" w:hAnsi="Times New Roman" w:cs="Times New Roman"/>
          <w:color w:val="000000"/>
        </w:rPr>
        <w:t>za rok 2021 strefa miasto Toruń została zakwalifikow</w:t>
      </w:r>
      <w:r>
        <w:rPr>
          <w:rFonts w:ascii="Times New Roman" w:hAnsi="Times New Roman" w:cs="Times New Roman"/>
          <w:color w:val="000000"/>
        </w:rPr>
        <w:t xml:space="preserve">ana do klasy C, w zakresie pyłu </w:t>
      </w:r>
      <w:r w:rsidRPr="00275434">
        <w:rPr>
          <w:rFonts w:ascii="Times New Roman" w:hAnsi="Times New Roman" w:cs="Times New Roman"/>
          <w:color w:val="000000"/>
        </w:rPr>
        <w:t>zawieszonego PM2,5 oraz benzo(a)pirenu.</w:t>
      </w:r>
    </w:p>
    <w:p w:rsidR="00275434" w:rsidRPr="00275434" w:rsidRDefault="00275434" w:rsidP="0027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Przedsięwzięcie nie będzie znaczącym źródłem benzo(</w:t>
      </w:r>
      <w:r>
        <w:rPr>
          <w:rFonts w:ascii="Times New Roman" w:hAnsi="Times New Roman" w:cs="Times New Roman"/>
          <w:color w:val="000000"/>
        </w:rPr>
        <w:t xml:space="preserve">a)pirenu oraz pyłu zawieszonego </w:t>
      </w:r>
      <w:r w:rsidRPr="00275434">
        <w:rPr>
          <w:rFonts w:ascii="Times New Roman" w:hAnsi="Times New Roman" w:cs="Times New Roman"/>
          <w:color w:val="000000"/>
        </w:rPr>
        <w:t>PM2,5, przez co nie wpłynie na pogorszenie obecnej sytuacji.</w:t>
      </w:r>
    </w:p>
    <w:p w:rsidR="00275434" w:rsidRPr="00275434" w:rsidRDefault="00275434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Zamierzenie będzie zlokalizowane poza obsz</w:t>
      </w:r>
      <w:r>
        <w:rPr>
          <w:rFonts w:ascii="Times New Roman" w:hAnsi="Times New Roman" w:cs="Times New Roman"/>
          <w:color w:val="000000"/>
        </w:rPr>
        <w:t xml:space="preserve">arami chronionymi w myśl ustawy </w:t>
      </w:r>
      <w:r w:rsidRPr="00275434">
        <w:rPr>
          <w:rFonts w:ascii="Times New Roman" w:hAnsi="Times New Roman" w:cs="Times New Roman"/>
          <w:color w:val="000000"/>
        </w:rPr>
        <w:t xml:space="preserve">z dnia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16 kwietnia 2004 r. o ochronie przyrody (Dz. U. z 2023 r., poz. 1</w:t>
      </w:r>
      <w:r>
        <w:rPr>
          <w:rFonts w:ascii="Times New Roman" w:hAnsi="Times New Roman" w:cs="Times New Roman"/>
          <w:color w:val="000000"/>
        </w:rPr>
        <w:t xml:space="preserve">336 ze zm.), </w:t>
      </w:r>
      <w:r w:rsidRPr="00275434">
        <w:rPr>
          <w:rFonts w:ascii="Times New Roman" w:hAnsi="Times New Roman" w:cs="Times New Roman"/>
          <w:color w:val="000000"/>
        </w:rPr>
        <w:t>w tym poza wyznaczonymi, mającymi znaczenie</w:t>
      </w:r>
      <w:r w:rsidR="00AA78A1">
        <w:rPr>
          <w:rFonts w:ascii="Times New Roman" w:hAnsi="Times New Roman" w:cs="Times New Roman"/>
          <w:color w:val="000000"/>
        </w:rPr>
        <w:t xml:space="preserve"> dla Wspólnoty i projektowanymi </w:t>
      </w:r>
      <w:r w:rsidRPr="00275434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275434" w:rsidRPr="00275434" w:rsidRDefault="00275434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Realizacja planowanego zadania przy przyjętym rozwi</w:t>
      </w:r>
      <w:r w:rsidR="00AA78A1">
        <w:rPr>
          <w:rFonts w:ascii="Times New Roman" w:hAnsi="Times New Roman" w:cs="Times New Roman"/>
          <w:color w:val="000000"/>
        </w:rPr>
        <w:t xml:space="preserve">ązaniu lokalizacji (na obszarze </w:t>
      </w:r>
      <w:r w:rsidRPr="00275434">
        <w:rPr>
          <w:rFonts w:ascii="Times New Roman" w:hAnsi="Times New Roman" w:cs="Times New Roman"/>
          <w:color w:val="000000"/>
        </w:rPr>
        <w:t>Parku Przemysłowego Elana w Toruniu) nie wym</w:t>
      </w:r>
      <w:r w:rsidR="00AA78A1">
        <w:rPr>
          <w:rFonts w:ascii="Times New Roman" w:hAnsi="Times New Roman" w:cs="Times New Roman"/>
          <w:color w:val="000000"/>
        </w:rPr>
        <w:t xml:space="preserve">aga naruszania cennych siedlisk </w:t>
      </w:r>
      <w:r w:rsidRPr="00275434">
        <w:rPr>
          <w:rFonts w:ascii="Times New Roman" w:hAnsi="Times New Roman" w:cs="Times New Roman"/>
          <w:color w:val="000000"/>
        </w:rPr>
        <w:t>przyrodniczych i ich przekształcania, usunięcia drzew i krzewów, budowy i rozbiórki obiektów</w:t>
      </w:r>
      <w:r w:rsidR="00AA78A1"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kubaturowych, zajęcia siedlisk wrażliwych, przerywania korytarzy ekologicznych.</w:t>
      </w:r>
    </w:p>
    <w:p w:rsidR="00275434" w:rsidRPr="00275434" w:rsidRDefault="00275434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Na podstawie przeprowadzonej analizy przed</w:t>
      </w:r>
      <w:r w:rsidR="00AA78A1"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275434">
        <w:rPr>
          <w:rFonts w:ascii="Times New Roman" w:hAnsi="Times New Roman" w:cs="Times New Roman"/>
          <w:color w:val="000000"/>
        </w:rPr>
        <w:t>ustalono, że realizacja i eksploatacja inwestycji nie będzie skutkować niekorzystnym wpływem</w:t>
      </w:r>
      <w:r w:rsidR="00AA78A1">
        <w:rPr>
          <w:rFonts w:ascii="Times New Roman" w:hAnsi="Times New Roman" w:cs="Times New Roman"/>
          <w:color w:val="000000"/>
        </w:rPr>
        <w:t xml:space="preserve"> </w:t>
      </w:r>
      <w:r w:rsidRPr="00275434">
        <w:rPr>
          <w:rFonts w:ascii="Times New Roman" w:hAnsi="Times New Roman" w:cs="Times New Roman"/>
          <w:color w:val="000000"/>
        </w:rPr>
        <w:t>na środowisko przyrodnicze i krajobraz.</w:t>
      </w:r>
    </w:p>
    <w:p w:rsidR="00275434" w:rsidRPr="00275434" w:rsidRDefault="00275434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Jednocześnie informuję, że w przypadku jeśli skutkie</w:t>
      </w:r>
      <w:r w:rsidR="00AA78A1">
        <w:rPr>
          <w:rFonts w:ascii="Times New Roman" w:hAnsi="Times New Roman" w:cs="Times New Roman"/>
          <w:color w:val="000000"/>
        </w:rPr>
        <w:t xml:space="preserve">m robót budowlanych bądź innych </w:t>
      </w:r>
      <w:r w:rsidRPr="00275434">
        <w:rPr>
          <w:rFonts w:ascii="Times New Roman" w:hAnsi="Times New Roman" w:cs="Times New Roman"/>
          <w:color w:val="000000"/>
        </w:rPr>
        <w:t>prac związanych z realizacją zamierzenia będzie podję</w:t>
      </w:r>
      <w:r w:rsidR="00AA78A1">
        <w:rPr>
          <w:rFonts w:ascii="Times New Roman" w:hAnsi="Times New Roman" w:cs="Times New Roman"/>
          <w:color w:val="000000"/>
        </w:rPr>
        <w:t xml:space="preserve">cie czynności objętych zakazami </w:t>
      </w:r>
      <w:r w:rsidRPr="00275434">
        <w:rPr>
          <w:rFonts w:ascii="Times New Roman" w:hAnsi="Times New Roman" w:cs="Times New Roman"/>
          <w:color w:val="000000"/>
        </w:rPr>
        <w:t xml:space="preserve">względem gatunków chronionych zwierząt, roślin oraz </w:t>
      </w:r>
      <w:r w:rsidR="00AA78A1">
        <w:rPr>
          <w:rFonts w:ascii="Times New Roman" w:hAnsi="Times New Roman" w:cs="Times New Roman"/>
          <w:color w:val="000000"/>
        </w:rPr>
        <w:t xml:space="preserve">grzybów, wynikającymi z art. 51 </w:t>
      </w:r>
      <w:r w:rsidRPr="00275434">
        <w:rPr>
          <w:rFonts w:ascii="Times New Roman" w:hAnsi="Times New Roman" w:cs="Times New Roman"/>
          <w:color w:val="000000"/>
        </w:rPr>
        <w:t xml:space="preserve">i art. 52 ww. ustawy </w:t>
      </w:r>
      <w:r w:rsidR="00A16824">
        <w:rPr>
          <w:rFonts w:ascii="Times New Roman" w:hAnsi="Times New Roman" w:cs="Times New Roman"/>
          <w:color w:val="000000"/>
        </w:rPr>
        <w:br/>
      </w:r>
      <w:r w:rsidRPr="00275434">
        <w:rPr>
          <w:rFonts w:ascii="Times New Roman" w:hAnsi="Times New Roman" w:cs="Times New Roman"/>
          <w:color w:val="000000"/>
        </w:rPr>
        <w:t>o ochronie przyrody, np.:</w:t>
      </w:r>
    </w:p>
    <w:p w:rsidR="00AA78A1" w:rsidRDefault="00275434" w:rsidP="00AA78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AA78A1">
        <w:rPr>
          <w:rFonts w:ascii="Times New Roman" w:hAnsi="Times New Roman"/>
          <w:color w:val="000000"/>
        </w:rPr>
        <w:t>w odniesieniu do zwierząt objętych ochroną gatunkową – niszczenie ich siedlisk</w:t>
      </w:r>
      <w:r w:rsidR="00AA78A1">
        <w:rPr>
          <w:rFonts w:ascii="Times New Roman" w:hAnsi="Times New Roman"/>
          <w:color w:val="000000"/>
        </w:rPr>
        <w:t xml:space="preserve"> </w:t>
      </w:r>
      <w:r w:rsidRPr="00AA78A1">
        <w:rPr>
          <w:rFonts w:ascii="Times New Roman" w:hAnsi="Times New Roman"/>
          <w:color w:val="000000"/>
        </w:rPr>
        <w:t>lub ostoi, będących obszarem rozrodu, wychowu młodych, odpoczynku, migracji</w:t>
      </w:r>
      <w:r w:rsidR="00AA78A1">
        <w:rPr>
          <w:rFonts w:ascii="Times New Roman" w:hAnsi="Times New Roman"/>
          <w:color w:val="000000"/>
        </w:rPr>
        <w:t xml:space="preserve"> </w:t>
      </w:r>
      <w:r w:rsidRPr="00AA78A1">
        <w:rPr>
          <w:rFonts w:ascii="Times New Roman" w:hAnsi="Times New Roman"/>
          <w:color w:val="000000"/>
        </w:rPr>
        <w:t>lub żerowania, jak również niszczenie, usuwanie lub uszkadzanie gniazd, mrowisk,</w:t>
      </w:r>
      <w:r w:rsidR="00AA78A1">
        <w:rPr>
          <w:rFonts w:ascii="Times New Roman" w:hAnsi="Times New Roman"/>
          <w:color w:val="000000"/>
        </w:rPr>
        <w:t xml:space="preserve"> </w:t>
      </w:r>
      <w:r w:rsidRPr="00AA78A1">
        <w:rPr>
          <w:rFonts w:ascii="Times New Roman" w:hAnsi="Times New Roman"/>
          <w:color w:val="000000"/>
        </w:rPr>
        <w:t>nor, legowisk, żeremi, tam, tarlisk, zimowisk lub innych schronień,</w:t>
      </w:r>
    </w:p>
    <w:p w:rsidR="00275434" w:rsidRPr="00AA78A1" w:rsidRDefault="00275434" w:rsidP="00AA78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AA78A1">
        <w:rPr>
          <w:rFonts w:ascii="Times New Roman" w:hAnsi="Times New Roman"/>
          <w:color w:val="000000"/>
        </w:rPr>
        <w:t>w odniesieniu do grzybów i roślin – umyślne niszczenie osobników oraz niszczenie</w:t>
      </w:r>
      <w:r w:rsidR="00AA78A1">
        <w:rPr>
          <w:rFonts w:ascii="Times New Roman" w:hAnsi="Times New Roman"/>
          <w:color w:val="000000"/>
        </w:rPr>
        <w:t xml:space="preserve"> </w:t>
      </w:r>
      <w:r w:rsidRPr="00AA78A1">
        <w:rPr>
          <w:rFonts w:ascii="Times New Roman" w:hAnsi="Times New Roman"/>
          <w:color w:val="000000"/>
        </w:rPr>
        <w:t>siedlisk lub ostoi roślin i grzybów,</w:t>
      </w:r>
    </w:p>
    <w:p w:rsidR="00275434" w:rsidRDefault="00275434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5434">
        <w:rPr>
          <w:rFonts w:ascii="Times New Roman" w:hAnsi="Times New Roman" w:cs="Times New Roman"/>
          <w:color w:val="000000"/>
        </w:rPr>
        <w:t>Inwestor lub Wykonawca są zobowiązani do uzyskan</w:t>
      </w:r>
      <w:r w:rsidR="00AA78A1">
        <w:rPr>
          <w:rFonts w:ascii="Times New Roman" w:hAnsi="Times New Roman" w:cs="Times New Roman"/>
          <w:color w:val="000000"/>
        </w:rPr>
        <w:t xml:space="preserve">ia zgody na wykonania czynności </w:t>
      </w:r>
      <w:r w:rsidRPr="00275434">
        <w:rPr>
          <w:rFonts w:ascii="Times New Roman" w:hAnsi="Times New Roman" w:cs="Times New Roman"/>
          <w:color w:val="000000"/>
        </w:rPr>
        <w:t>podlegających zakazom na zasadach określonych w art. 56 ww. ustawy o ochronie przyrody.</w:t>
      </w:r>
    </w:p>
    <w:p w:rsidR="00AA78A1" w:rsidRP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Na etapie analizowania zamierzenia, przy okre</w:t>
      </w:r>
      <w:r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AA78A1">
        <w:rPr>
          <w:rFonts w:ascii="Times New Roman" w:hAnsi="Times New Roman" w:cs="Times New Roman"/>
          <w:color w:val="000000"/>
        </w:rPr>
        <w:t>uwzględniono wzajemne powiązania poszczególnych elemen</w:t>
      </w:r>
      <w:r>
        <w:rPr>
          <w:rFonts w:ascii="Times New Roman" w:hAnsi="Times New Roman" w:cs="Times New Roman"/>
          <w:color w:val="000000"/>
        </w:rPr>
        <w:t xml:space="preserve">tów środowiska oraz interakcje </w:t>
      </w:r>
      <w:r w:rsidRPr="00AA78A1">
        <w:rPr>
          <w:rFonts w:ascii="Times New Roman" w:hAnsi="Times New Roman" w:cs="Times New Roman"/>
          <w:color w:val="000000"/>
        </w:rPr>
        <w:t>pośrednie wynikające 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AA78A1">
        <w:rPr>
          <w:rFonts w:ascii="Times New Roman" w:hAnsi="Times New Roman" w:cs="Times New Roman"/>
          <w:color w:val="000000"/>
        </w:rPr>
        <w:t>więc efekty skumulowane, związane z potencjalną degrada</w:t>
      </w:r>
      <w:r>
        <w:rPr>
          <w:rFonts w:ascii="Times New Roman" w:hAnsi="Times New Roman" w:cs="Times New Roman"/>
          <w:color w:val="000000"/>
        </w:rPr>
        <w:t xml:space="preserve">cją kilku elementów środowiska. </w:t>
      </w:r>
      <w:r w:rsidRPr="00AA78A1">
        <w:rPr>
          <w:rFonts w:ascii="Times New Roman" w:hAnsi="Times New Roman" w:cs="Times New Roman"/>
          <w:color w:val="000000"/>
        </w:rPr>
        <w:t xml:space="preserve">Biorąc pod uwagę powyższe, </w:t>
      </w:r>
      <w:r>
        <w:rPr>
          <w:rFonts w:ascii="Times New Roman" w:hAnsi="Times New Roman" w:cs="Times New Roman"/>
          <w:color w:val="000000"/>
        </w:rPr>
        <w:t xml:space="preserve"> przeanalizowano</w:t>
      </w:r>
      <w:r w:rsidRPr="00AA78A1">
        <w:rPr>
          <w:rFonts w:ascii="Times New Roman" w:hAnsi="Times New Roman" w:cs="Times New Roman"/>
          <w:color w:val="000000"/>
        </w:rPr>
        <w:t xml:space="preserve"> ryzyko wystąpienia efektu skumulowaneg</w:t>
      </w:r>
      <w:r>
        <w:rPr>
          <w:rFonts w:ascii="Times New Roman" w:hAnsi="Times New Roman" w:cs="Times New Roman"/>
          <w:color w:val="000000"/>
        </w:rPr>
        <w:t xml:space="preserve">o oddziaływania dla niniejszego </w:t>
      </w:r>
      <w:r w:rsidRPr="00AA78A1">
        <w:rPr>
          <w:rFonts w:ascii="Times New Roman" w:hAnsi="Times New Roman" w:cs="Times New Roman"/>
          <w:color w:val="000000"/>
        </w:rPr>
        <w:t>przedsięwzięcia. W dokumentacji odniesiono si</w:t>
      </w:r>
      <w:r>
        <w:rPr>
          <w:rFonts w:ascii="Times New Roman" w:hAnsi="Times New Roman" w:cs="Times New Roman"/>
          <w:color w:val="000000"/>
        </w:rPr>
        <w:t xml:space="preserve">ę do oddziaływań skumulowanych, </w:t>
      </w:r>
      <w:r w:rsidRPr="00AA78A1">
        <w:rPr>
          <w:rFonts w:ascii="Times New Roman" w:hAnsi="Times New Roman" w:cs="Times New Roman"/>
          <w:color w:val="000000"/>
        </w:rPr>
        <w:t>w tym z bliźniaczą inwestycją planowaną do realizacji w sąsiedztwie p</w:t>
      </w:r>
      <w:r>
        <w:rPr>
          <w:rFonts w:ascii="Times New Roman" w:hAnsi="Times New Roman" w:cs="Times New Roman"/>
          <w:color w:val="000000"/>
        </w:rPr>
        <w:t xml:space="preserve">n. „Budowa kotłowni </w:t>
      </w:r>
      <w:r w:rsidRPr="00AA78A1">
        <w:rPr>
          <w:rFonts w:ascii="Times New Roman" w:hAnsi="Times New Roman" w:cs="Times New Roman"/>
          <w:color w:val="000000"/>
        </w:rPr>
        <w:t>kontenerowej zasilanej gazem ziemnym typu E oraz inst</w:t>
      </w:r>
      <w:r>
        <w:rPr>
          <w:rFonts w:ascii="Times New Roman" w:hAnsi="Times New Roman" w:cs="Times New Roman"/>
          <w:color w:val="000000"/>
        </w:rPr>
        <w:t xml:space="preserve">alacji do przesyłu pary wodnej, </w:t>
      </w:r>
      <w:r w:rsidRPr="00AA78A1">
        <w:rPr>
          <w:rFonts w:ascii="Times New Roman" w:hAnsi="Times New Roman" w:cs="Times New Roman"/>
          <w:color w:val="000000"/>
        </w:rPr>
        <w:t>wykorzystywanej w procesach technologicznych, na działka</w:t>
      </w:r>
      <w:r>
        <w:rPr>
          <w:rFonts w:ascii="Times New Roman" w:hAnsi="Times New Roman" w:cs="Times New Roman"/>
          <w:color w:val="000000"/>
        </w:rPr>
        <w:t xml:space="preserve">ch o nr 211/14, 129/72 obręb 45 </w:t>
      </w:r>
      <w:r w:rsidRPr="00AA78A1">
        <w:rPr>
          <w:rFonts w:ascii="Times New Roman" w:hAnsi="Times New Roman" w:cs="Times New Roman"/>
          <w:color w:val="000000"/>
        </w:rPr>
        <w:t>Toruń, przy ul. Marii Skłodowskiej-Curie 75RB w Toruniu”. Obie inwestycje dzieli ok. 450 m.</w:t>
      </w:r>
    </w:p>
    <w:p w:rsidR="00AA78A1" w:rsidRP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Charakter przedmiotowego obszaru inwestycji, a</w:t>
      </w:r>
      <w:r>
        <w:rPr>
          <w:rFonts w:ascii="Times New Roman" w:hAnsi="Times New Roman" w:cs="Times New Roman"/>
          <w:color w:val="000000"/>
        </w:rPr>
        <w:t xml:space="preserve"> także rodzaj i zakres, pozwala </w:t>
      </w:r>
      <w:r w:rsidRPr="00AA78A1">
        <w:rPr>
          <w:rFonts w:ascii="Times New Roman" w:hAnsi="Times New Roman" w:cs="Times New Roman"/>
          <w:color w:val="000000"/>
        </w:rPr>
        <w:t>na stwierdzenie, że jej eksploatacja nie spowoduje negatywnego kumulowania oddziaływań.</w:t>
      </w:r>
    </w:p>
    <w:p w:rsid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 xml:space="preserve">Biorąc pod uwagę rodzaj zamierzenia, a także fakt, że będzie </w:t>
      </w:r>
      <w:r>
        <w:rPr>
          <w:rFonts w:ascii="Times New Roman" w:hAnsi="Times New Roman" w:cs="Times New Roman"/>
          <w:color w:val="000000"/>
        </w:rPr>
        <w:t xml:space="preserve">ono realizowane </w:t>
      </w:r>
      <w:r w:rsidRPr="00AA78A1">
        <w:rPr>
          <w:rFonts w:ascii="Times New Roman" w:hAnsi="Times New Roman" w:cs="Times New Roman"/>
          <w:color w:val="000000"/>
        </w:rPr>
        <w:t>na terenie województwa kujawsko-pomorskiego, nie</w:t>
      </w:r>
      <w:r>
        <w:rPr>
          <w:rFonts w:ascii="Times New Roman" w:hAnsi="Times New Roman" w:cs="Times New Roman"/>
          <w:color w:val="000000"/>
        </w:rPr>
        <w:t xml:space="preserve"> stwierdzono negatywnego wpływu </w:t>
      </w:r>
      <w:r w:rsidRPr="00AA78A1">
        <w:rPr>
          <w:rFonts w:ascii="Times New Roman" w:hAnsi="Times New Roman" w:cs="Times New Roman"/>
          <w:color w:val="000000"/>
        </w:rPr>
        <w:t>i występowania transgranicznego oddziaływania analizowa</w:t>
      </w:r>
      <w:r>
        <w:rPr>
          <w:rFonts w:ascii="Times New Roman" w:hAnsi="Times New Roman" w:cs="Times New Roman"/>
          <w:color w:val="000000"/>
        </w:rPr>
        <w:t xml:space="preserve">nego zamierzenia na środowisko. </w:t>
      </w:r>
      <w:r w:rsidRPr="00AA78A1">
        <w:rPr>
          <w:rFonts w:ascii="Times New Roman" w:hAnsi="Times New Roman" w:cs="Times New Roman"/>
          <w:color w:val="000000"/>
        </w:rPr>
        <w:t>Nie przewiduje się również przekroczeń standardów jakoś</w:t>
      </w:r>
      <w:r>
        <w:rPr>
          <w:rFonts w:ascii="Times New Roman" w:hAnsi="Times New Roman" w:cs="Times New Roman"/>
          <w:color w:val="000000"/>
        </w:rPr>
        <w:t xml:space="preserve">ci środowiska, zwłaszcza biorąc </w:t>
      </w:r>
      <w:r w:rsidRPr="00AA78A1">
        <w:rPr>
          <w:rFonts w:ascii="Times New Roman" w:hAnsi="Times New Roman" w:cs="Times New Roman"/>
          <w:color w:val="000000"/>
        </w:rPr>
        <w:t>pod uwagę, że w przedłożonej Kip, przedstawione zos</w:t>
      </w:r>
      <w:r>
        <w:rPr>
          <w:rFonts w:ascii="Times New Roman" w:hAnsi="Times New Roman" w:cs="Times New Roman"/>
          <w:color w:val="000000"/>
        </w:rPr>
        <w:t xml:space="preserve">tały rozwiązania minimalizujące </w:t>
      </w:r>
      <w:r w:rsidRPr="00AA78A1">
        <w:rPr>
          <w:rFonts w:ascii="Times New Roman" w:hAnsi="Times New Roman" w:cs="Times New Roman"/>
          <w:color w:val="000000"/>
        </w:rPr>
        <w:t>oddziaływania inwestycji na środowisko.</w:t>
      </w:r>
    </w:p>
    <w:p w:rsidR="00AA78A1" w:rsidRP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Rozwiązania projektowe planowanego zada</w:t>
      </w:r>
      <w:r>
        <w:rPr>
          <w:rFonts w:ascii="Times New Roman" w:hAnsi="Times New Roman" w:cs="Times New Roman"/>
          <w:color w:val="000000"/>
        </w:rPr>
        <w:t xml:space="preserve">nia uwzględniają zabezpieczenia </w:t>
      </w:r>
      <w:r w:rsidRPr="00AA78A1">
        <w:rPr>
          <w:rFonts w:ascii="Times New Roman" w:hAnsi="Times New Roman" w:cs="Times New Roman"/>
          <w:color w:val="000000"/>
        </w:rPr>
        <w:t>przed skutkami potencjalnych zmian warunków klimatycz</w:t>
      </w:r>
      <w:r>
        <w:rPr>
          <w:rFonts w:ascii="Times New Roman" w:hAnsi="Times New Roman" w:cs="Times New Roman"/>
          <w:color w:val="000000"/>
        </w:rPr>
        <w:t xml:space="preserve">nych i ewentualnego wystąpienia </w:t>
      </w:r>
      <w:r w:rsidRPr="00AA78A1">
        <w:rPr>
          <w:rFonts w:ascii="Times New Roman" w:hAnsi="Times New Roman" w:cs="Times New Roman"/>
          <w:color w:val="000000"/>
        </w:rPr>
        <w:t>zdarzeń ekstremalnych (takich jak np. fale upałów, długotrwale susze, ekstremalne opady</w:t>
      </w:r>
      <w:r>
        <w:rPr>
          <w:rFonts w:ascii="Times New Roman" w:hAnsi="Times New Roman" w:cs="Times New Roman"/>
          <w:color w:val="000000"/>
        </w:rPr>
        <w:t xml:space="preserve">, </w:t>
      </w:r>
      <w:r w:rsidRPr="00AA78A1">
        <w:rPr>
          <w:rFonts w:ascii="Times New Roman" w:hAnsi="Times New Roman" w:cs="Times New Roman"/>
          <w:color w:val="000000"/>
        </w:rPr>
        <w:t>gwałtowne burze i wiatry, fale chłodu i intensywne opady śniegu, zamarzanie i odmarzanie).</w:t>
      </w:r>
    </w:p>
    <w:p w:rsidR="00AA78A1" w:rsidRP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Na podstawie informacji zawartych w przedłożone</w:t>
      </w:r>
      <w:r>
        <w:rPr>
          <w:rFonts w:ascii="Times New Roman" w:hAnsi="Times New Roman" w:cs="Times New Roman"/>
          <w:color w:val="000000"/>
        </w:rPr>
        <w:t xml:space="preserve">j przez Inwestora dokumentacji, </w:t>
      </w:r>
      <w:r w:rsidRPr="00AA78A1">
        <w:rPr>
          <w:rFonts w:ascii="Times New Roman" w:hAnsi="Times New Roman" w:cs="Times New Roman"/>
          <w:color w:val="000000"/>
        </w:rPr>
        <w:t>tut. Organ przeanalizował wpływ inwestycji w kontekście adaptacji do skutków zmian k</w:t>
      </w:r>
      <w:r>
        <w:rPr>
          <w:rFonts w:ascii="Times New Roman" w:hAnsi="Times New Roman" w:cs="Times New Roman"/>
          <w:color w:val="000000"/>
        </w:rPr>
        <w:t xml:space="preserve">limatu </w:t>
      </w:r>
      <w:r w:rsidRPr="00AA78A1">
        <w:rPr>
          <w:rFonts w:ascii="Times New Roman" w:hAnsi="Times New Roman" w:cs="Times New Roman"/>
          <w:color w:val="000000"/>
        </w:rPr>
        <w:t>(efekt cieplarniany). Podczas realizacji wystąpi emisj</w:t>
      </w:r>
      <w:r>
        <w:rPr>
          <w:rFonts w:ascii="Times New Roman" w:hAnsi="Times New Roman" w:cs="Times New Roman"/>
          <w:color w:val="000000"/>
        </w:rPr>
        <w:t xml:space="preserve">a gazów cieplarnianych, głównie </w:t>
      </w:r>
      <w:r w:rsidRPr="00AA78A1">
        <w:rPr>
          <w:rFonts w:ascii="Times New Roman" w:hAnsi="Times New Roman" w:cs="Times New Roman"/>
          <w:color w:val="000000"/>
        </w:rPr>
        <w:t xml:space="preserve">dwutlenku węgla, </w:t>
      </w:r>
      <w:r w:rsidR="00A16824">
        <w:rPr>
          <w:rFonts w:ascii="Times New Roman" w:hAnsi="Times New Roman" w:cs="Times New Roman"/>
          <w:color w:val="000000"/>
        </w:rPr>
        <w:br/>
      </w:r>
      <w:r w:rsidRPr="00AA78A1">
        <w:rPr>
          <w:rFonts w:ascii="Times New Roman" w:hAnsi="Times New Roman" w:cs="Times New Roman"/>
          <w:color w:val="000000"/>
        </w:rPr>
        <w:t xml:space="preserve">w związku z pracą ciężkiego sprzętu </w:t>
      </w:r>
      <w:r>
        <w:rPr>
          <w:rFonts w:ascii="Times New Roman" w:hAnsi="Times New Roman" w:cs="Times New Roman"/>
          <w:color w:val="000000"/>
        </w:rPr>
        <w:t xml:space="preserve">i środków transportu materiałów </w:t>
      </w:r>
      <w:r w:rsidRPr="00AA78A1">
        <w:rPr>
          <w:rFonts w:ascii="Times New Roman" w:hAnsi="Times New Roman" w:cs="Times New Roman"/>
          <w:color w:val="000000"/>
        </w:rPr>
        <w:t>wykorzystywanych do dokonania przebudowy. Emisja ta będzie krótkotrwała i o ni</w:t>
      </w:r>
      <w:r>
        <w:rPr>
          <w:rFonts w:ascii="Times New Roman" w:hAnsi="Times New Roman" w:cs="Times New Roman"/>
          <w:color w:val="000000"/>
        </w:rPr>
        <w:t xml:space="preserve">ewielkim </w:t>
      </w:r>
      <w:r w:rsidRPr="00AA78A1">
        <w:rPr>
          <w:rFonts w:ascii="Times New Roman" w:hAnsi="Times New Roman" w:cs="Times New Roman"/>
          <w:color w:val="000000"/>
        </w:rPr>
        <w:t>lokalnym zasięgu, czyli będzie mało znacząca.</w:t>
      </w:r>
    </w:p>
    <w:p w:rsidR="00AA78A1" w:rsidRPr="00AA78A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W przypadku wystąpienia bezpośredniego</w:t>
      </w:r>
      <w:r>
        <w:rPr>
          <w:rFonts w:ascii="Times New Roman" w:hAnsi="Times New Roman" w:cs="Times New Roman"/>
          <w:color w:val="000000"/>
        </w:rPr>
        <w:t xml:space="preserve"> zagrożenia szkodą w środowisku </w:t>
      </w:r>
      <w:r w:rsidRPr="00AA78A1">
        <w:rPr>
          <w:rFonts w:ascii="Times New Roman" w:hAnsi="Times New Roman" w:cs="Times New Roman"/>
          <w:color w:val="000000"/>
        </w:rPr>
        <w:t xml:space="preserve">lub szkody </w:t>
      </w:r>
      <w:r w:rsidR="00A16824">
        <w:rPr>
          <w:rFonts w:ascii="Times New Roman" w:hAnsi="Times New Roman" w:cs="Times New Roman"/>
          <w:color w:val="000000"/>
        </w:rPr>
        <w:br/>
      </w:r>
      <w:r w:rsidRPr="00AA78A1">
        <w:rPr>
          <w:rFonts w:ascii="Times New Roman" w:hAnsi="Times New Roman" w:cs="Times New Roman"/>
          <w:color w:val="000000"/>
        </w:rPr>
        <w:t>w środowisku należy postępować zgodnie z obowią</w:t>
      </w:r>
      <w:r>
        <w:rPr>
          <w:rFonts w:ascii="Times New Roman" w:hAnsi="Times New Roman" w:cs="Times New Roman"/>
          <w:color w:val="000000"/>
        </w:rPr>
        <w:t xml:space="preserve">zującymi przepisami, tj. ustawą </w:t>
      </w:r>
      <w:r w:rsidRPr="00AA78A1">
        <w:rPr>
          <w:rFonts w:ascii="Times New Roman" w:hAnsi="Times New Roman" w:cs="Times New Roman"/>
          <w:color w:val="000000"/>
        </w:rPr>
        <w:t>z dnia 13 kwietnia 2007 r. o zapobieganiu szko</w:t>
      </w:r>
      <w:r>
        <w:rPr>
          <w:rFonts w:ascii="Times New Roman" w:hAnsi="Times New Roman" w:cs="Times New Roman"/>
          <w:color w:val="000000"/>
        </w:rPr>
        <w:t xml:space="preserve">dom w środowisku i ich naprawie </w:t>
      </w:r>
      <w:r w:rsidRPr="00AA78A1">
        <w:rPr>
          <w:rFonts w:ascii="Times New Roman" w:hAnsi="Times New Roman" w:cs="Times New Roman"/>
          <w:color w:val="000000"/>
        </w:rPr>
        <w:t>(Dz. U. z 2020 r., poz. 2187 t.j.).</w:t>
      </w:r>
    </w:p>
    <w:p w:rsidR="001314C1" w:rsidRDefault="00AA78A1" w:rsidP="00AA7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78A1">
        <w:rPr>
          <w:rFonts w:ascii="Times New Roman" w:hAnsi="Times New Roman" w:cs="Times New Roman"/>
          <w:color w:val="000000"/>
        </w:rPr>
        <w:t>Reasumując uznano, iż zastosowanie</w:t>
      </w:r>
      <w:r>
        <w:rPr>
          <w:rFonts w:ascii="Times New Roman" w:hAnsi="Times New Roman" w:cs="Times New Roman"/>
          <w:color w:val="000000"/>
        </w:rPr>
        <w:t xml:space="preserve"> zaproponowanych w przedłożonej </w:t>
      </w:r>
      <w:r w:rsidRPr="00AA78A1">
        <w:rPr>
          <w:rFonts w:ascii="Times New Roman" w:hAnsi="Times New Roman" w:cs="Times New Roman"/>
          <w:color w:val="000000"/>
        </w:rPr>
        <w:t>Kip rozwiązań technicznych, technologicznych i organizacyjnych, zapewni ochr</w:t>
      </w:r>
      <w:r>
        <w:rPr>
          <w:rFonts w:ascii="Times New Roman" w:hAnsi="Times New Roman" w:cs="Times New Roman"/>
          <w:color w:val="000000"/>
        </w:rPr>
        <w:t xml:space="preserve">onę </w:t>
      </w:r>
      <w:r w:rsidRPr="00AA78A1">
        <w:rPr>
          <w:rFonts w:ascii="Times New Roman" w:hAnsi="Times New Roman" w:cs="Times New Roman"/>
          <w:color w:val="000000"/>
        </w:rPr>
        <w:t xml:space="preserve">środowiska na etapie realizacji </w:t>
      </w:r>
      <w:r w:rsidR="00A16824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AA78A1">
        <w:rPr>
          <w:rFonts w:ascii="Times New Roman" w:hAnsi="Times New Roman" w:cs="Times New Roman"/>
          <w:color w:val="000000"/>
        </w:rPr>
        <w:t>i eksploatacji przedsięwzięcia.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</w:t>
      </w:r>
      <w:r w:rsidR="00CF7A64">
        <w:rPr>
          <w:rFonts w:ascii="Times New Roman" w:hAnsi="Times New Roman" w:cs="Times New Roman"/>
          <w:color w:val="000000"/>
        </w:rPr>
        <w:t>,</w:t>
      </w:r>
      <w:r w:rsidR="000A10A7">
        <w:rPr>
          <w:rFonts w:ascii="Times New Roman" w:hAnsi="Times New Roman" w:cs="Times New Roman"/>
          <w:color w:val="000000"/>
        </w:rPr>
        <w:t xml:space="preserve"> </w:t>
      </w:r>
      <w:r w:rsidR="00CF7A64">
        <w:rPr>
          <w:rFonts w:ascii="Times New Roman" w:hAnsi="Times New Roman" w:cs="Times New Roman"/>
          <w:color w:val="000000"/>
        </w:rPr>
        <w:t>uzupełnień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982267" w:rsidRPr="004B3DA6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8A1" w:rsidRPr="00BD1EE6" w:rsidRDefault="00AA78A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t.j.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270DF0" w:rsidRPr="00270DF0" w:rsidRDefault="00270DF0" w:rsidP="00270D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70DF0">
        <w:rPr>
          <w:rFonts w:ascii="Times New Roman" w:hAnsi="Times New Roman"/>
          <w:sz w:val="18"/>
          <w:szCs w:val="18"/>
        </w:rPr>
        <w:t>Veolia Industry Polska Sp. z o.o., Al. Solidarności 46 – 61-696 Poznań</w:t>
      </w:r>
    </w:p>
    <w:p w:rsidR="00956E51" w:rsidRPr="00956E51" w:rsidRDefault="0059420A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>Strony postępowania informowane obwieszczeniem</w:t>
      </w:r>
    </w:p>
    <w:p w:rsidR="006472F4" w:rsidRPr="00956E51" w:rsidRDefault="006472F4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956E51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34" w:rsidRDefault="00275434" w:rsidP="00D077F1">
      <w:pPr>
        <w:spacing w:after="0" w:line="240" w:lineRule="auto"/>
      </w:pPr>
      <w:r>
        <w:separator/>
      </w:r>
    </w:p>
  </w:endnote>
  <w:endnote w:type="continuationSeparator" w:id="0">
    <w:p w:rsidR="00275434" w:rsidRDefault="00275434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275434" w:rsidRDefault="002754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24">
          <w:rPr>
            <w:noProof/>
          </w:rPr>
          <w:t>9</w:t>
        </w:r>
        <w:r>
          <w:fldChar w:fldCharType="end"/>
        </w:r>
      </w:p>
    </w:sdtContent>
  </w:sdt>
  <w:p w:rsidR="00275434" w:rsidRDefault="00275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34" w:rsidRDefault="00275434" w:rsidP="00D077F1">
      <w:pPr>
        <w:spacing w:after="0" w:line="240" w:lineRule="auto"/>
      </w:pPr>
      <w:r>
        <w:separator/>
      </w:r>
    </w:p>
  </w:footnote>
  <w:footnote w:type="continuationSeparator" w:id="0">
    <w:p w:rsidR="00275434" w:rsidRDefault="00275434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5F13D4"/>
    <w:multiLevelType w:val="hybridMultilevel"/>
    <w:tmpl w:val="AB4C2B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6C6"/>
    <w:multiLevelType w:val="hybridMultilevel"/>
    <w:tmpl w:val="3BD84018"/>
    <w:lvl w:ilvl="0" w:tplc="16C6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0422E"/>
    <w:multiLevelType w:val="hybridMultilevel"/>
    <w:tmpl w:val="546068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B31696"/>
    <w:multiLevelType w:val="hybridMultilevel"/>
    <w:tmpl w:val="0150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58AF"/>
    <w:multiLevelType w:val="hybridMultilevel"/>
    <w:tmpl w:val="CEC297B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72CF1"/>
    <w:multiLevelType w:val="hybridMultilevel"/>
    <w:tmpl w:val="ABCE801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40DF"/>
    <w:multiLevelType w:val="hybridMultilevel"/>
    <w:tmpl w:val="FE9C2B2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E76C6"/>
    <w:multiLevelType w:val="hybridMultilevel"/>
    <w:tmpl w:val="E90E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5"/>
  </w:num>
  <w:num w:numId="7">
    <w:abstractNumId w:val="19"/>
  </w:num>
  <w:num w:numId="8">
    <w:abstractNumId w:val="0"/>
  </w:num>
  <w:num w:numId="9">
    <w:abstractNumId w:val="40"/>
  </w:num>
  <w:num w:numId="10">
    <w:abstractNumId w:val="25"/>
  </w:num>
  <w:num w:numId="11">
    <w:abstractNumId w:val="8"/>
  </w:num>
  <w:num w:numId="12">
    <w:abstractNumId w:val="5"/>
  </w:num>
  <w:num w:numId="13">
    <w:abstractNumId w:val="11"/>
  </w:num>
  <w:num w:numId="14">
    <w:abstractNumId w:val="36"/>
  </w:num>
  <w:num w:numId="15">
    <w:abstractNumId w:val="20"/>
  </w:num>
  <w:num w:numId="16">
    <w:abstractNumId w:val="16"/>
  </w:num>
  <w:num w:numId="17">
    <w:abstractNumId w:val="12"/>
  </w:num>
  <w:num w:numId="18">
    <w:abstractNumId w:val="31"/>
  </w:num>
  <w:num w:numId="19">
    <w:abstractNumId w:val="21"/>
  </w:num>
  <w:num w:numId="20">
    <w:abstractNumId w:val="26"/>
  </w:num>
  <w:num w:numId="21">
    <w:abstractNumId w:val="17"/>
  </w:num>
  <w:num w:numId="22">
    <w:abstractNumId w:val="18"/>
  </w:num>
  <w:num w:numId="23">
    <w:abstractNumId w:val="44"/>
  </w:num>
  <w:num w:numId="24">
    <w:abstractNumId w:val="2"/>
  </w:num>
  <w:num w:numId="25">
    <w:abstractNumId w:val="37"/>
  </w:num>
  <w:num w:numId="26">
    <w:abstractNumId w:val="28"/>
  </w:num>
  <w:num w:numId="27">
    <w:abstractNumId w:val="14"/>
  </w:num>
  <w:num w:numId="28">
    <w:abstractNumId w:val="41"/>
  </w:num>
  <w:num w:numId="29">
    <w:abstractNumId w:val="6"/>
  </w:num>
  <w:num w:numId="30">
    <w:abstractNumId w:val="42"/>
  </w:num>
  <w:num w:numId="31">
    <w:abstractNumId w:val="29"/>
  </w:num>
  <w:num w:numId="32">
    <w:abstractNumId w:val="27"/>
  </w:num>
  <w:num w:numId="33">
    <w:abstractNumId w:val="33"/>
  </w:num>
  <w:num w:numId="34">
    <w:abstractNumId w:val="34"/>
  </w:num>
  <w:num w:numId="35">
    <w:abstractNumId w:val="13"/>
  </w:num>
  <w:num w:numId="36">
    <w:abstractNumId w:val="24"/>
  </w:num>
  <w:num w:numId="37">
    <w:abstractNumId w:val="4"/>
  </w:num>
  <w:num w:numId="38">
    <w:abstractNumId w:val="10"/>
  </w:num>
  <w:num w:numId="39">
    <w:abstractNumId w:val="3"/>
  </w:num>
  <w:num w:numId="40">
    <w:abstractNumId w:val="39"/>
  </w:num>
  <w:num w:numId="41">
    <w:abstractNumId w:val="30"/>
  </w:num>
  <w:num w:numId="42">
    <w:abstractNumId w:val="22"/>
  </w:num>
  <w:num w:numId="43">
    <w:abstractNumId w:val="38"/>
  </w:num>
  <w:num w:numId="44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1107"/>
    <w:rsid w:val="0005441A"/>
    <w:rsid w:val="00064C60"/>
    <w:rsid w:val="000665F7"/>
    <w:rsid w:val="00070CC3"/>
    <w:rsid w:val="00071020"/>
    <w:rsid w:val="00072819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314C1"/>
    <w:rsid w:val="00134203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D1F21"/>
    <w:rsid w:val="001E0414"/>
    <w:rsid w:val="001E0B82"/>
    <w:rsid w:val="001E5F9B"/>
    <w:rsid w:val="00216842"/>
    <w:rsid w:val="00220479"/>
    <w:rsid w:val="00227B08"/>
    <w:rsid w:val="00230F48"/>
    <w:rsid w:val="00243DDE"/>
    <w:rsid w:val="00250B5D"/>
    <w:rsid w:val="002553E7"/>
    <w:rsid w:val="002626A8"/>
    <w:rsid w:val="00267CC8"/>
    <w:rsid w:val="00270AD0"/>
    <w:rsid w:val="00270DF0"/>
    <w:rsid w:val="00275434"/>
    <w:rsid w:val="00277A26"/>
    <w:rsid w:val="002859CA"/>
    <w:rsid w:val="00295F17"/>
    <w:rsid w:val="002C5F52"/>
    <w:rsid w:val="002D44E0"/>
    <w:rsid w:val="002E0716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3A8B"/>
    <w:rsid w:val="003F43FE"/>
    <w:rsid w:val="003F5227"/>
    <w:rsid w:val="00400468"/>
    <w:rsid w:val="00400B55"/>
    <w:rsid w:val="00400F8E"/>
    <w:rsid w:val="00404B0E"/>
    <w:rsid w:val="0041528A"/>
    <w:rsid w:val="00417829"/>
    <w:rsid w:val="00432FA1"/>
    <w:rsid w:val="0043795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E41E5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D58DA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1FC8"/>
    <w:rsid w:val="007456A7"/>
    <w:rsid w:val="007504B5"/>
    <w:rsid w:val="007532D2"/>
    <w:rsid w:val="007675F6"/>
    <w:rsid w:val="00772C99"/>
    <w:rsid w:val="007774EF"/>
    <w:rsid w:val="007B05F7"/>
    <w:rsid w:val="007B261E"/>
    <w:rsid w:val="007B688D"/>
    <w:rsid w:val="007D3670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26F3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436E3"/>
    <w:rsid w:val="00956E51"/>
    <w:rsid w:val="00957FDD"/>
    <w:rsid w:val="0096535D"/>
    <w:rsid w:val="009727B9"/>
    <w:rsid w:val="00980947"/>
    <w:rsid w:val="00982267"/>
    <w:rsid w:val="00982E87"/>
    <w:rsid w:val="009914DA"/>
    <w:rsid w:val="00997C29"/>
    <w:rsid w:val="009A480E"/>
    <w:rsid w:val="009B16ED"/>
    <w:rsid w:val="009B396D"/>
    <w:rsid w:val="009B4869"/>
    <w:rsid w:val="009C34CA"/>
    <w:rsid w:val="009C4838"/>
    <w:rsid w:val="009C60BE"/>
    <w:rsid w:val="009C69FB"/>
    <w:rsid w:val="009D45D6"/>
    <w:rsid w:val="009E4479"/>
    <w:rsid w:val="009F4F44"/>
    <w:rsid w:val="009F693E"/>
    <w:rsid w:val="00A04353"/>
    <w:rsid w:val="00A14823"/>
    <w:rsid w:val="00A15336"/>
    <w:rsid w:val="00A16598"/>
    <w:rsid w:val="00A16824"/>
    <w:rsid w:val="00A32B96"/>
    <w:rsid w:val="00A411D7"/>
    <w:rsid w:val="00A45019"/>
    <w:rsid w:val="00A51E3C"/>
    <w:rsid w:val="00A73E5C"/>
    <w:rsid w:val="00A840AB"/>
    <w:rsid w:val="00A8470B"/>
    <w:rsid w:val="00A86814"/>
    <w:rsid w:val="00AA78A1"/>
    <w:rsid w:val="00AA7C4E"/>
    <w:rsid w:val="00AB192E"/>
    <w:rsid w:val="00AB5529"/>
    <w:rsid w:val="00AB5F0B"/>
    <w:rsid w:val="00AB6881"/>
    <w:rsid w:val="00AC5212"/>
    <w:rsid w:val="00AD0CC5"/>
    <w:rsid w:val="00AE7FA9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CF7A64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11FA"/>
    <w:rsid w:val="00D75E8B"/>
    <w:rsid w:val="00D9463D"/>
    <w:rsid w:val="00D94677"/>
    <w:rsid w:val="00DA2C96"/>
    <w:rsid w:val="00DB5421"/>
    <w:rsid w:val="00DB6974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7F0C"/>
    <w:rsid w:val="00E353E8"/>
    <w:rsid w:val="00E414F9"/>
    <w:rsid w:val="00E4627A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1071"/>
    <w:rsid w:val="00EF5582"/>
    <w:rsid w:val="00EF6576"/>
    <w:rsid w:val="00F016CC"/>
    <w:rsid w:val="00F02821"/>
    <w:rsid w:val="00F069E5"/>
    <w:rsid w:val="00F077CF"/>
    <w:rsid w:val="00F10AAA"/>
    <w:rsid w:val="00F12C7B"/>
    <w:rsid w:val="00F24638"/>
    <w:rsid w:val="00F36BC9"/>
    <w:rsid w:val="00F42471"/>
    <w:rsid w:val="00F42E0D"/>
    <w:rsid w:val="00F57C9C"/>
    <w:rsid w:val="00F6159F"/>
    <w:rsid w:val="00F6557C"/>
    <w:rsid w:val="00F7556B"/>
    <w:rsid w:val="00F77DFA"/>
    <w:rsid w:val="00F8270F"/>
    <w:rsid w:val="00FA5D9E"/>
    <w:rsid w:val="00FB22A2"/>
    <w:rsid w:val="00FD3086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43795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4BFC-81DB-41F4-8DF4-4C80202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9</Pages>
  <Words>4837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95</cp:revision>
  <cp:lastPrinted>2023-12-08T10:45:00Z</cp:lastPrinted>
  <dcterms:created xsi:type="dcterms:W3CDTF">2012-10-31T11:50:00Z</dcterms:created>
  <dcterms:modified xsi:type="dcterms:W3CDTF">2023-12-08T11:07:00Z</dcterms:modified>
</cp:coreProperties>
</file>