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3C" w:rsidRDefault="008337FB">
      <w:pPr>
        <w:spacing w:after="0" w:line="360" w:lineRule="auto"/>
        <w:jc w:val="right"/>
      </w:pPr>
      <w:bookmarkStart w:id="0" w:name="_heading=h.30j0zll" w:colFirst="0" w:colLast="0"/>
      <w:bookmarkStart w:id="1" w:name="_GoBack"/>
      <w:bookmarkEnd w:id="0"/>
      <w:bookmarkEnd w:id="1"/>
      <w:r>
        <w:tab/>
      </w:r>
      <w:r>
        <w:tab/>
      </w:r>
      <w:r>
        <w:tab/>
      </w:r>
      <w:r>
        <w:tab/>
        <w:t xml:space="preserve">                                     Toruń, dnia 23.11.2023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219075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123C" w:rsidRDefault="0008123C">
      <w:pPr>
        <w:spacing w:after="0" w:line="360" w:lineRule="auto"/>
        <w:jc w:val="both"/>
      </w:pPr>
    </w:p>
    <w:p w:rsidR="0008123C" w:rsidRDefault="0008123C">
      <w:pPr>
        <w:spacing w:after="0" w:line="360" w:lineRule="auto"/>
        <w:jc w:val="both"/>
      </w:pPr>
    </w:p>
    <w:p w:rsidR="0008123C" w:rsidRDefault="008337FB">
      <w:pPr>
        <w:spacing w:after="0" w:line="360" w:lineRule="auto"/>
        <w:jc w:val="both"/>
        <w:rPr>
          <w:b/>
        </w:rPr>
      </w:pPr>
      <w:r>
        <w:rPr>
          <w:b/>
        </w:rPr>
        <w:t xml:space="preserve">Klub Radnych </w:t>
      </w:r>
    </w:p>
    <w:p w:rsidR="0008123C" w:rsidRDefault="008337FB">
      <w:pPr>
        <w:spacing w:after="0" w:line="360" w:lineRule="auto"/>
        <w:jc w:val="both"/>
        <w:rPr>
          <w:b/>
        </w:rPr>
      </w:pPr>
      <w:r>
        <w:rPr>
          <w:b/>
        </w:rPr>
        <w:t xml:space="preserve">„Aktywni dla Torunia – </w:t>
      </w:r>
      <w:proofErr w:type="spellStart"/>
      <w:r>
        <w:rPr>
          <w:b/>
        </w:rPr>
        <w:t>Krużewski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Szymanski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Skerska</w:t>
      </w:r>
      <w:proofErr w:type="spellEnd"/>
      <w:r>
        <w:rPr>
          <w:b/>
        </w:rPr>
        <w:t>-Roman”</w:t>
      </w:r>
    </w:p>
    <w:p w:rsidR="0008123C" w:rsidRDefault="0008123C">
      <w:pPr>
        <w:spacing w:after="0" w:line="360" w:lineRule="auto"/>
        <w:jc w:val="both"/>
      </w:pPr>
    </w:p>
    <w:p w:rsidR="0008123C" w:rsidRDefault="008337FB">
      <w:pPr>
        <w:spacing w:after="0" w:line="360" w:lineRule="auto"/>
        <w:ind w:left="4248" w:firstLine="708"/>
        <w:rPr>
          <w:b/>
        </w:rPr>
      </w:pPr>
      <w:r>
        <w:rPr>
          <w:b/>
        </w:rPr>
        <w:t>Pan</w:t>
      </w:r>
    </w:p>
    <w:p w:rsidR="0008123C" w:rsidRDefault="008337FB">
      <w:pPr>
        <w:spacing w:after="0" w:line="360" w:lineRule="auto"/>
        <w:ind w:left="4248" w:firstLine="708"/>
        <w:rPr>
          <w:b/>
        </w:rPr>
      </w:pPr>
      <w:r>
        <w:rPr>
          <w:b/>
        </w:rPr>
        <w:t>Michał Zaleski</w:t>
      </w:r>
    </w:p>
    <w:p w:rsidR="0008123C" w:rsidRDefault="008337FB">
      <w:pPr>
        <w:spacing w:after="0" w:line="360" w:lineRule="auto"/>
        <w:ind w:left="4248" w:firstLine="708"/>
        <w:rPr>
          <w:b/>
        </w:rPr>
      </w:pPr>
      <w:r>
        <w:rPr>
          <w:b/>
        </w:rPr>
        <w:t>Prezydent Miasta Torunia</w:t>
      </w:r>
    </w:p>
    <w:p w:rsidR="0008123C" w:rsidRDefault="0008123C">
      <w:pPr>
        <w:spacing w:after="0" w:line="360" w:lineRule="auto"/>
        <w:jc w:val="center"/>
        <w:rPr>
          <w:b/>
        </w:rPr>
      </w:pPr>
    </w:p>
    <w:p w:rsidR="0008123C" w:rsidRDefault="008337FB">
      <w:pPr>
        <w:spacing w:after="0" w:line="360" w:lineRule="auto"/>
        <w:jc w:val="center"/>
        <w:rPr>
          <w:b/>
        </w:rPr>
      </w:pPr>
      <w:r>
        <w:rPr>
          <w:b/>
        </w:rPr>
        <w:t>INTERPELACJA</w:t>
      </w:r>
    </w:p>
    <w:p w:rsidR="0008123C" w:rsidRDefault="008337FB">
      <w:pPr>
        <w:spacing w:after="0" w:line="360" w:lineRule="auto"/>
        <w:ind w:firstLine="708"/>
        <w:jc w:val="both"/>
      </w:pPr>
      <w:r>
        <w:t>Na podstawie art. 24 ust. 3 i 4 ustawy z dnia 8 marca 1990 roku o samorządzie gminnym (Dz. U. z 2018 r. poz. 994, 1000, 1349, 1432, 2500) zwracamy się z interpelacją dotyczącą podjęcia działań zmierzających do organizacji pomocy prawnej (zgodnie z zapisami</w:t>
      </w:r>
      <w:r>
        <w:t xml:space="preserve"> art. 10 ust. 1 pkt. 4 ustawy Prawo oświatowe - Dz.U.2023.900 </w:t>
      </w:r>
      <w:proofErr w:type="spellStart"/>
      <w:r>
        <w:t>t.j</w:t>
      </w:r>
      <w:proofErr w:type="spellEnd"/>
      <w:r>
        <w:t xml:space="preserve">. z dnia 2023.05.12) i/oraz szkolenia dla dyrektorów szkół, przedszkoli i placówek oświatowych, tak aby posiadali aktualną wiedzę, wsparcie oraz pomoc w tworzeniu/weryfikacji statutów swoich </w:t>
      </w:r>
      <w:r>
        <w:t>placówek i mogli dokonać ich kwerendy pod kątem zgodności zapisów z prawem (nie tylko oświatowym).</w:t>
      </w:r>
    </w:p>
    <w:p w:rsidR="0008123C" w:rsidRDefault="008337FB">
      <w:pPr>
        <w:spacing w:after="0" w:line="360" w:lineRule="auto"/>
        <w:jc w:val="center"/>
        <w:rPr>
          <w:b/>
        </w:rPr>
      </w:pPr>
      <w:r>
        <w:rPr>
          <w:b/>
        </w:rPr>
        <w:t>UZASADNIENIE</w:t>
      </w:r>
    </w:p>
    <w:p w:rsidR="0008123C" w:rsidRDefault="008337FB">
      <w:pPr>
        <w:spacing w:after="0" w:line="360" w:lineRule="auto"/>
        <w:jc w:val="both"/>
      </w:pPr>
      <w:r>
        <w:tab/>
        <w:t>Z niedawno opublikowanego raportu NIK</w:t>
      </w:r>
      <w:r>
        <w:rPr>
          <w:vertAlign w:val="superscript"/>
        </w:rPr>
        <w:footnoteReference w:id="1"/>
      </w:r>
      <w:r>
        <w:t>, który kontrolował systemy oceniania wiedzy, umiejętności i zachowania uczniów w województwie świętokrzy</w:t>
      </w:r>
      <w:r>
        <w:t xml:space="preserve">skim wynika, iż w większości placówek (!) nie były one w pełni zgodne z prawem oświatowym, jasne i jednoznaczne, a co za tym idzie </w:t>
      </w:r>
      <w:r>
        <w:t>nie gwarantowały osiągnięcia celów, jaki temu procesowi wyznaczono w procesie dydaktycznym. Ocenianie służy bowiem informowan</w:t>
      </w:r>
      <w:r>
        <w:t xml:space="preserve">iu uczniów o poziomie ich osiągnięć edukacyjnych i o tym, jak odbierane jest ich zachowanie, a także motywowaniu do dalszych postępów w tym zakresie. </w:t>
      </w:r>
    </w:p>
    <w:p w:rsidR="0008123C" w:rsidRDefault="008337FB">
      <w:pPr>
        <w:spacing w:after="0" w:line="360" w:lineRule="auto"/>
        <w:ind w:firstLine="708"/>
        <w:jc w:val="both"/>
      </w:pPr>
      <w:r>
        <w:t xml:space="preserve">Do szczególnych uchybień w tej materii (a jest ich sporo) należało w szczególności </w:t>
      </w:r>
      <w:r>
        <w:t xml:space="preserve">nie określanie, jakie </w:t>
      </w:r>
      <w:r>
        <w:t>warunki trzeba spełnić, by z przedmiotu dostać ocenę roczną wyższą od przewidywanej.</w:t>
      </w:r>
      <w:r>
        <w:rPr>
          <w:b/>
        </w:rPr>
        <w:t xml:space="preserve"> </w:t>
      </w:r>
      <w:r>
        <w:t>W przypadku stopnia celującego konieczne było wykazanie się wiedzą spoza programu nauczania, podczas gdy z ustawy o systemie oświaty wynika, że do uzyskania takiej oceny w</w:t>
      </w:r>
      <w:r>
        <w:t>ystarczy pełne opanowanie treści ujętych w programie nauczania.</w:t>
      </w:r>
    </w:p>
    <w:p w:rsidR="0008123C" w:rsidRDefault="008337FB">
      <w:pPr>
        <w:spacing w:after="0" w:line="360" w:lineRule="auto"/>
        <w:ind w:firstLine="708"/>
        <w:jc w:val="both"/>
      </w:pPr>
      <w:r>
        <w:t>Inne wskazane przez NIK nieprawidłowości dotyczyły nieuzasadnionego zaniżania stopni lub nieuwzględniania kryteriów oceniania przyjętych przez same szkoły. Przykładem może być podwyższanie oce</w:t>
      </w:r>
      <w:r>
        <w:t>ny zachowania uczniom, którzy przynosili do szkoły papier do kserokopiarek czy karmę dla zwierząt i obniżanie takich ocen za wygląd – farbowane włosy, pomalowane paznokcie czy makijaż. Placówka oświatowa nie ma przecież kompetencji do regulowania zasad dot</w:t>
      </w:r>
      <w:r>
        <w:t xml:space="preserve">yczących wyglądu osób uczących się oraz konieczności jasnego konstruowania przepisów dotyczących ich ubioru. Zgodnie z art. 99 ust. 3 oraz art. 100 ustawy - Prawo oświatowe, szkoła może regulować jedynie zasady ubioru. Kolor włosów, makijaż, tatuaże czy </w:t>
      </w:r>
      <w:proofErr w:type="spellStart"/>
      <w:r>
        <w:t>pi</w:t>
      </w:r>
      <w:r>
        <w:t>ercing</w:t>
      </w:r>
      <w:proofErr w:type="spellEnd"/>
      <w:r>
        <w:t xml:space="preserve">, a także wszystkie inne elementy wyglądu nie są elementami ubioru a wyglądu, więc statut szkoły nie ma możliwości ustalania norm wyglądu osób uczących się. Ponadto zasady </w:t>
      </w:r>
      <w:r>
        <w:lastRenderedPageBreak/>
        <w:t>ubioru powinny być uargumentowane oraz usprawiedliwione pewnymi faktami, tak a</w:t>
      </w:r>
      <w:r>
        <w:t>by nie naruszać konstytucyjnej wolności każdego człowieka.</w:t>
      </w:r>
    </w:p>
    <w:p w:rsidR="0008123C" w:rsidRDefault="008337FB">
      <w:pPr>
        <w:spacing w:after="0" w:line="360" w:lineRule="auto"/>
        <w:ind w:firstLine="708"/>
        <w:jc w:val="both"/>
      </w:pPr>
      <w:r>
        <w:t>Do niezgodnych z prawem praktyk należało również błędnie stosowanie tzw. kredytu punktowego (punktowy system oceniania zachowania). W takim systemie każdy uczeń na początku roku otrzymuje określoną</w:t>
      </w:r>
      <w:r>
        <w:t xml:space="preserve"> liczbę punktów, które są równoznaczne z określoną oceną z zachowania (np. dobrą). W ciągu półrocza kredyt można zwiększyć lub zmniejszyć, a tym samym otrzymać wyższą lub niższą ocenę z zachowania. W niektórych przypadkach „kredyt” doliczano tylko w pierws</w:t>
      </w:r>
      <w:r>
        <w:t>zym półroczu, w związku z czym, jeśli uczniowie poprawili swoje zachowanie w II półroczu, to ich oceny roczne i tak były obniżone. Jest to sprzeczne z głównym celem oceniania zachowania uczniów, jakim jest kształtowanie ich postaw. Taka ocena ma być wyłącz</w:t>
      </w:r>
      <w:r>
        <w:t>nie odzwierciedleniem tego, czy uczeń respektuje zasady współżycia społecznego i normy etyczne, a także czy przestrzega obowiązków określonych w statucie szkoły.</w:t>
      </w:r>
    </w:p>
    <w:p w:rsidR="0008123C" w:rsidRDefault="008337FB">
      <w:pPr>
        <w:spacing w:after="0" w:line="360" w:lineRule="auto"/>
        <w:ind w:firstLine="720"/>
        <w:jc w:val="both"/>
      </w:pPr>
      <w:r>
        <w:t>Trudno niestety wymienić wszystkie uchybienia, ale w naszej ocenie problem jest bardzo poważny</w:t>
      </w:r>
      <w:r>
        <w:t xml:space="preserve"> i dotyczy wielu szkół, co należy niezwłocznie skorygować m. in. poprzez zapewnienie dyrektorom szkół i placówek oświatowych odpowiedniego wsparcia merytorycznego. </w:t>
      </w:r>
    </w:p>
    <w:p w:rsidR="0008123C" w:rsidRDefault="008337FB">
      <w:pPr>
        <w:spacing w:after="0" w:line="360" w:lineRule="auto"/>
        <w:ind w:firstLine="720"/>
        <w:jc w:val="both"/>
      </w:pPr>
      <w:r>
        <w:t>NIK określił także główne wnioski z kontroli, które dyrektorów szkół zobowiązują do: (1) do</w:t>
      </w:r>
      <w:r>
        <w:t>konania przeglądu statutów szkół oraz innych dokumentów wewnętrznych dotyczących oceniania, w tym przedmiotowych zasad oceniania, w celu dostosowania postanowień dotyczących oceniania wewnątrzszkolnego do obowiązujących przepisów oświatowych oraz zapewnien</w:t>
      </w:r>
      <w:r>
        <w:t>ia spójności ustaleń zawartych w dokumentach szkolnych; (2) podjęcia działań, których celem będzie pełna realizacja celów oceniania bieżącego, wskazanych w przepisach oświatowych; wzmocnienie nadzoru nad procesem oceniania uczniów i jego dokumentowaniem, w</w:t>
      </w:r>
      <w:r>
        <w:t> tym o podjęcie działań zapobiegających występowaniu pomyłek i błędów w wystawianiu ocen śródrocznych i rocznych, a także zapewniających obiektywne, sprawiedliwe i oparte na jasno określonych kryteriach ocenianie zachowania uczniów; (3) wspomagania nauczyc</w:t>
      </w:r>
      <w:r>
        <w:t>ieli w doskonaleniu oceniania wewnątrzszkolnego i upowszechnianie korzyści wynikających z łączenia w praktyce różnych strategii oceniania uwzględniających nie tylko poziom wiedzy ucznia, ale również jego postępy w nauce.</w:t>
      </w:r>
    </w:p>
    <w:p w:rsidR="0008123C" w:rsidRDefault="008337FB">
      <w:pPr>
        <w:spacing w:after="0" w:line="360" w:lineRule="auto"/>
        <w:ind w:firstLine="708"/>
        <w:jc w:val="both"/>
      </w:pPr>
      <w:r>
        <w:t>W związku z tym zwracamy się z proś</w:t>
      </w:r>
      <w:r>
        <w:t>bą o zapewnienie dyrektorom szkół i placówek oświatowych odpowiedniego wsparcia, tak aby mogli dokonać weryfikacji/kwerendy statutów swoich placówek pod kątem zgodności ich zapisów z prawem (nie tylko oświatowym).</w:t>
      </w:r>
    </w:p>
    <w:p w:rsidR="0008123C" w:rsidRDefault="0008123C">
      <w:pPr>
        <w:spacing w:after="0" w:line="360" w:lineRule="auto"/>
        <w:jc w:val="both"/>
      </w:pPr>
    </w:p>
    <w:p w:rsidR="0008123C" w:rsidRDefault="0008123C">
      <w:pPr>
        <w:spacing w:after="0" w:line="360" w:lineRule="auto"/>
      </w:pPr>
    </w:p>
    <w:p w:rsidR="0008123C" w:rsidRDefault="008337FB">
      <w:pPr>
        <w:spacing w:after="0" w:line="360" w:lineRule="auto"/>
        <w:jc w:val="right"/>
      </w:pPr>
      <w:r>
        <w:t>Z poważaniem</w:t>
      </w:r>
    </w:p>
    <w:p w:rsidR="0008123C" w:rsidRDefault="008337FB">
      <w:pPr>
        <w:spacing w:after="0" w:line="360" w:lineRule="auto"/>
        <w:jc w:val="right"/>
      </w:pPr>
      <w:r>
        <w:t xml:space="preserve">Maciej </w:t>
      </w:r>
      <w:proofErr w:type="spellStart"/>
      <w:r>
        <w:t>Krużewski</w:t>
      </w:r>
      <w:proofErr w:type="spellEnd"/>
    </w:p>
    <w:p w:rsidR="0008123C" w:rsidRDefault="008337FB">
      <w:pPr>
        <w:spacing w:after="0" w:line="360" w:lineRule="auto"/>
        <w:jc w:val="right"/>
      </w:pPr>
      <w:proofErr w:type="spellStart"/>
      <w:r>
        <w:t>Margareta</w:t>
      </w:r>
      <w:proofErr w:type="spellEnd"/>
      <w:r>
        <w:t xml:space="preserve"> </w:t>
      </w:r>
      <w:proofErr w:type="spellStart"/>
      <w:r>
        <w:t>Skerska</w:t>
      </w:r>
      <w:proofErr w:type="spellEnd"/>
      <w:r>
        <w:t xml:space="preserve"> -Roman </w:t>
      </w:r>
    </w:p>
    <w:p w:rsidR="0008123C" w:rsidRDefault="008337FB">
      <w:pPr>
        <w:spacing w:after="0" w:line="360" w:lineRule="auto"/>
        <w:jc w:val="right"/>
      </w:pPr>
      <w:r>
        <w:t xml:space="preserve">Bartosz </w:t>
      </w:r>
      <w:proofErr w:type="spellStart"/>
      <w:r>
        <w:t>Szymanski</w:t>
      </w:r>
      <w:proofErr w:type="spellEnd"/>
    </w:p>
    <w:p w:rsidR="0008123C" w:rsidRDefault="0008123C">
      <w:pPr>
        <w:spacing w:after="0" w:line="360" w:lineRule="auto"/>
        <w:jc w:val="right"/>
      </w:pPr>
    </w:p>
    <w:sectPr w:rsidR="0008123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FB" w:rsidRDefault="008337FB">
      <w:pPr>
        <w:spacing w:after="0" w:line="240" w:lineRule="auto"/>
      </w:pPr>
      <w:r>
        <w:separator/>
      </w:r>
    </w:p>
  </w:endnote>
  <w:endnote w:type="continuationSeparator" w:id="0">
    <w:p w:rsidR="008337FB" w:rsidRDefault="0083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FB" w:rsidRDefault="008337FB">
      <w:pPr>
        <w:spacing w:after="0" w:line="240" w:lineRule="auto"/>
      </w:pPr>
      <w:r>
        <w:separator/>
      </w:r>
    </w:p>
  </w:footnote>
  <w:footnote w:type="continuationSeparator" w:id="0">
    <w:p w:rsidR="008337FB" w:rsidRDefault="008337FB">
      <w:pPr>
        <w:spacing w:after="0" w:line="240" w:lineRule="auto"/>
      </w:pPr>
      <w:r>
        <w:continuationSeparator/>
      </w:r>
    </w:p>
  </w:footnote>
  <w:footnote w:id="1">
    <w:p w:rsidR="0008123C" w:rsidRDefault="00833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https://www.nik.gov.pl/aktualnosci/edukacja-i-nauka/system-oceniania-uczniow-w-sw</w:t>
        </w:r>
        <w:r>
          <w:rPr>
            <w:color w:val="0000FF"/>
            <w:sz w:val="20"/>
            <w:szCs w:val="20"/>
            <w:u w:val="single"/>
          </w:rPr>
          <w:t>ietokrzyskich-szkolach.html</w:t>
        </w:r>
      </w:hyperlink>
      <w:r>
        <w:rPr>
          <w:color w:val="000000"/>
          <w:sz w:val="20"/>
          <w:szCs w:val="20"/>
        </w:rPr>
        <w:t>, 22.11.2023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3C"/>
    <w:rsid w:val="0008123C"/>
    <w:rsid w:val="003806E6"/>
    <w:rsid w:val="008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9696-4787-4ACD-9C03-30BD518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51"/>
  </w:style>
  <w:style w:type="paragraph" w:styleId="Nagwek1">
    <w:name w:val="heading 1"/>
    <w:basedOn w:val="Normalny"/>
    <w:next w:val="Normalny"/>
    <w:link w:val="Nagwek1Znak"/>
    <w:uiPriority w:val="9"/>
    <w:qFormat/>
    <w:rsid w:val="008F2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40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F2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F21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1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x4k7w5x">
    <w:name w:val="x4k7w5x"/>
    <w:basedOn w:val="Domylnaczcionkaakapitu"/>
    <w:rsid w:val="00B04A2F"/>
  </w:style>
  <w:style w:type="character" w:customStyle="1" w:styleId="ng-scope">
    <w:name w:val="ng-scope"/>
    <w:basedOn w:val="Domylnaczcionkaakapitu"/>
    <w:rsid w:val="00BD3B5D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Domylnaczcionkaakapitu"/>
    <w:rsid w:val="0085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k.gov.pl/aktualnosci/edukacja-i-nauka/system-oceniania-uczniow-w-swietokrzyskich-szkol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gg7DYSxEEnuTIenJ+1MasrPiSA==">CgMxLjAyCWguMzBqMHpsbDgAciExUkRQWVNUVHYtWmVNa3JUYWx6WWQ4ZTY3X3dFUlhUbHI=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2</cp:revision>
  <dcterms:created xsi:type="dcterms:W3CDTF">2023-11-24T08:52:00Z</dcterms:created>
  <dcterms:modified xsi:type="dcterms:W3CDTF">2023-11-24T08:52:00Z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