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EC" w:rsidRPr="00BE1BCC" w:rsidRDefault="005115EC" w:rsidP="005115EC">
      <w:pPr>
        <w:jc w:val="center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b/>
          <w:sz w:val="22"/>
          <w:szCs w:val="22"/>
        </w:rPr>
        <w:t>Obwieszczenie</w:t>
      </w:r>
    </w:p>
    <w:p w:rsidR="005115EC" w:rsidRPr="00BE1BCC" w:rsidRDefault="005115EC" w:rsidP="005115EC">
      <w:pPr>
        <w:pStyle w:val="Nagwek1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Nr WGN.6840.</w:t>
      </w:r>
      <w:r w:rsidR="00BE1BCC" w:rsidRPr="00BE1BCC">
        <w:rPr>
          <w:rFonts w:ascii="Times New Roman" w:hAnsi="Times New Roman" w:cs="Times New Roman"/>
          <w:sz w:val="22"/>
          <w:szCs w:val="22"/>
        </w:rPr>
        <w:t>1.14</w:t>
      </w:r>
      <w:r w:rsidRPr="00BE1BCC">
        <w:rPr>
          <w:rFonts w:ascii="Times New Roman" w:hAnsi="Times New Roman" w:cs="Times New Roman"/>
          <w:sz w:val="22"/>
          <w:szCs w:val="22"/>
        </w:rPr>
        <w:t>.</w:t>
      </w:r>
      <w:r w:rsidR="00BE1BCC" w:rsidRPr="00BE1BCC">
        <w:rPr>
          <w:rFonts w:ascii="Times New Roman" w:hAnsi="Times New Roman" w:cs="Times New Roman"/>
          <w:sz w:val="22"/>
          <w:szCs w:val="22"/>
        </w:rPr>
        <w:t>2018</w:t>
      </w:r>
      <w:r w:rsidRPr="00BE1BCC">
        <w:rPr>
          <w:rFonts w:ascii="Times New Roman" w:hAnsi="Times New Roman" w:cs="Times New Roman"/>
          <w:sz w:val="22"/>
          <w:szCs w:val="22"/>
        </w:rPr>
        <w:t>.IW</w:t>
      </w:r>
    </w:p>
    <w:p w:rsidR="005115EC" w:rsidRPr="00BE1BCC" w:rsidRDefault="005115EC" w:rsidP="005115EC">
      <w:pPr>
        <w:pStyle w:val="Nagwek2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 xml:space="preserve">Prezydenta Miasta Torunia z dnia </w:t>
      </w:r>
      <w:r w:rsidR="007A11C4">
        <w:rPr>
          <w:rFonts w:ascii="Times New Roman" w:hAnsi="Times New Roman" w:cs="Times New Roman"/>
          <w:sz w:val="22"/>
          <w:szCs w:val="22"/>
        </w:rPr>
        <w:t>20</w:t>
      </w:r>
      <w:r w:rsidRPr="00BE1BCC">
        <w:rPr>
          <w:rFonts w:ascii="Times New Roman" w:hAnsi="Times New Roman" w:cs="Times New Roman"/>
          <w:sz w:val="22"/>
          <w:szCs w:val="22"/>
        </w:rPr>
        <w:t xml:space="preserve"> </w:t>
      </w:r>
      <w:r w:rsidR="006B3D0F">
        <w:rPr>
          <w:rFonts w:ascii="Times New Roman" w:hAnsi="Times New Roman" w:cs="Times New Roman"/>
          <w:sz w:val="22"/>
          <w:szCs w:val="22"/>
        </w:rPr>
        <w:t>października</w:t>
      </w:r>
      <w:r w:rsidRPr="00BE1BCC">
        <w:rPr>
          <w:rFonts w:ascii="Times New Roman" w:hAnsi="Times New Roman" w:cs="Times New Roman"/>
          <w:sz w:val="22"/>
          <w:szCs w:val="22"/>
        </w:rPr>
        <w:t xml:space="preserve"> 20</w:t>
      </w:r>
      <w:r w:rsidR="00BE1BCC" w:rsidRPr="00BE1BCC">
        <w:rPr>
          <w:rFonts w:ascii="Times New Roman" w:hAnsi="Times New Roman" w:cs="Times New Roman"/>
          <w:sz w:val="22"/>
          <w:szCs w:val="22"/>
        </w:rPr>
        <w:t>2</w:t>
      </w:r>
      <w:r w:rsidR="006B3D0F">
        <w:rPr>
          <w:rFonts w:ascii="Times New Roman" w:hAnsi="Times New Roman" w:cs="Times New Roman"/>
          <w:sz w:val="22"/>
          <w:szCs w:val="22"/>
        </w:rPr>
        <w:t>3</w:t>
      </w:r>
      <w:r w:rsidRPr="00BE1BCC">
        <w:rPr>
          <w:rFonts w:ascii="Times New Roman" w:hAnsi="Times New Roman" w:cs="Times New Roman"/>
          <w:sz w:val="22"/>
          <w:szCs w:val="22"/>
        </w:rPr>
        <w:t xml:space="preserve"> roku</w:t>
      </w:r>
    </w:p>
    <w:p w:rsidR="005115EC" w:rsidRPr="00BE1BCC" w:rsidRDefault="005115EC" w:rsidP="005115EC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w sprawie podania do publicznej wiadomości wykazu nieruchomości stanowiących własność Gminy Miasta Toruń, przeznaczonych do sprzedaży.</w:t>
      </w:r>
    </w:p>
    <w:p w:rsidR="005115EC" w:rsidRPr="00BE1BCC" w:rsidRDefault="005115EC" w:rsidP="005115EC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115EC" w:rsidRPr="00BE1BCC" w:rsidRDefault="005115EC" w:rsidP="006B3D0F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Na podstawie:</w:t>
      </w:r>
    </w:p>
    <w:p w:rsidR="005115EC" w:rsidRPr="00BE1BCC" w:rsidRDefault="005115EC" w:rsidP="006B3D0F">
      <w:pPr>
        <w:pStyle w:val="Tekstpodstawowy"/>
        <w:spacing w:line="240" w:lineRule="auto"/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 xml:space="preserve">art. 35 ust. 1 i 2 ustawy z dnia 21 sierpnia 1997 roku o gospodarce nieruchomościami (Dz. U. z  </w:t>
      </w:r>
      <w:r w:rsidR="00BE1BCC" w:rsidRPr="00BE1BCC">
        <w:rPr>
          <w:rFonts w:ascii="Times New Roman" w:hAnsi="Times New Roman" w:cs="Times New Roman"/>
          <w:sz w:val="22"/>
          <w:szCs w:val="22"/>
        </w:rPr>
        <w:t>202</w:t>
      </w:r>
      <w:r w:rsidR="006B3D0F">
        <w:rPr>
          <w:rFonts w:ascii="Times New Roman" w:hAnsi="Times New Roman" w:cs="Times New Roman"/>
          <w:sz w:val="22"/>
          <w:szCs w:val="22"/>
        </w:rPr>
        <w:t>3</w:t>
      </w:r>
      <w:r w:rsidRPr="00BE1BCC">
        <w:rPr>
          <w:rFonts w:ascii="Times New Roman" w:hAnsi="Times New Roman" w:cs="Times New Roman"/>
          <w:sz w:val="22"/>
          <w:szCs w:val="22"/>
        </w:rPr>
        <w:t xml:space="preserve"> r. poz. </w:t>
      </w:r>
      <w:r w:rsidR="006B3D0F">
        <w:rPr>
          <w:rFonts w:ascii="Times New Roman" w:hAnsi="Times New Roman" w:cs="Times New Roman"/>
          <w:sz w:val="22"/>
          <w:szCs w:val="22"/>
        </w:rPr>
        <w:t>344</w:t>
      </w:r>
      <w:r w:rsidRPr="00BE1BCC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BE1BC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E1BCC">
        <w:rPr>
          <w:rFonts w:ascii="Times New Roman" w:hAnsi="Times New Roman" w:cs="Times New Roman"/>
          <w:sz w:val="22"/>
          <w:szCs w:val="22"/>
        </w:rPr>
        <w:t xml:space="preserve">. zmianami) </w:t>
      </w:r>
    </w:p>
    <w:p w:rsidR="005115EC" w:rsidRPr="00BE1BCC" w:rsidRDefault="005115EC" w:rsidP="005115EC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1BCC">
        <w:rPr>
          <w:rFonts w:ascii="Times New Roman" w:eastAsia="Liberation Serif" w:hAnsi="Times New Roman" w:cs="Times New Roman"/>
          <w:sz w:val="22"/>
          <w:szCs w:val="22"/>
        </w:rPr>
        <w:t xml:space="preserve"> </w:t>
      </w:r>
      <w:r w:rsidRPr="00BE1BCC">
        <w:rPr>
          <w:rFonts w:ascii="Times New Roman" w:hAnsi="Times New Roman" w:cs="Times New Roman"/>
          <w:b/>
          <w:bCs/>
          <w:sz w:val="22"/>
          <w:szCs w:val="22"/>
        </w:rPr>
        <w:t>Prezydent Miasta Torunia</w:t>
      </w:r>
    </w:p>
    <w:p w:rsidR="005115EC" w:rsidRPr="00BE1BCC" w:rsidRDefault="005115EC" w:rsidP="005115E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1BCC">
        <w:rPr>
          <w:rFonts w:ascii="Times New Roman" w:hAnsi="Times New Roman" w:cs="Times New Roman"/>
          <w:b/>
          <w:sz w:val="22"/>
          <w:szCs w:val="22"/>
        </w:rPr>
        <w:t>podaje do publicznej wiadomości wykaz nieruchomości stanowiących własność Gminy Miasta Toruń, przeznaczonych do sprzedaży</w:t>
      </w:r>
    </w:p>
    <w:p w:rsidR="005115EC" w:rsidRPr="00BE1BCC" w:rsidRDefault="005115EC" w:rsidP="005115E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23" w:type="dxa"/>
        <w:tblInd w:w="-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1559"/>
        <w:gridCol w:w="1643"/>
      </w:tblGrid>
      <w:tr w:rsidR="005115EC" w:rsidRPr="00BE1BCC" w:rsidTr="00F60122">
        <w:trPr>
          <w:cantSplit/>
          <w:trHeight w:val="52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Oznaczenie nieruchomości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>Opis lokalu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Przeznaczenie w </w:t>
            </w:r>
            <w:proofErr w:type="spellStart"/>
            <w:r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>mpzp</w:t>
            </w:r>
            <w:proofErr w:type="spellEnd"/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>Cena wywoławcza</w:t>
            </w:r>
          </w:p>
        </w:tc>
      </w:tr>
      <w:tr w:rsidR="005115EC" w:rsidRPr="00BE1BCC" w:rsidTr="00F60122">
        <w:trPr>
          <w:cantSplit/>
          <w:trHeight w:val="1624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>ul. Mickiewicza 89 działk</w:t>
            </w:r>
            <w:r w:rsidR="00BE1BCC" w:rsidRPr="00BE1BC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 geod. nr 371, 373, 374 o łącznej  pow. 0,1263 ha, </w:t>
            </w:r>
          </w:p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>KW Nr TO1T/00009592/9</w:t>
            </w:r>
          </w:p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115EC" w:rsidRPr="00BE1BCC" w:rsidRDefault="005115EC" w:rsidP="00BE1BC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lokal niemieszkalny nr </w:t>
            </w:r>
            <w:r w:rsidR="00BE1BCC"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 </w:t>
            </w:r>
            <w:r w:rsidR="00BE1BCC"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>funkcji gospodarczej</w:t>
            </w:r>
            <w:r w:rsidR="00BE1BCC"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  o </w:t>
            </w: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pow. </w:t>
            </w:r>
            <w:r w:rsidR="00BE1BCC" w:rsidRPr="00BE1BCC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E1BCC" w:rsidRPr="00BE1BCC">
              <w:rPr>
                <w:rFonts w:ascii="Times New Roman" w:hAnsi="Times New Roman" w:cs="Times New Roman"/>
                <w:sz w:val="22"/>
                <w:szCs w:val="22"/>
              </w:rPr>
              <w:t>72 m</w:t>
            </w:r>
            <w:r w:rsidR="00BE1BCC" w:rsidRPr="00BE1B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5115EC" w:rsidRPr="00BE1BCC" w:rsidRDefault="00BE1BCC" w:rsidP="00BE1BCC">
            <w:pPr>
              <w:pStyle w:val="Tekstpodstawowywcity2"/>
              <w:tabs>
                <w:tab w:val="left" w:pos="142"/>
                <w:tab w:val="decimal" w:pos="4820"/>
                <w:tab w:val="decimal" w:pos="6096"/>
                <w:tab w:val="decimal" w:pos="82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>usytuowany w piwnicy (suterenie) budynku mieszkalnego frontowego. Składa się z trzech pomieszczeń, do lokalu przynależy pomieszczenie gospodarcze o powierzchni 1,71 m</w:t>
            </w:r>
            <w:r w:rsidRPr="00BE1B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 usytuowane odrębnie w piwnicy. Powierzchnia lokalu wraz z pomieszczeniem przynależnym wynosi 43,30 m</w:t>
            </w:r>
            <w:r w:rsidRPr="00BE1B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5115EC"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Lokal posiada instalację </w:t>
            </w: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>elektryczną, wodno-kanalizacyjną, ogrzewanie piecowe, w lokalu brak instalacji gazowej, instalacje są stare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Okna w lokalu od strony podwórka.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>brak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115EC" w:rsidRPr="00BE1BCC" w:rsidRDefault="006B3D0F" w:rsidP="00F60122">
            <w:pPr>
              <w:pStyle w:val="Tekstpodstawowy"/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5115EC"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.000,- zł, </w:t>
            </w:r>
          </w:p>
        </w:tc>
      </w:tr>
    </w:tbl>
    <w:p w:rsidR="006B3D0F" w:rsidRDefault="005115EC" w:rsidP="00152124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3D0F">
        <w:rPr>
          <w:rFonts w:ascii="Times New Roman" w:hAnsi="Times New Roman" w:cs="Times New Roman"/>
          <w:sz w:val="22"/>
          <w:szCs w:val="22"/>
        </w:rPr>
        <w:t xml:space="preserve">Proponowany do sprzedaży lokal usytuowany jest </w:t>
      </w:r>
      <w:r w:rsidR="00BE1BCC" w:rsidRPr="006B3D0F">
        <w:rPr>
          <w:rFonts w:ascii="Times New Roman" w:hAnsi="Times New Roman" w:cs="Times New Roman"/>
          <w:sz w:val="22"/>
          <w:szCs w:val="22"/>
        </w:rPr>
        <w:t>w suterenie</w:t>
      </w:r>
      <w:r w:rsidRPr="006B3D0F">
        <w:rPr>
          <w:rFonts w:ascii="Times New Roman" w:hAnsi="Times New Roman" w:cs="Times New Roman"/>
          <w:sz w:val="22"/>
          <w:szCs w:val="22"/>
        </w:rPr>
        <w:t xml:space="preserve"> budynku  mieszkalnego wielorodzinnego położonego przy ul. Mickiewicza 89 na „Bydgoskim Przedmieściu”. Budynek frontowy wraz z oficyną zostały wybudowane ok. 1905r. w technologii tradycyjnej. Budynek</w:t>
      </w:r>
      <w:r w:rsidR="00BE1BCC" w:rsidRPr="006B3D0F">
        <w:rPr>
          <w:rFonts w:ascii="Times New Roman" w:hAnsi="Times New Roman" w:cs="Times New Roman"/>
          <w:sz w:val="22"/>
          <w:szCs w:val="22"/>
        </w:rPr>
        <w:br/>
      </w:r>
      <w:r w:rsidRPr="006B3D0F">
        <w:rPr>
          <w:rFonts w:ascii="Times New Roman" w:hAnsi="Times New Roman" w:cs="Times New Roman"/>
          <w:sz w:val="22"/>
          <w:szCs w:val="22"/>
        </w:rPr>
        <w:t xml:space="preserve">w części od strony ul. Mickiewicza jest to obiekt  czterokondygnacyjny z poddaszem, od strony podwórza dwukondygnacyjny (oficyna). Budynek jest posadowiony na nieruchomości stanowiącej działki geod. nr 371, 373 i 374 o łącznej powierzchni 0,1263 ha. Całkowita powierzchnia użytkowa budynku wynosi </w:t>
      </w:r>
      <w:r w:rsidR="00665EB7" w:rsidRPr="006B3D0F">
        <w:rPr>
          <w:rFonts w:ascii="Times New Roman" w:hAnsi="Times New Roman" w:cs="Times New Roman"/>
          <w:sz w:val="22"/>
          <w:szCs w:val="22"/>
        </w:rPr>
        <w:t>1430</w:t>
      </w:r>
      <w:r w:rsidRPr="006B3D0F">
        <w:rPr>
          <w:rFonts w:ascii="Times New Roman" w:hAnsi="Times New Roman" w:cs="Times New Roman"/>
          <w:sz w:val="22"/>
          <w:szCs w:val="22"/>
        </w:rPr>
        <w:t>,</w:t>
      </w:r>
      <w:r w:rsidR="00665EB7" w:rsidRPr="006B3D0F">
        <w:rPr>
          <w:rFonts w:ascii="Times New Roman" w:hAnsi="Times New Roman" w:cs="Times New Roman"/>
          <w:sz w:val="22"/>
          <w:szCs w:val="22"/>
        </w:rPr>
        <w:t>76</w:t>
      </w:r>
      <w:r w:rsidRPr="006B3D0F">
        <w:rPr>
          <w:rFonts w:ascii="Times New Roman" w:hAnsi="Times New Roman" w:cs="Times New Roman"/>
          <w:sz w:val="22"/>
          <w:szCs w:val="22"/>
        </w:rPr>
        <w:t xml:space="preserve"> m</w:t>
      </w:r>
      <w:r w:rsidRPr="006B3D0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6B3D0F">
        <w:rPr>
          <w:rFonts w:ascii="Times New Roman" w:hAnsi="Times New Roman" w:cs="Times New Roman"/>
          <w:sz w:val="22"/>
          <w:szCs w:val="22"/>
        </w:rPr>
        <w:t>.</w:t>
      </w:r>
      <w:r w:rsidRPr="006B3D0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6B3D0F">
        <w:rPr>
          <w:rFonts w:ascii="Times New Roman" w:hAnsi="Times New Roman" w:cs="Times New Roman"/>
          <w:sz w:val="22"/>
          <w:szCs w:val="22"/>
        </w:rPr>
        <w:t xml:space="preserve">W jego skład wchodzi </w:t>
      </w:r>
      <w:r w:rsidR="00665EB7" w:rsidRPr="006B3D0F">
        <w:rPr>
          <w:rFonts w:ascii="Times New Roman" w:hAnsi="Times New Roman" w:cs="Times New Roman"/>
          <w:sz w:val="22"/>
          <w:szCs w:val="22"/>
        </w:rPr>
        <w:t>14</w:t>
      </w:r>
      <w:r w:rsidRPr="006B3D0F">
        <w:rPr>
          <w:rFonts w:ascii="Times New Roman" w:hAnsi="Times New Roman" w:cs="Times New Roman"/>
          <w:sz w:val="22"/>
          <w:szCs w:val="22"/>
        </w:rPr>
        <w:t xml:space="preserve"> lokali mieszkalnych</w:t>
      </w:r>
      <w:r w:rsidR="00665EB7" w:rsidRPr="006B3D0F">
        <w:rPr>
          <w:rFonts w:ascii="Times New Roman" w:hAnsi="Times New Roman" w:cs="Times New Roman"/>
          <w:sz w:val="22"/>
          <w:szCs w:val="22"/>
        </w:rPr>
        <w:t>,</w:t>
      </w:r>
      <w:r w:rsidRPr="006B3D0F">
        <w:rPr>
          <w:rFonts w:ascii="Times New Roman" w:hAnsi="Times New Roman" w:cs="Times New Roman"/>
          <w:sz w:val="22"/>
          <w:szCs w:val="22"/>
        </w:rPr>
        <w:t xml:space="preserve"> 2 użytkowe</w:t>
      </w:r>
      <w:r w:rsidR="00665EB7" w:rsidRPr="006B3D0F">
        <w:rPr>
          <w:rFonts w:ascii="Times New Roman" w:hAnsi="Times New Roman" w:cs="Times New Roman"/>
          <w:sz w:val="22"/>
          <w:szCs w:val="22"/>
        </w:rPr>
        <w:t xml:space="preserve"> i 3 lokale niemieszkalne.</w:t>
      </w:r>
      <w:r w:rsidRPr="006B3D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15EC" w:rsidRPr="006B3D0F" w:rsidRDefault="005115EC" w:rsidP="00152124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3D0F">
        <w:rPr>
          <w:rFonts w:ascii="Times New Roman" w:hAnsi="Times New Roman" w:cs="Times New Roman"/>
          <w:sz w:val="22"/>
          <w:szCs w:val="22"/>
        </w:rPr>
        <w:t xml:space="preserve">Nieruchomość jest usytuowana na terenie, dla którego brak jest miejscowego planu zagospodarowania przestrzennego. Zgodnie ze studium uwarunkowań i kierunków zagospodarowania przestrzennego miasta, zatwierdzonym uchwałą Rady Miasta Torunia Nr 805/18 z dnia 25 stycznia 2018r. roku,  lokal jest położony w budynku usytuowanym na obszarze zabudowy mieszkaniowej wielorodzinnej. Budynek należy do zabudowy Bydgoskiego Przedmieścia wpisanego do rejestru zabytków decyzją nr A/1596 Kujawsko-Pomorskiego Wojewódzkiego Konserwatora Zabytków z dnia 25 lipca 2011r. Wszelkie prace przy budynku dotyczące bryły, elewacji, dachu, stolarki okiennej i drzwiowej, w tym, kolorystyki, a także wokół budynku należy uzgadniać z Miejskim Konserwatorem Zabytków. </w:t>
      </w:r>
    </w:p>
    <w:p w:rsidR="005115EC" w:rsidRPr="00BE1BCC" w:rsidRDefault="005115EC" w:rsidP="009E29F7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 xml:space="preserve">Lokal uzyskał status lokalu samodzielnego. Wraz z lokalem zbyty zostanie udział w częściach wspólnych nieruchomości określony ułamkiem </w:t>
      </w:r>
      <w:r w:rsidR="00BE1BCC">
        <w:rPr>
          <w:rFonts w:ascii="Times New Roman" w:hAnsi="Times New Roman" w:cs="Times New Roman"/>
          <w:sz w:val="22"/>
          <w:szCs w:val="22"/>
        </w:rPr>
        <w:t>4343</w:t>
      </w:r>
      <w:r w:rsidRPr="00BE1BCC">
        <w:rPr>
          <w:rFonts w:ascii="Times New Roman" w:hAnsi="Times New Roman" w:cs="Times New Roman"/>
          <w:sz w:val="22"/>
          <w:szCs w:val="22"/>
        </w:rPr>
        <w:t>/</w:t>
      </w:r>
      <w:r w:rsidR="00BE1BCC">
        <w:rPr>
          <w:rFonts w:ascii="Times New Roman" w:hAnsi="Times New Roman" w:cs="Times New Roman"/>
          <w:sz w:val="22"/>
          <w:szCs w:val="22"/>
        </w:rPr>
        <w:t>143076</w:t>
      </w:r>
      <w:r w:rsidRPr="00BE1BCC">
        <w:rPr>
          <w:rFonts w:ascii="Times New Roman" w:hAnsi="Times New Roman" w:cs="Times New Roman"/>
          <w:sz w:val="22"/>
          <w:szCs w:val="22"/>
        </w:rPr>
        <w:t xml:space="preserve"> części w prawie własności gruntu oraz we współwłasności części wspólnych budynku i urządzeń, które nie służą  wyłącznie do użytku właścicieli lokali. </w:t>
      </w:r>
    </w:p>
    <w:p w:rsidR="005115EC" w:rsidRPr="00BE1BCC" w:rsidRDefault="005115EC" w:rsidP="009E29F7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lastRenderedPageBreak/>
        <w:t xml:space="preserve">Prezydent Miasta Torunia zawiadamia poprzednich właścicieli zbywanej nieruchomości przejętej przed 5 grudnia 1990 r. lub jej spadkobierców oraz osoby, którym przysługuje roszczenie  o nabycie nieruchomości na podstawie przepisów ustaw, o przysługującym im pierwszeństwie w nabyciu tej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</w:t>
      </w:r>
    </w:p>
    <w:p w:rsidR="005115EC" w:rsidRPr="00BE1BCC" w:rsidRDefault="005115EC" w:rsidP="009E29F7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Prawo to nie przysługuje w stosunku do nieruchomości, o których mowa w art. 216 a ustawy</w:t>
      </w:r>
      <w:r w:rsidRPr="00BE1BCC">
        <w:rPr>
          <w:rFonts w:ascii="Times New Roman" w:hAnsi="Times New Roman" w:cs="Times New Roman"/>
          <w:sz w:val="22"/>
          <w:szCs w:val="22"/>
        </w:rPr>
        <w:br/>
        <w:t>o gospodarce nieruchomościami.</w:t>
      </w:r>
    </w:p>
    <w:p w:rsidR="005115EC" w:rsidRPr="00BE1BCC" w:rsidRDefault="005115EC" w:rsidP="009E29F7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 xml:space="preserve">Wykaz wywiesza się na okres 21 dni tj. od dnia </w:t>
      </w:r>
      <w:r w:rsidR="006B3D0F">
        <w:rPr>
          <w:rFonts w:ascii="Times New Roman" w:hAnsi="Times New Roman" w:cs="Times New Roman"/>
          <w:sz w:val="22"/>
          <w:szCs w:val="22"/>
        </w:rPr>
        <w:t>24</w:t>
      </w:r>
      <w:r w:rsidRPr="00BE1BCC">
        <w:rPr>
          <w:rFonts w:ascii="Times New Roman" w:hAnsi="Times New Roman" w:cs="Times New Roman"/>
          <w:sz w:val="22"/>
          <w:szCs w:val="22"/>
        </w:rPr>
        <w:t xml:space="preserve"> </w:t>
      </w:r>
      <w:r w:rsidR="006B3D0F">
        <w:rPr>
          <w:rFonts w:ascii="Times New Roman" w:hAnsi="Times New Roman" w:cs="Times New Roman"/>
          <w:sz w:val="22"/>
          <w:szCs w:val="22"/>
        </w:rPr>
        <w:t>października</w:t>
      </w:r>
      <w:r w:rsidRPr="00BE1BCC">
        <w:rPr>
          <w:rFonts w:ascii="Times New Roman" w:hAnsi="Times New Roman" w:cs="Times New Roman"/>
          <w:sz w:val="22"/>
          <w:szCs w:val="22"/>
        </w:rPr>
        <w:t xml:space="preserve"> 20</w:t>
      </w:r>
      <w:r w:rsidR="00BE1BCC">
        <w:rPr>
          <w:rFonts w:ascii="Times New Roman" w:hAnsi="Times New Roman" w:cs="Times New Roman"/>
          <w:sz w:val="22"/>
          <w:szCs w:val="22"/>
        </w:rPr>
        <w:t>2</w:t>
      </w:r>
      <w:r w:rsidR="006B3D0F">
        <w:rPr>
          <w:rFonts w:ascii="Times New Roman" w:hAnsi="Times New Roman" w:cs="Times New Roman"/>
          <w:sz w:val="22"/>
          <w:szCs w:val="22"/>
        </w:rPr>
        <w:t>3</w:t>
      </w:r>
      <w:r w:rsidRPr="00BE1BCC">
        <w:rPr>
          <w:rFonts w:ascii="Times New Roman" w:hAnsi="Times New Roman" w:cs="Times New Roman"/>
          <w:sz w:val="22"/>
          <w:szCs w:val="22"/>
        </w:rPr>
        <w:t xml:space="preserve">r. do </w:t>
      </w:r>
      <w:r w:rsidR="006B3D0F">
        <w:rPr>
          <w:rFonts w:ascii="Times New Roman" w:hAnsi="Times New Roman" w:cs="Times New Roman"/>
          <w:sz w:val="22"/>
          <w:szCs w:val="22"/>
        </w:rPr>
        <w:t>14</w:t>
      </w:r>
      <w:r w:rsidRPr="00BE1BCC">
        <w:rPr>
          <w:rFonts w:ascii="Times New Roman" w:hAnsi="Times New Roman" w:cs="Times New Roman"/>
          <w:sz w:val="22"/>
          <w:szCs w:val="22"/>
        </w:rPr>
        <w:t xml:space="preserve"> </w:t>
      </w:r>
      <w:r w:rsidR="006B3D0F">
        <w:rPr>
          <w:rFonts w:ascii="Times New Roman" w:hAnsi="Times New Roman" w:cs="Times New Roman"/>
          <w:sz w:val="22"/>
          <w:szCs w:val="22"/>
        </w:rPr>
        <w:t>listopada</w:t>
      </w:r>
      <w:r w:rsidRPr="00BE1BCC">
        <w:rPr>
          <w:rFonts w:ascii="Times New Roman" w:hAnsi="Times New Roman" w:cs="Times New Roman"/>
          <w:sz w:val="22"/>
          <w:szCs w:val="22"/>
        </w:rPr>
        <w:t xml:space="preserve"> 20</w:t>
      </w:r>
      <w:r w:rsidR="009E29F7">
        <w:rPr>
          <w:rFonts w:ascii="Times New Roman" w:hAnsi="Times New Roman" w:cs="Times New Roman"/>
          <w:sz w:val="22"/>
          <w:szCs w:val="22"/>
        </w:rPr>
        <w:t>2</w:t>
      </w:r>
      <w:r w:rsidR="006B3D0F">
        <w:rPr>
          <w:rFonts w:ascii="Times New Roman" w:hAnsi="Times New Roman" w:cs="Times New Roman"/>
          <w:sz w:val="22"/>
          <w:szCs w:val="22"/>
        </w:rPr>
        <w:t>3</w:t>
      </w:r>
      <w:r w:rsidRPr="00BE1BCC">
        <w:rPr>
          <w:rFonts w:ascii="Times New Roman" w:hAnsi="Times New Roman" w:cs="Times New Roman"/>
          <w:sz w:val="22"/>
          <w:szCs w:val="22"/>
        </w:rPr>
        <w:t>r.</w:t>
      </w:r>
    </w:p>
    <w:p w:rsidR="005115EC" w:rsidRPr="00BE1BCC" w:rsidRDefault="005115EC" w:rsidP="009E29F7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Po upływie terminów, o których mowa w wykazie, ogłoszony zostanie przetarg na sprzedaż przedmiotowej nieruchomości.</w:t>
      </w:r>
    </w:p>
    <w:p w:rsidR="005115EC" w:rsidRPr="00BE1BCC" w:rsidRDefault="005115EC" w:rsidP="009E29F7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Obwieszczenie wchodzi w życie z dniem ogłoszenia.</w:t>
      </w:r>
    </w:p>
    <w:p w:rsidR="005115EC" w:rsidRPr="00BE1BCC" w:rsidRDefault="005115EC" w:rsidP="005115EC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115EC" w:rsidRPr="00BE1BCC" w:rsidRDefault="005115EC" w:rsidP="005115EC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eastAsia="Liberation Serif" w:hAnsi="Times New Roman" w:cs="Times New Roman"/>
          <w:sz w:val="22"/>
          <w:szCs w:val="22"/>
        </w:rPr>
        <w:t xml:space="preserve"> </w:t>
      </w:r>
    </w:p>
    <w:p w:rsidR="005115EC" w:rsidRPr="00BE1BCC" w:rsidRDefault="005115EC" w:rsidP="005115EC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IW</w:t>
      </w:r>
    </w:p>
    <w:p w:rsidR="00E6657C" w:rsidRDefault="006B3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Wywieszono 24.10.2023r.</w:t>
      </w:r>
    </w:p>
    <w:p w:rsidR="006B3D0F" w:rsidRPr="006B3D0F" w:rsidRDefault="006B3D0F" w:rsidP="006B3D0F">
      <w:pPr>
        <w:ind w:firstLine="5954"/>
        <w:rPr>
          <w:rFonts w:ascii="Times New Roman" w:hAnsi="Times New Roman" w:cs="Times New Roman"/>
          <w:sz w:val="22"/>
          <w:szCs w:val="22"/>
        </w:rPr>
      </w:pPr>
      <w:r w:rsidRPr="006B3D0F">
        <w:rPr>
          <w:rFonts w:ascii="Times New Roman" w:hAnsi="Times New Roman" w:cs="Times New Roman"/>
          <w:sz w:val="22"/>
          <w:szCs w:val="22"/>
        </w:rPr>
        <w:t>(-) Kamila Popiela</w:t>
      </w:r>
    </w:p>
    <w:p w:rsidR="006B3D0F" w:rsidRDefault="006B3D0F" w:rsidP="006B3D0F">
      <w:pPr>
        <w:ind w:firstLine="59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6B3D0F">
        <w:rPr>
          <w:rFonts w:ascii="Times New Roman" w:hAnsi="Times New Roman" w:cs="Times New Roman"/>
          <w:sz w:val="22"/>
          <w:szCs w:val="22"/>
        </w:rPr>
        <w:t xml:space="preserve">Dyrektor </w:t>
      </w:r>
    </w:p>
    <w:p w:rsidR="006B3D0F" w:rsidRPr="006B3D0F" w:rsidRDefault="006B3D0F" w:rsidP="006B3D0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bookmarkStart w:id="0" w:name="_GoBack"/>
      <w:bookmarkEnd w:id="0"/>
      <w:r w:rsidRPr="006B3D0F">
        <w:rPr>
          <w:rFonts w:ascii="Times New Roman" w:hAnsi="Times New Roman" w:cs="Times New Roman"/>
          <w:sz w:val="22"/>
          <w:szCs w:val="22"/>
        </w:rPr>
        <w:t>Wydziału Gospodarki Nieruchomościami</w:t>
      </w:r>
    </w:p>
    <w:p w:rsidR="006B3D0F" w:rsidRPr="006B3D0F" w:rsidRDefault="006B3D0F">
      <w:pPr>
        <w:ind w:firstLine="5954"/>
        <w:rPr>
          <w:rFonts w:ascii="Times New Roman" w:hAnsi="Times New Roman" w:cs="Times New Roman"/>
          <w:sz w:val="22"/>
          <w:szCs w:val="22"/>
        </w:rPr>
      </w:pPr>
    </w:p>
    <w:sectPr w:rsidR="006B3D0F" w:rsidRPr="006B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3B2284"/>
    <w:multiLevelType w:val="hybridMultilevel"/>
    <w:tmpl w:val="D19E1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C2"/>
    <w:rsid w:val="002C19D8"/>
    <w:rsid w:val="005115EC"/>
    <w:rsid w:val="00665EB7"/>
    <w:rsid w:val="006B3D0F"/>
    <w:rsid w:val="007A11C4"/>
    <w:rsid w:val="008C67C2"/>
    <w:rsid w:val="009E29F7"/>
    <w:rsid w:val="00BE1BCC"/>
    <w:rsid w:val="00E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F59A"/>
  <w15:chartTrackingRefBased/>
  <w15:docId w15:val="{491ED5EF-5A22-4CE1-BB52-5AB7D423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5E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5115EC"/>
    <w:pPr>
      <w:keepNext/>
      <w:numPr>
        <w:numId w:val="2"/>
      </w:numPr>
      <w:jc w:val="center"/>
      <w:outlineLvl w:val="0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5115EC"/>
    <w:pPr>
      <w:keepNext/>
      <w:numPr>
        <w:ilvl w:val="1"/>
        <w:numId w:val="2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15EC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5115EC"/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5115E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115EC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115EC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15E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15E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EB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B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C0EF-D127-461E-A621-726FD49F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7</cp:revision>
  <cp:lastPrinted>2023-10-20T07:47:00Z</cp:lastPrinted>
  <dcterms:created xsi:type="dcterms:W3CDTF">2022-09-16T09:56:00Z</dcterms:created>
  <dcterms:modified xsi:type="dcterms:W3CDTF">2023-10-20T07:51:00Z</dcterms:modified>
</cp:coreProperties>
</file>