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F" w:rsidRDefault="00D42E7F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240EBE" w:rsidRPr="007E4EB3" w:rsidRDefault="00240EBE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2E7F" w:rsidRPr="007E4EB3" w:rsidRDefault="00D42E7F" w:rsidP="00D42E7F">
      <w:pPr>
        <w:jc w:val="center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Nr WGN.6840.1.</w:t>
      </w:r>
      <w:r w:rsidR="00146BF7" w:rsidRPr="007E4EB3">
        <w:rPr>
          <w:rFonts w:ascii="Times New Roman" w:hAnsi="Times New Roman" w:cs="Times New Roman"/>
          <w:sz w:val="20"/>
          <w:szCs w:val="20"/>
        </w:rPr>
        <w:t>6</w:t>
      </w:r>
      <w:r w:rsidRPr="007E4EB3">
        <w:rPr>
          <w:rFonts w:ascii="Times New Roman" w:hAnsi="Times New Roman" w:cs="Times New Roman"/>
          <w:sz w:val="20"/>
          <w:szCs w:val="20"/>
        </w:rPr>
        <w:t>.202</w:t>
      </w:r>
      <w:r w:rsidR="00146BF7" w:rsidRPr="007E4EB3">
        <w:rPr>
          <w:rFonts w:ascii="Times New Roman" w:hAnsi="Times New Roman" w:cs="Times New Roman"/>
          <w:sz w:val="20"/>
          <w:szCs w:val="20"/>
        </w:rPr>
        <w:t>1</w:t>
      </w:r>
      <w:r w:rsidRPr="007E4EB3">
        <w:rPr>
          <w:rFonts w:ascii="Times New Roman" w:hAnsi="Times New Roman" w:cs="Times New Roman"/>
          <w:sz w:val="20"/>
          <w:szCs w:val="20"/>
        </w:rPr>
        <w:t>.IW</w:t>
      </w:r>
    </w:p>
    <w:p w:rsidR="00D42E7F" w:rsidRPr="007E4EB3" w:rsidRDefault="00D42E7F" w:rsidP="00D42E7F">
      <w:pPr>
        <w:pStyle w:val="Nagwek2"/>
        <w:rPr>
          <w:sz w:val="20"/>
        </w:rPr>
      </w:pPr>
      <w:r w:rsidRPr="007E4EB3">
        <w:rPr>
          <w:sz w:val="20"/>
        </w:rPr>
        <w:t xml:space="preserve">Prezydenta Miasta Torunia z dnia </w:t>
      </w:r>
      <w:r w:rsidR="00676655">
        <w:rPr>
          <w:sz w:val="20"/>
        </w:rPr>
        <w:t>19 października</w:t>
      </w:r>
      <w:r w:rsidRPr="007E4EB3">
        <w:rPr>
          <w:sz w:val="20"/>
        </w:rPr>
        <w:t xml:space="preserve"> 202</w:t>
      </w:r>
      <w:r w:rsidR="00676655">
        <w:rPr>
          <w:sz w:val="20"/>
        </w:rPr>
        <w:t>3</w:t>
      </w:r>
      <w:r w:rsidRPr="007E4EB3">
        <w:rPr>
          <w:sz w:val="20"/>
        </w:rPr>
        <w:t>r.</w:t>
      </w:r>
    </w:p>
    <w:p w:rsidR="00D42E7F" w:rsidRPr="007E4EB3" w:rsidRDefault="00D42E7F" w:rsidP="00D42E7F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w sprawie podania do publicznej wiadomości wykazu nieruchomości stanowiąc</w:t>
      </w:r>
      <w:r w:rsidR="00146BF7" w:rsidRPr="007E4EB3">
        <w:rPr>
          <w:rFonts w:ascii="Times New Roman" w:hAnsi="Times New Roman" w:cs="Times New Roman"/>
          <w:sz w:val="20"/>
          <w:szCs w:val="20"/>
        </w:rPr>
        <w:t>ych</w:t>
      </w:r>
      <w:r w:rsidRPr="007E4EB3">
        <w:rPr>
          <w:rFonts w:ascii="Times New Roman" w:hAnsi="Times New Roman" w:cs="Times New Roman"/>
          <w:sz w:val="20"/>
          <w:szCs w:val="20"/>
        </w:rPr>
        <w:t xml:space="preserve"> własność Gminy Miasta Toruń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 oraz Skarbu Państwa</w:t>
      </w:r>
      <w:r w:rsidRPr="007E4EB3">
        <w:rPr>
          <w:rFonts w:ascii="Times New Roman" w:hAnsi="Times New Roman" w:cs="Times New Roman"/>
          <w:sz w:val="20"/>
          <w:szCs w:val="20"/>
        </w:rPr>
        <w:t>, przeznaczon</w:t>
      </w:r>
      <w:r w:rsidR="00146BF7" w:rsidRPr="007E4EB3">
        <w:rPr>
          <w:rFonts w:ascii="Times New Roman" w:hAnsi="Times New Roman" w:cs="Times New Roman"/>
          <w:sz w:val="20"/>
          <w:szCs w:val="20"/>
        </w:rPr>
        <w:t>ych</w:t>
      </w:r>
      <w:r w:rsidRPr="007E4EB3">
        <w:rPr>
          <w:rFonts w:ascii="Times New Roman" w:hAnsi="Times New Roman" w:cs="Times New Roman"/>
          <w:sz w:val="20"/>
          <w:szCs w:val="20"/>
        </w:rPr>
        <w:t xml:space="preserve"> do sprzedaży</w:t>
      </w:r>
      <w:r w:rsidR="00146BF7" w:rsidRPr="007E4EB3">
        <w:rPr>
          <w:rFonts w:ascii="Times New Roman" w:hAnsi="Times New Roman" w:cs="Times New Roman"/>
          <w:sz w:val="20"/>
          <w:szCs w:val="20"/>
        </w:rPr>
        <w:t>.</w:t>
      </w:r>
    </w:p>
    <w:p w:rsidR="00D42E7F" w:rsidRPr="007E4EB3" w:rsidRDefault="00D42E7F" w:rsidP="00D42E7F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>Na podstawie:</w:t>
      </w:r>
    </w:p>
    <w:p w:rsidR="00146BF7" w:rsidRPr="007E4EB3" w:rsidRDefault="00D42E7F" w:rsidP="00146BF7">
      <w:pPr>
        <w:pStyle w:val="Tekstpodstaw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4EB3">
        <w:rPr>
          <w:rFonts w:ascii="Times New Roman" w:hAnsi="Times New Roman" w:cs="Times New Roman"/>
          <w:sz w:val="20"/>
          <w:szCs w:val="20"/>
        </w:rPr>
        <w:t xml:space="preserve">art. 35 ust. 1 i 2 ustawy z dnia 21 sierpnia 1997 roku o gospodarce nieruchomościami (Dz. U. z </w:t>
      </w:r>
      <w:r w:rsidR="00676655">
        <w:rPr>
          <w:rFonts w:ascii="Times New Roman" w:hAnsi="Times New Roman" w:cs="Times New Roman"/>
          <w:sz w:val="20"/>
          <w:szCs w:val="20"/>
        </w:rPr>
        <w:t>2023r</w:t>
      </w:r>
      <w:r w:rsidRPr="007E4EB3">
        <w:rPr>
          <w:rFonts w:ascii="Times New Roman" w:hAnsi="Times New Roman" w:cs="Times New Roman"/>
          <w:sz w:val="20"/>
          <w:szCs w:val="20"/>
        </w:rPr>
        <w:t xml:space="preserve">. poz. </w:t>
      </w:r>
      <w:r w:rsidR="00676655">
        <w:rPr>
          <w:rFonts w:ascii="Times New Roman" w:hAnsi="Times New Roman" w:cs="Times New Roman"/>
          <w:sz w:val="20"/>
          <w:szCs w:val="20"/>
        </w:rPr>
        <w:t>344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 ze zm.)</w:t>
      </w:r>
      <w:r w:rsidRPr="007E4EB3">
        <w:rPr>
          <w:rFonts w:ascii="Times New Roman" w:hAnsi="Times New Roman" w:cs="Times New Roman"/>
          <w:sz w:val="20"/>
          <w:szCs w:val="20"/>
        </w:rPr>
        <w:t xml:space="preserve"> </w:t>
      </w:r>
      <w:r w:rsidR="00146BF7" w:rsidRPr="007E4EB3">
        <w:rPr>
          <w:rFonts w:ascii="Times New Roman" w:hAnsi="Times New Roman" w:cs="Times New Roman"/>
          <w:sz w:val="20"/>
          <w:szCs w:val="20"/>
        </w:rPr>
        <w:t>Uchwały Nr 678/21 Rady Miasta Torunia z dnia 22 lipca 2021r. w sprawie sprzedaży nieruchomości stanowiącej własność Gminy Miasta Toruń, położonej pr</w:t>
      </w:r>
      <w:r w:rsidR="00676655">
        <w:rPr>
          <w:rFonts w:ascii="Times New Roman" w:hAnsi="Times New Roman" w:cs="Times New Roman"/>
          <w:sz w:val="20"/>
          <w:szCs w:val="20"/>
        </w:rPr>
        <w:t>zy w Toruniu przy ul. Rybaki 57oraz</w:t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 Zarządzenia Nr 183/2022 Wojewody Kujawsko-Pomorskiego z dnia 13 września 2022r. w sprawie wyrażenia zgody na zbycie,</w:t>
      </w:r>
      <w:r w:rsidR="00240EBE">
        <w:rPr>
          <w:rFonts w:ascii="Times New Roman" w:hAnsi="Times New Roman" w:cs="Times New Roman"/>
          <w:sz w:val="20"/>
          <w:szCs w:val="20"/>
        </w:rPr>
        <w:br/>
      </w:r>
      <w:r w:rsidR="00146BF7" w:rsidRPr="007E4EB3">
        <w:rPr>
          <w:rFonts w:ascii="Times New Roman" w:hAnsi="Times New Roman" w:cs="Times New Roman"/>
          <w:sz w:val="20"/>
          <w:szCs w:val="20"/>
        </w:rPr>
        <w:t xml:space="preserve">w drodze przetargu nieograniczonego nieruchomości stanowiącej własność Skarbu Państwa. </w:t>
      </w:r>
    </w:p>
    <w:p w:rsidR="00D42E7F" w:rsidRPr="00240EBE" w:rsidRDefault="00D42E7F" w:rsidP="00D42E7F">
      <w:pPr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240EBE">
        <w:rPr>
          <w:rFonts w:ascii="Times New Roman" w:hAnsi="Times New Roman" w:cs="Times New Roman"/>
          <w:b/>
          <w:sz w:val="20"/>
          <w:szCs w:val="20"/>
        </w:rPr>
        <w:t>Prezydent Miasta Torunia</w:t>
      </w:r>
    </w:p>
    <w:p w:rsidR="00D42E7F" w:rsidRDefault="00D42E7F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EBE">
        <w:rPr>
          <w:rFonts w:ascii="Times New Roman" w:hAnsi="Times New Roman" w:cs="Times New Roman"/>
          <w:b/>
          <w:sz w:val="20"/>
          <w:szCs w:val="20"/>
        </w:rPr>
        <w:t>podaje do publicznej wiadomośc</w:t>
      </w:r>
      <w:r w:rsidR="00146BF7" w:rsidRPr="00240EBE">
        <w:rPr>
          <w:rFonts w:ascii="Times New Roman" w:hAnsi="Times New Roman" w:cs="Times New Roman"/>
          <w:b/>
          <w:sz w:val="20"/>
          <w:szCs w:val="20"/>
        </w:rPr>
        <w:t>i wykaz nieruchomości stanowiących</w:t>
      </w:r>
      <w:r w:rsidRPr="00240EBE">
        <w:rPr>
          <w:rFonts w:ascii="Times New Roman" w:hAnsi="Times New Roman" w:cs="Times New Roman"/>
          <w:b/>
          <w:sz w:val="20"/>
          <w:szCs w:val="20"/>
        </w:rPr>
        <w:t xml:space="preserve"> własność Gminy Miasta Toruń</w:t>
      </w:r>
      <w:r w:rsidR="00146BF7" w:rsidRPr="00240EBE">
        <w:rPr>
          <w:rFonts w:ascii="Times New Roman" w:hAnsi="Times New Roman" w:cs="Times New Roman"/>
          <w:b/>
          <w:sz w:val="20"/>
          <w:szCs w:val="20"/>
        </w:rPr>
        <w:t xml:space="preserve"> oraz Skarbu Państwa</w:t>
      </w:r>
      <w:r w:rsidRPr="00240EBE">
        <w:rPr>
          <w:rFonts w:ascii="Times New Roman" w:hAnsi="Times New Roman" w:cs="Times New Roman"/>
          <w:b/>
          <w:sz w:val="20"/>
          <w:szCs w:val="20"/>
        </w:rPr>
        <w:t>, przeznaczon</w:t>
      </w:r>
      <w:r w:rsidR="00146BF7" w:rsidRPr="00240EBE">
        <w:rPr>
          <w:rFonts w:ascii="Times New Roman" w:hAnsi="Times New Roman" w:cs="Times New Roman"/>
          <w:b/>
          <w:sz w:val="20"/>
          <w:szCs w:val="20"/>
        </w:rPr>
        <w:t>ych</w:t>
      </w:r>
      <w:r w:rsidRPr="00240EBE">
        <w:rPr>
          <w:rFonts w:ascii="Times New Roman" w:hAnsi="Times New Roman" w:cs="Times New Roman"/>
          <w:b/>
          <w:sz w:val="20"/>
          <w:szCs w:val="20"/>
        </w:rPr>
        <w:t xml:space="preserve"> do sprzedaży</w:t>
      </w:r>
      <w:r w:rsidR="007E4EB3" w:rsidRPr="00240EBE">
        <w:rPr>
          <w:rFonts w:ascii="Times New Roman" w:hAnsi="Times New Roman" w:cs="Times New Roman"/>
          <w:b/>
          <w:sz w:val="20"/>
          <w:szCs w:val="20"/>
        </w:rPr>
        <w:t xml:space="preserve"> jako jedna całość</w:t>
      </w:r>
    </w:p>
    <w:p w:rsidR="00240EBE" w:rsidRPr="00240EBE" w:rsidRDefault="00240EBE" w:rsidP="00D42E7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701"/>
        <w:gridCol w:w="1560"/>
        <w:gridCol w:w="992"/>
        <w:gridCol w:w="2693"/>
      </w:tblGrid>
      <w:tr w:rsidR="00D42E7F" w:rsidRPr="00240EBE" w:rsidTr="00281D49">
        <w:trPr>
          <w:cantSplit/>
          <w:trHeight w:val="8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  <w:r w:rsidR="00DA6176"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/właściciel</w:t>
            </w:r>
          </w:p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KW Nr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Oznacz. geodezyjne/</w:t>
            </w: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obręb/użytek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Pow. gruntu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b/>
                <w:sz w:val="20"/>
                <w:szCs w:val="20"/>
              </w:rPr>
              <w:t>Cena wywoławcza</w:t>
            </w:r>
          </w:p>
        </w:tc>
      </w:tr>
      <w:tr w:rsidR="00D42E7F" w:rsidRPr="00240EBE" w:rsidTr="00240EBE">
        <w:trPr>
          <w:cantSplit/>
          <w:trHeight w:val="29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E7F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A6176" w:rsidP="00281D49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Rybaki 57 / </w:t>
            </w:r>
          </w:p>
          <w:p w:rsidR="00DA6176" w:rsidRPr="00240EBE" w:rsidRDefault="00DA6176" w:rsidP="00281D49">
            <w:pPr>
              <w:pStyle w:val="Tekstpodstawowy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Gmina Miasta Toruń</w:t>
            </w:r>
          </w:p>
          <w:p w:rsidR="00D42E7F" w:rsidRPr="00240EBE" w:rsidRDefault="00D42E7F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Rybaki 57/ </w:t>
            </w:r>
          </w:p>
          <w:p w:rsidR="00DA6176" w:rsidRPr="00240EBE" w:rsidRDefault="00DA6176" w:rsidP="00281D49">
            <w:pPr>
              <w:pStyle w:val="Tekstpodstawowy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Skarb Państwa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F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TO1T/00044534/2</w:t>
            </w: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TO1T/00001253/5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dz. nr   </w:t>
            </w:r>
            <w:r w:rsidR="00DA6176" w:rsidRPr="00240EBE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ob. </w:t>
            </w:r>
            <w:r w:rsidR="00DA6176" w:rsidRPr="00240E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A6176" w:rsidRPr="00240EBE" w:rsidRDefault="00D42E7F" w:rsidP="00DA61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użytek B</w:t>
            </w:r>
            <w:r w:rsidR="00DA6176" w:rsidRPr="00240EB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42E7F" w:rsidRPr="00240EBE" w:rsidRDefault="00D42E7F" w:rsidP="00DA61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A6176"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inne </w:t>
            </w: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tereny </w:t>
            </w:r>
            <w:r w:rsidR="00DA6176"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>zabudowane</w:t>
            </w: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A6176" w:rsidRPr="00240EBE" w:rsidRDefault="00DA6176" w:rsidP="00DA61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3753" w:rsidRPr="00240EBE" w:rsidRDefault="008B3753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dz. nr   230</w:t>
            </w:r>
          </w:p>
          <w:p w:rsidR="00DA6176" w:rsidRPr="00240EBE" w:rsidRDefault="00DA6176" w:rsidP="00DA61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ob. 12</w:t>
            </w:r>
          </w:p>
          <w:p w:rsidR="00DA6176" w:rsidRPr="00240EBE" w:rsidRDefault="00DA6176" w:rsidP="00DA61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użytek Bi</w:t>
            </w: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A6176" w:rsidRPr="00240EBE" w:rsidRDefault="00DA6176" w:rsidP="00DA61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i/>
                <w:sz w:val="20"/>
                <w:szCs w:val="20"/>
              </w:rPr>
              <w:t>(inne tereny zabudowane)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A6176" w:rsidRPr="00240EBE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  <w:p w:rsidR="00D42E7F" w:rsidRPr="00240EBE" w:rsidRDefault="00D42E7F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753" w:rsidRPr="00240EBE" w:rsidRDefault="008B3753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176" w:rsidRPr="00240EBE" w:rsidRDefault="00DA6176" w:rsidP="00281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0,0972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76" w:rsidRPr="00240EBE" w:rsidRDefault="00DA6176" w:rsidP="00DA617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  <w:r w:rsidRPr="00240E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.000,-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 w tym</w:t>
            </w:r>
          </w:p>
          <w:p w:rsidR="00DA6176" w:rsidRPr="00240EBE" w:rsidRDefault="00DA6176" w:rsidP="00DA6176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cena za nieruchomości Gminy Miasta Toruń (działka nr 229) 1.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,- zł</w:t>
            </w:r>
          </w:p>
          <w:p w:rsidR="00DA6176" w:rsidRPr="00240EBE" w:rsidRDefault="00DA6176" w:rsidP="00DA6176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(tj. 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 % ceny wywoławczej)</w:t>
            </w:r>
          </w:p>
          <w:p w:rsidR="008B3753" w:rsidRPr="00240EBE" w:rsidRDefault="008B3753" w:rsidP="008B3753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cena za nieruchomość Skarbu Państwa (działka nr 230) 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,- zł</w:t>
            </w:r>
          </w:p>
          <w:p w:rsidR="00D42E7F" w:rsidRPr="00240EBE" w:rsidRDefault="008B3753" w:rsidP="0067665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(tj. 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6655" w:rsidRPr="00240EB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40EBE">
              <w:rPr>
                <w:rFonts w:ascii="Times New Roman" w:hAnsi="Times New Roman" w:cs="Times New Roman"/>
                <w:sz w:val="20"/>
                <w:szCs w:val="20"/>
              </w:rPr>
              <w:t xml:space="preserve"> % ceny    wywoławczej)</w:t>
            </w:r>
          </w:p>
        </w:tc>
      </w:tr>
    </w:tbl>
    <w:p w:rsidR="00240EBE" w:rsidRDefault="00240EBE" w:rsidP="00240EBE">
      <w:pPr>
        <w:pStyle w:val="Tekstpodstawowywcity2"/>
        <w:tabs>
          <w:tab w:val="decimal" w:pos="0"/>
          <w:tab w:val="decimal" w:pos="8222"/>
        </w:tabs>
        <w:spacing w:line="240" w:lineRule="auto"/>
        <w:ind w:left="360"/>
        <w:jc w:val="both"/>
      </w:pPr>
    </w:p>
    <w:p w:rsid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Wylicytowana cena zostanie rozliczona na cenę </w:t>
      </w:r>
      <w:r>
        <w:t xml:space="preserve">nieruchomości Skarbu Państwa </w:t>
      </w:r>
      <w:r w:rsidRPr="008B3753">
        <w:t>i nieruchomości Gminy Miasta Toruń według proporcji zachodzących między nimi w cenie wywoławczej</w:t>
      </w:r>
      <w:r>
        <w:t xml:space="preserve"> tj. </w:t>
      </w:r>
      <w:r w:rsidRPr="008B3753">
        <w:t>do zapłaty za nieruchomość Skarbu Państwa będzie wartość podana w wysokości netto,  zaś co do nieruchomości gminnej wartość zostanie rozliczona na dwie pozycje: netto (teren zabudowany) wg udziału 6,19 % i brutto w pozostałym udziale 93,81 %.</w:t>
      </w:r>
    </w:p>
    <w:p w:rsidR="008B3753" w:rsidRP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Nieruchomość, o której mowa w </w:t>
      </w:r>
      <w:r>
        <w:t>pkt 2</w:t>
      </w:r>
      <w:r w:rsidRPr="008B3753">
        <w:t xml:space="preserve"> </w:t>
      </w:r>
      <w:r w:rsidRPr="008B3753">
        <w:rPr>
          <w:kern w:val="1"/>
          <w:lang w:bidi="pl-PL"/>
        </w:rPr>
        <w:t>jest zabudowana 4-kondygnacyjnym, podpiwniczonym budynkiem głównym wybudowanym w 1900r. o powierzchni zabudowy 374,10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>, powierzchni użytkowej 1396,10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 xml:space="preserve"> oraz kubaturze 8045,30 m</w:t>
      </w:r>
      <w:r w:rsidRPr="008B3753">
        <w:rPr>
          <w:kern w:val="1"/>
          <w:vertAlign w:val="superscript"/>
          <w:lang w:bidi="pl-PL"/>
        </w:rPr>
        <w:t xml:space="preserve">3 </w:t>
      </w:r>
      <w:r w:rsidRPr="008B3753">
        <w:rPr>
          <w:kern w:val="1"/>
          <w:lang w:bidi="pl-PL"/>
        </w:rPr>
        <w:t>oraz niepodpiwniczonym, 2-kondygnacyjnym budynkiem oficyny o powierzchni zabudowy 296,04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>, powierzchni użytkowej 551,28 m</w:t>
      </w:r>
      <w:r w:rsidRPr="008B3753">
        <w:rPr>
          <w:kern w:val="1"/>
          <w:vertAlign w:val="superscript"/>
          <w:lang w:bidi="pl-PL"/>
        </w:rPr>
        <w:t>2</w:t>
      </w:r>
      <w:r w:rsidRPr="008B3753">
        <w:rPr>
          <w:kern w:val="1"/>
          <w:lang w:bidi="pl-PL"/>
        </w:rPr>
        <w:t xml:space="preserve"> oraz kubaturze 1890, 25 m</w:t>
      </w:r>
      <w:r w:rsidRPr="008B3753">
        <w:rPr>
          <w:kern w:val="1"/>
          <w:vertAlign w:val="superscript"/>
          <w:lang w:bidi="pl-PL"/>
        </w:rPr>
        <w:t>3</w:t>
      </w:r>
      <w:r w:rsidRPr="008B3753">
        <w:rPr>
          <w:kern w:val="1"/>
          <w:lang w:bidi="pl-PL"/>
        </w:rPr>
        <w:t>. Rzeczoznawca majątkowy określił stan techniczny budynku głównego jako zadawalający, budynku oficyny jako średni. Standard wykończenia budynków: niski.</w:t>
      </w:r>
    </w:p>
    <w:p w:rsidR="008B3753" w:rsidRP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t xml:space="preserve">Nieruchomość opisana w </w:t>
      </w:r>
      <w:r>
        <w:t>pkt 1</w:t>
      </w:r>
      <w:r w:rsidRPr="008B3753">
        <w:rPr>
          <w:lang w:bidi="pl-PL"/>
        </w:rPr>
        <w:t xml:space="preserve"> zabudowana jest w części o powierzchni ca. 0,0106 ha fragmentem oficyny (niepodpiwn</w:t>
      </w:r>
      <w:r>
        <w:rPr>
          <w:lang w:bidi="pl-PL"/>
        </w:rPr>
        <w:t xml:space="preserve">iczonym, dwukondygnacyjnym oraz </w:t>
      </w:r>
      <w:r w:rsidRPr="008B3753">
        <w:rPr>
          <w:lang w:bidi="pl-PL"/>
        </w:rPr>
        <w:t xml:space="preserve">w części parterowym - wschodnia część), która jest usytuowana na działce sąsiedniej o nr  230. Oficyna stanowi pustostan, a wejście do niej znajduje się od strony działki nr 230. Działka nr 229 jest ogrodzona. </w:t>
      </w:r>
      <w:r w:rsidRPr="008B3753">
        <w:rPr>
          <w:kern w:val="1"/>
          <w:lang w:bidi="pl-PL"/>
        </w:rPr>
        <w:t>Uzbrojenie:  nieruchomość położona w zasięgu sieci energetycznej, wodociągowej, kanalizacji sanitarnej i deszczowej, teletechnicznej i gazowej.</w:t>
      </w:r>
    </w:p>
    <w:p w:rsidR="008B3753" w:rsidRDefault="008B3753" w:rsidP="008B3753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8B3753">
        <w:rPr>
          <w:lang w:bidi="pl-PL"/>
        </w:rPr>
        <w:t>Dojazd do nieruchomości przy ul. Rybaki 57 (działki nr 229 i 230) odbywa się z ulicy Rybaki poprzez działkę nr 228/7, stanowiącą własność Gminy Miasta Toruń. W umowie sprzedaży zostanie ustanowiona odpłatna służebność gruntowa polegająca na prawie przechodu</w:t>
      </w:r>
      <w:r>
        <w:rPr>
          <w:lang w:bidi="pl-PL"/>
        </w:rPr>
        <w:t xml:space="preserve"> </w:t>
      </w:r>
      <w:r w:rsidRPr="008B3753">
        <w:rPr>
          <w:lang w:bidi="pl-PL"/>
        </w:rPr>
        <w:t xml:space="preserve">i przejazdu po terenie działki nr 228/7 położonej w obrębie nr 12 przy ul. Rybaki 51A, KW Nr TO1T/00044533/5 </w:t>
      </w:r>
      <w:r w:rsidRPr="008B3753">
        <w:t>o powierzchni 81 m</w:t>
      </w:r>
      <w:r w:rsidRPr="008B3753">
        <w:rPr>
          <w:vertAlign w:val="superscript"/>
        </w:rPr>
        <w:t>2</w:t>
      </w:r>
      <w:r w:rsidRPr="008B3753">
        <w:t xml:space="preserve"> (pas terenu o pow. 4,5m x 18m), na rzecz każdoczesnych właścicieli nieruchomości położonych przy ul. Rybaki 57, oznaczonych jako działki 229 i 230 w obrębie nr 12. Jednorazowe wynagrodzenie za ustanowienie służebności gruntowej wynosi 27.687,30 zł brutto ( w tym VAT w wysokości 23 %).</w:t>
      </w:r>
    </w:p>
    <w:p w:rsidR="00676655" w:rsidRPr="002A6D4D" w:rsidRDefault="008B3753" w:rsidP="00676655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</w:pPr>
      <w:r w:rsidRPr="00676655">
        <w:rPr>
          <w:szCs w:val="24"/>
        </w:rPr>
        <w:lastRenderedPageBreak/>
        <w:t>Nieruchomości położone przy ul. Rybaki 57 w Toruniu  usytuowane są na terenie objętym miejscowym planem zagospodarowania przes</w:t>
      </w:r>
      <w:r w:rsidR="00BB538F" w:rsidRPr="00676655">
        <w:rPr>
          <w:szCs w:val="24"/>
        </w:rPr>
        <w:t>trzennego dla terenu położonego</w:t>
      </w:r>
      <w:r w:rsidR="00676655" w:rsidRPr="00676655">
        <w:rPr>
          <w:szCs w:val="24"/>
        </w:rPr>
        <w:t xml:space="preserve"> </w:t>
      </w:r>
      <w:r w:rsidRPr="00676655">
        <w:rPr>
          <w:szCs w:val="24"/>
        </w:rPr>
        <w:t xml:space="preserve">na Bydgoskim Przedmieściu w Toruniu, ograniczonego </w:t>
      </w:r>
      <w:r w:rsidRPr="00676655">
        <w:t xml:space="preserve">ulicami: Szosa Bydgoska, Bydgoska, Danielewskiego, Rybaki oraz ujściem Portu Zimowego, linią brzegową Wisły i terenami rezerwowanymi pod zachodnią przeprawę mostową, zatwierdzonym Uchwałą Nr 131/11 Rady Miasta Torunia z dnia 30 czerwca 2011r., na obszarze jednostki planistycznej oznaczonej symbolem 9.05.U/ZP6/ZZ, dla której ustalono przeznaczenie podstawowe: </w:t>
      </w:r>
      <w:r w:rsidR="00676655" w:rsidRPr="00676655">
        <w:t xml:space="preserve">: </w:t>
      </w:r>
      <w:r w:rsidR="00676655" w:rsidRPr="00676655">
        <w:rPr>
          <w:i/>
        </w:rPr>
        <w:t>„usługi użyteczności publicznej w zieleni urządzonej w części na obszarze bezpośredniego zagrożenia powodzią”</w:t>
      </w:r>
      <w:r w:rsidR="00676655" w:rsidRPr="00676655">
        <w:t xml:space="preserve"> oraz przeznaczenie dopuszczalne: „</w:t>
      </w:r>
      <w:r w:rsidR="00676655" w:rsidRPr="00676655">
        <w:rPr>
          <w:i/>
        </w:rPr>
        <w:t xml:space="preserve">zabudowa mieszkaniowa związana wyłącznie z funkcją podstawową, infrastruktura techniczna z zastrzeżeniem §4 pkt 1”, </w:t>
      </w:r>
      <w:r w:rsidR="00676655" w:rsidRPr="00676655">
        <w:t xml:space="preserve">tj. nakaz realizacji sieci infrastruktury technicznej (nowych i przebudowywanych) jako podziemnych z wyłączeniem elementów sieci związanych z obsługą terenu np. oświetlenie, hydranty </w:t>
      </w:r>
      <w:proofErr w:type="spellStart"/>
      <w:r w:rsidR="00676655" w:rsidRPr="00676655">
        <w:t>ppoż</w:t>
      </w:r>
      <w:proofErr w:type="spellEnd"/>
      <w:r w:rsidR="00676655" w:rsidRPr="00676655">
        <w:t xml:space="preserve">, itp. </w:t>
      </w:r>
      <w:r w:rsidR="002A6D4D">
        <w:t xml:space="preserve"> </w:t>
      </w:r>
      <w:r w:rsidR="00676655" w:rsidRPr="002A6D4D">
        <w:rPr>
          <w:rStyle w:val="Pogrubienie"/>
        </w:rPr>
        <w:t>Jako usługi użyteczności publicznej należy rozumieć: usługi sakralne - świątynie i obiekty towarzyszące, usługi edukacji, nauki, opieki nad dziećmi i młodzieżą, obiekty kształcenia dodatkowego, wyspecjalizowane obiekty kulturalno-edukacyjne, urządzone miejsca organizacji plenerowych wydarzeń kulturalnych itp., zaś przez pojęcie funkcji mieszkaniowej integralnie związanej z przeznaczeniem podstawowym – należy rozumieć lokal właściciela podmiotu gospodarczego w budynku przeznaczenia podstawowego</w:t>
      </w:r>
      <w:r w:rsidR="00676655" w:rsidRPr="002A6D4D">
        <w:rPr>
          <w:b/>
        </w:rPr>
        <w:t>.</w:t>
      </w:r>
    </w:p>
    <w:p w:rsidR="00BB538F" w:rsidRPr="00BB538F" w:rsidRDefault="008B3753" w:rsidP="00B76051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  <w:rPr>
          <w:lang w:bidi="pl-PL"/>
        </w:rPr>
      </w:pPr>
      <w:r w:rsidRPr="00676655">
        <w:rPr>
          <w:szCs w:val="24"/>
          <w:lang w:bidi="pl-PL"/>
        </w:rPr>
        <w:t xml:space="preserve">Decyzją Kujawsko-Pomorskiego Wojewódzkiego Konserwatora Zabytków znak WUOZ/T/DKI-IA-15/3786/2009/2011/TK  z dnia  25 lipca 2011r. historyczny układ urbanistyczny Bydgoskiego Przedmieścia i Rybaków został wpisany do rejestru zabytków pod numerem A/1596. </w:t>
      </w:r>
      <w:r w:rsidRPr="00676655">
        <w:rPr>
          <w:szCs w:val="24"/>
        </w:rPr>
        <w:t>Wszelkie prace budowlane i inne działania przy zabytku można przeprowadzić jedynie w uzgodnieniu z Miejskim Konserwatorem Zabytków, bowiem</w:t>
      </w:r>
      <w:r w:rsidRPr="00676655">
        <w:rPr>
          <w:szCs w:val="24"/>
          <w:lang w:bidi="pl-PL"/>
        </w:rPr>
        <w:t xml:space="preserve"> nieruchomości są położone w strefie ochrony konserwatorskiej. </w:t>
      </w:r>
    </w:p>
    <w:p w:rsidR="008B3753" w:rsidRPr="003A7BF1" w:rsidRDefault="008B3753" w:rsidP="00BB538F">
      <w:pPr>
        <w:pStyle w:val="Tekstpodstawowywcity2"/>
        <w:numPr>
          <w:ilvl w:val="0"/>
          <w:numId w:val="1"/>
        </w:numPr>
        <w:tabs>
          <w:tab w:val="decimal" w:pos="0"/>
          <w:tab w:val="decimal" w:pos="8222"/>
        </w:tabs>
        <w:spacing w:line="240" w:lineRule="auto"/>
        <w:jc w:val="both"/>
        <w:rPr>
          <w:lang w:bidi="pl-PL"/>
        </w:rPr>
      </w:pPr>
      <w:r>
        <w:rPr>
          <w:lang w:bidi="pl-PL"/>
        </w:rPr>
        <w:t>Kujawsko-Pomorski Wojewódzki Konserwator Zabytków zawiadomieniem z dnia</w:t>
      </w:r>
      <w:r w:rsidR="00BB538F">
        <w:rPr>
          <w:lang w:bidi="pl-PL"/>
        </w:rPr>
        <w:t xml:space="preserve"> </w:t>
      </w:r>
      <w:r>
        <w:rPr>
          <w:lang w:bidi="pl-PL"/>
        </w:rPr>
        <w:t>29 lipca 2022r. wszczął</w:t>
      </w:r>
      <w:r w:rsidR="00BB538F">
        <w:rPr>
          <w:lang w:bidi="pl-PL"/>
        </w:rPr>
        <w:br/>
      </w:r>
      <w:r>
        <w:rPr>
          <w:lang w:bidi="pl-PL"/>
        </w:rPr>
        <w:t xml:space="preserve">z urzędu postępowanie administracyjne w sprawie wpisania do rejestru zabytków budynku przy ul. Rybaki 57, położonego na działce nr 230, w miejscowości Toruń, gm. </w:t>
      </w:r>
      <w:proofErr w:type="spellStart"/>
      <w:r>
        <w:rPr>
          <w:lang w:bidi="pl-PL"/>
        </w:rPr>
        <w:t>loco</w:t>
      </w:r>
      <w:proofErr w:type="spellEnd"/>
      <w:r>
        <w:rPr>
          <w:lang w:bidi="pl-PL"/>
        </w:rPr>
        <w:t>, powiat Toruń Miasto</w:t>
      </w:r>
      <w:r w:rsidRPr="003A7BF1">
        <w:rPr>
          <w:lang w:bidi="pl-PL"/>
        </w:rPr>
        <w:t>. Na podstawie art. 10a ust. 1 i 2 ustawy z dnia 23 lipca 2003r.</w:t>
      </w:r>
      <w:r w:rsidR="00BB538F">
        <w:rPr>
          <w:lang w:bidi="pl-PL"/>
        </w:rPr>
        <w:t xml:space="preserve"> </w:t>
      </w:r>
      <w:r w:rsidRPr="003A7BF1">
        <w:rPr>
          <w:lang w:bidi="pl-PL"/>
        </w:rPr>
        <w:t>o ochronie i opiece nad zabytkami zabrania się prowadzenia prac konserwatorskich, restauratorskich, robót budowlanych i podejmowania innych działań, które mogłyby prowadzić do naruszenia substancji lub zmiany wyglądu zabytku. Powyższy zakaz  dotyczy także robót budowalnych objętych pozwoleniem na budowę albo zgłoszeniem, a także działań określonych w innej decyzji pozwalającej na ich prowadzenie.</w:t>
      </w:r>
    </w:p>
    <w:p w:rsidR="00BB538F" w:rsidRDefault="00BB538F" w:rsidP="00BB538F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F64D6B">
        <w:t>W umowie sprzedaży nieruchomości</w:t>
      </w:r>
      <w:r>
        <w:t xml:space="preserve"> przy ul. Rybaki 57 </w:t>
      </w:r>
      <w:r w:rsidRPr="00F64D6B">
        <w:t xml:space="preserve">nabywca zobowiązany zostanie do rozpoczęcia prac </w:t>
      </w:r>
      <w:r>
        <w:t xml:space="preserve">remontowo-konserwatorskich i budowlanych budynku głównego w celu doprowadzenia go do stanu używalności,  </w:t>
      </w:r>
      <w:r w:rsidRPr="00F64D6B">
        <w:t xml:space="preserve">w ciągu </w:t>
      </w:r>
      <w:r>
        <w:t>2</w:t>
      </w:r>
      <w:r w:rsidRPr="00F64D6B">
        <w:t>-ch lat  od dnia je</w:t>
      </w:r>
      <w:r>
        <w:t>go</w:t>
      </w:r>
      <w:r w:rsidRPr="00F64D6B">
        <w:t xml:space="preserve"> nabycia i zakończenia tychże prac</w:t>
      </w:r>
      <w:r>
        <w:t xml:space="preserve"> </w:t>
      </w:r>
      <w:r w:rsidRPr="00F64D6B">
        <w:t xml:space="preserve">w terminie </w:t>
      </w:r>
      <w:r>
        <w:t xml:space="preserve">6 </w:t>
      </w:r>
      <w:r w:rsidRPr="00F64D6B">
        <w:t>lat, licząc od daty nabycia</w:t>
      </w:r>
      <w:r>
        <w:t xml:space="preserve">. Z uzasadnionych przyczyn Prezydent Miasta może te terminy przesunąć. </w:t>
      </w:r>
      <w:r w:rsidRPr="000F41F5">
        <w:rPr>
          <w:szCs w:val="24"/>
        </w:rPr>
        <w:t xml:space="preserve">Ponadto dla oceny wartości zabytkowej oficyn </w:t>
      </w:r>
      <w:r>
        <w:rPr>
          <w:szCs w:val="24"/>
        </w:rPr>
        <w:t xml:space="preserve">posadowionych </w:t>
      </w:r>
      <w:r w:rsidRPr="000F41F5">
        <w:rPr>
          <w:szCs w:val="24"/>
        </w:rPr>
        <w:t>na działkach nr 229 i 230 nabywca zostanie zobowiązany do przeprowadz</w:t>
      </w:r>
      <w:r>
        <w:rPr>
          <w:szCs w:val="24"/>
        </w:rPr>
        <w:t>enia</w:t>
      </w:r>
      <w:r w:rsidRPr="000F41F5">
        <w:rPr>
          <w:szCs w:val="24"/>
        </w:rPr>
        <w:t xml:space="preserve">  bada</w:t>
      </w:r>
      <w:r>
        <w:rPr>
          <w:szCs w:val="24"/>
        </w:rPr>
        <w:t xml:space="preserve">ń </w:t>
      </w:r>
      <w:r w:rsidRPr="000F41F5">
        <w:rPr>
          <w:szCs w:val="24"/>
        </w:rPr>
        <w:t>historyczno-architektoniczn</w:t>
      </w:r>
      <w:r>
        <w:rPr>
          <w:szCs w:val="24"/>
        </w:rPr>
        <w:t>ych w terminie dwóch lat od daty nabycia nieruchomości.</w:t>
      </w:r>
    </w:p>
    <w:p w:rsidR="007E4EB3" w:rsidRDefault="007E4EB3" w:rsidP="007E4EB3">
      <w:pPr>
        <w:pStyle w:val="Tekstpodstawowywcity2"/>
        <w:tabs>
          <w:tab w:val="decimal" w:pos="0"/>
        </w:tabs>
        <w:spacing w:after="0" w:line="240" w:lineRule="auto"/>
        <w:ind w:left="360"/>
        <w:jc w:val="both"/>
        <w:rPr>
          <w:szCs w:val="24"/>
        </w:rPr>
      </w:pPr>
    </w:p>
    <w:p w:rsidR="00BB538F" w:rsidRPr="007E4EB3" w:rsidRDefault="00BB538F" w:rsidP="00BB538F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BB538F">
        <w:t>Za termin rozpoczęcia prac remontowych uznaje się pierwszy wpis w dzienniku budowy o rozpoczęciu robót. Za termin zakończenia prac uznaje się uzyskanie przez inwestora decyzji pozwolenie na użytkowanie, a jeśli nie jest to wymagane przyjęcie zgłoszenia do użytkowania.</w:t>
      </w:r>
    </w:p>
    <w:p w:rsidR="007E4EB3" w:rsidRPr="007E4EB3" w:rsidRDefault="007E4EB3" w:rsidP="007E4EB3">
      <w:pPr>
        <w:pStyle w:val="Tekstpodstawowywcity2"/>
        <w:tabs>
          <w:tab w:val="decimal" w:pos="0"/>
        </w:tabs>
        <w:spacing w:after="0" w:line="240" w:lineRule="auto"/>
        <w:ind w:left="0"/>
        <w:jc w:val="both"/>
        <w:rPr>
          <w:szCs w:val="24"/>
        </w:rPr>
      </w:pPr>
    </w:p>
    <w:p w:rsidR="007E4EB3" w:rsidRPr="00240EBE" w:rsidRDefault="00BB538F" w:rsidP="007E4EB3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7E4EB3">
        <w:t xml:space="preserve">Dotrzymanie przez nabywcę terminów, określonych w </w:t>
      </w:r>
      <w:r w:rsidR="007E4EB3">
        <w:t>pkt 8</w:t>
      </w:r>
      <w:r w:rsidRPr="007E4EB3">
        <w:t xml:space="preserve"> zabezpieczone zostanie karą umowną, wynoszącą 5.000,- zł, za każdy pełny miesiąc zwłoki, w przypadku nie rozpoczęcia lub nie zakończenia prac remontowych oraz</w:t>
      </w:r>
      <w:r w:rsidR="008A4E89">
        <w:t xml:space="preserve"> przeprowadzenia</w:t>
      </w:r>
      <w:r w:rsidRPr="007E4EB3">
        <w:t xml:space="preserve"> badań historyczno-architektonicznych oficyn w terminach.</w:t>
      </w:r>
    </w:p>
    <w:p w:rsidR="00240EBE" w:rsidRDefault="00240EBE" w:rsidP="00240EBE">
      <w:pPr>
        <w:pStyle w:val="Akapitzlist"/>
        <w:rPr>
          <w:szCs w:val="24"/>
        </w:rPr>
      </w:pPr>
    </w:p>
    <w:p w:rsidR="00240EBE" w:rsidRPr="00240EBE" w:rsidRDefault="00240EBE" w:rsidP="00240EBE">
      <w:pPr>
        <w:pStyle w:val="Tekstpodstawowywcity2"/>
        <w:numPr>
          <w:ilvl w:val="0"/>
          <w:numId w:val="1"/>
        </w:numPr>
        <w:tabs>
          <w:tab w:val="decimal" w:pos="0"/>
        </w:tabs>
        <w:spacing w:after="0" w:line="240" w:lineRule="auto"/>
        <w:jc w:val="both"/>
        <w:rPr>
          <w:szCs w:val="24"/>
        </w:rPr>
      </w:pPr>
      <w:r w:rsidRPr="00240EBE">
        <w:t xml:space="preserve">Zapłata kary zostanie poddana rygorowi egzekucji na zasadach określonych w art. 777 </w:t>
      </w:r>
      <w:proofErr w:type="spellStart"/>
      <w:r w:rsidRPr="00240EBE">
        <w:t>Kpc</w:t>
      </w:r>
      <w:proofErr w:type="spellEnd"/>
      <w:r w:rsidRPr="00240EBE">
        <w:t xml:space="preserve"> tj.: nabywca nieruchomości podda się egzekucji na podstawie art. 777 §1 pkt 5) Kodeksu postepowania cywilnego do kwoty 120.000,- zł i Gmina będzie miała prawo wystąpić z wnioskiem o nadanie aktowi notarialne</w:t>
      </w:r>
      <w:r w:rsidRPr="00240EBE">
        <w:rPr>
          <w:color w:val="000000"/>
        </w:rPr>
        <w:t>mu</w:t>
      </w:r>
      <w:r w:rsidRPr="00240EBE">
        <w:t xml:space="preserve"> umowy sprzedaży klauzuli wykonalności, której termin zostanie ustalony w dacie upływu 9 lat od daty zawarcia umowy sprzedaży.</w:t>
      </w:r>
    </w:p>
    <w:p w:rsidR="007E4EB3" w:rsidRPr="00240EBE" w:rsidRDefault="007E4EB3" w:rsidP="007E4EB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Prezydent Miasta Torunia zawiadamia poprzednich właścicieli zbywan</w:t>
      </w:r>
      <w:r w:rsidR="007E4EB3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nieruchomości przejęt</w:t>
      </w:r>
      <w:r w:rsidR="008A4E89">
        <w:rPr>
          <w:rFonts w:ascii="Times New Roman" w:hAnsi="Times New Roman" w:cs="Times New Roman"/>
          <w:sz w:val="20"/>
          <w:szCs w:val="20"/>
        </w:rPr>
        <w:t>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przed</w:t>
      </w:r>
      <w:r w:rsidR="00240EBE">
        <w:rPr>
          <w:rFonts w:ascii="Times New Roman" w:hAnsi="Times New Roman" w:cs="Times New Roman"/>
          <w:sz w:val="20"/>
          <w:szCs w:val="20"/>
        </w:rPr>
        <w:br/>
      </w:r>
      <w:r w:rsidRPr="00625E54">
        <w:rPr>
          <w:rFonts w:ascii="Times New Roman" w:hAnsi="Times New Roman" w:cs="Times New Roman"/>
          <w:sz w:val="20"/>
          <w:szCs w:val="20"/>
        </w:rPr>
        <w:t xml:space="preserve">5 grudnia 1990 r. lub </w:t>
      </w:r>
      <w:r w:rsidR="008A4E89">
        <w:rPr>
          <w:rFonts w:ascii="Times New Roman" w:hAnsi="Times New Roman" w:cs="Times New Roman"/>
          <w:sz w:val="20"/>
          <w:szCs w:val="20"/>
        </w:rPr>
        <w:t>ich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spadkobierców, o przysługującym im pierwszeństwie w nabyciu </w:t>
      </w:r>
      <w:r w:rsidR="008A4E89">
        <w:rPr>
          <w:rFonts w:ascii="Times New Roman" w:hAnsi="Times New Roman" w:cs="Times New Roman"/>
          <w:sz w:val="20"/>
          <w:szCs w:val="20"/>
        </w:rPr>
        <w:t>tych</w:t>
      </w:r>
      <w:r w:rsidRPr="00625E54">
        <w:rPr>
          <w:rFonts w:ascii="Times New Roman" w:hAnsi="Times New Roman" w:cs="Times New Roman"/>
          <w:sz w:val="20"/>
          <w:szCs w:val="20"/>
        </w:rPr>
        <w:t xml:space="preserve"> nieruchomości. Warunkiem jest złożenie wniosku o nabycie w terminie 6-ciu tygodni od dnia ogłoszenia niniejszego obwieszczenia, na adres Urzędu Miasta w Toruniu ul. Wały Gen. Sikorskiego 8 oraz oświadczenie o wyrażeniu zgody na cenę ustaloną w sposób określony w ustawie z dnia 21 sierpnia 1997 roku o gospodarce nieruchomościami, tj. podaną w niniejszym obwieszczeniu. Prawo to nie przy</w:t>
      </w:r>
      <w:r>
        <w:rPr>
          <w:rFonts w:ascii="Times New Roman" w:hAnsi="Times New Roman" w:cs="Times New Roman"/>
          <w:sz w:val="20"/>
          <w:szCs w:val="20"/>
        </w:rPr>
        <w:t xml:space="preserve">sługuje </w:t>
      </w:r>
      <w:r w:rsidRPr="00625E54">
        <w:rPr>
          <w:rFonts w:ascii="Times New Roman" w:hAnsi="Times New Roman" w:cs="Times New Roman"/>
          <w:sz w:val="20"/>
          <w:szCs w:val="20"/>
        </w:rPr>
        <w:t>w stosunku do nieruchomości, o których mowa w art. 216a ustawy o gospodarce nieruchomościami.</w:t>
      </w:r>
    </w:p>
    <w:p w:rsidR="008155AB" w:rsidRPr="008155AB" w:rsidRDefault="008155AB" w:rsidP="008155A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2E7F" w:rsidRPr="008155AB" w:rsidRDefault="009807FC" w:rsidP="009807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155AB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Wykaz wywiesza się na okres 21 dni tj. od dnia </w:t>
      </w:r>
      <w:r w:rsidR="00240EBE" w:rsidRPr="008155AB">
        <w:rPr>
          <w:rFonts w:ascii="Times New Roman" w:hAnsi="Times New Roman" w:cs="Times New Roman"/>
          <w:sz w:val="20"/>
          <w:szCs w:val="20"/>
        </w:rPr>
        <w:t>23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 </w:t>
      </w:r>
      <w:r w:rsidR="00240EBE" w:rsidRPr="008155AB">
        <w:rPr>
          <w:rFonts w:ascii="Times New Roman" w:hAnsi="Times New Roman" w:cs="Times New Roman"/>
          <w:sz w:val="20"/>
          <w:szCs w:val="20"/>
        </w:rPr>
        <w:t>października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 202</w:t>
      </w:r>
      <w:r w:rsidR="00240EBE" w:rsidRPr="008155AB">
        <w:rPr>
          <w:rFonts w:ascii="Times New Roman" w:hAnsi="Times New Roman" w:cs="Times New Roman"/>
          <w:sz w:val="20"/>
          <w:szCs w:val="20"/>
        </w:rPr>
        <w:t>3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r. do </w:t>
      </w:r>
      <w:r w:rsidR="00240EBE" w:rsidRPr="008155AB">
        <w:rPr>
          <w:rFonts w:ascii="Times New Roman" w:hAnsi="Times New Roman" w:cs="Times New Roman"/>
          <w:sz w:val="20"/>
          <w:szCs w:val="20"/>
        </w:rPr>
        <w:t>13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 </w:t>
      </w:r>
      <w:r w:rsidR="007E4EB3" w:rsidRPr="008155AB">
        <w:rPr>
          <w:rFonts w:ascii="Times New Roman" w:hAnsi="Times New Roman" w:cs="Times New Roman"/>
          <w:sz w:val="20"/>
          <w:szCs w:val="20"/>
        </w:rPr>
        <w:t>listopada</w:t>
      </w:r>
      <w:r w:rsidR="00D42E7F" w:rsidRPr="008155AB">
        <w:rPr>
          <w:rFonts w:ascii="Times New Roman" w:hAnsi="Times New Roman" w:cs="Times New Roman"/>
          <w:sz w:val="20"/>
          <w:szCs w:val="20"/>
        </w:rPr>
        <w:t xml:space="preserve">  202</w:t>
      </w:r>
      <w:r w:rsidR="00240EBE" w:rsidRPr="008155AB">
        <w:rPr>
          <w:rFonts w:ascii="Times New Roman" w:hAnsi="Times New Roman" w:cs="Times New Roman"/>
          <w:sz w:val="20"/>
          <w:szCs w:val="20"/>
        </w:rPr>
        <w:t>3</w:t>
      </w:r>
      <w:r w:rsidR="00D42E7F" w:rsidRPr="008155AB">
        <w:rPr>
          <w:rFonts w:ascii="Times New Roman" w:hAnsi="Times New Roman" w:cs="Times New Roman"/>
          <w:sz w:val="20"/>
          <w:szCs w:val="20"/>
        </w:rPr>
        <w:t>r.</w:t>
      </w:r>
    </w:p>
    <w:p w:rsidR="00D42E7F" w:rsidRPr="00625E54" w:rsidRDefault="00D42E7F" w:rsidP="00D42E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Po upływie terminów, o których mowa w wykazie, ogłoszony zostanie przetarg na sprzedaż  nieruchomości.</w:t>
      </w:r>
    </w:p>
    <w:p w:rsidR="00D42E7F" w:rsidRPr="00625E54" w:rsidRDefault="00D42E7F" w:rsidP="00D42E7F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42E7F" w:rsidRPr="00625E54" w:rsidRDefault="00D42E7F" w:rsidP="00D42E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Obwieszczenie wchodzi w życie z dniem ogłoszenia.</w:t>
      </w:r>
    </w:p>
    <w:p w:rsidR="00D42E7F" w:rsidRDefault="00D42E7F" w:rsidP="00D42E7F">
      <w:pPr>
        <w:jc w:val="both"/>
        <w:rPr>
          <w:rFonts w:ascii="Times New Roman" w:hAnsi="Times New Roman" w:cs="Times New Roman"/>
          <w:sz w:val="20"/>
          <w:szCs w:val="20"/>
        </w:rPr>
      </w:pPr>
      <w:r w:rsidRPr="00625E54">
        <w:rPr>
          <w:rFonts w:ascii="Times New Roman" w:hAnsi="Times New Roman" w:cs="Times New Roman"/>
          <w:sz w:val="20"/>
          <w:szCs w:val="20"/>
        </w:rPr>
        <w:t>IW</w:t>
      </w:r>
    </w:p>
    <w:p w:rsidR="00CF313D" w:rsidRDefault="00CF313D" w:rsidP="00D42E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313D" w:rsidRDefault="00CF313D" w:rsidP="00CF31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Wywieszono 23.10.2023r.</w:t>
      </w:r>
      <w:bookmarkStart w:id="0" w:name="_GoBack"/>
      <w:bookmarkEnd w:id="0"/>
    </w:p>
    <w:p w:rsidR="00CF313D" w:rsidRDefault="00CF313D" w:rsidP="00CF313D">
      <w:pPr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(-) Kamila Popiela</w:t>
      </w:r>
    </w:p>
    <w:p w:rsidR="00CF313D" w:rsidRDefault="00CF313D" w:rsidP="00CF313D">
      <w:pPr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Dyrektor </w:t>
      </w:r>
    </w:p>
    <w:p w:rsidR="00CF313D" w:rsidRPr="00625E54" w:rsidRDefault="00CF313D" w:rsidP="00CF313D">
      <w:pPr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Wydziału Gospodarki Nieruchomościami</w:t>
      </w:r>
    </w:p>
    <w:sectPr w:rsidR="00CF313D" w:rsidRPr="0062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0F"/>
    <w:multiLevelType w:val="hybridMultilevel"/>
    <w:tmpl w:val="F41C5B34"/>
    <w:lvl w:ilvl="0" w:tplc="C5388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B7D96"/>
    <w:multiLevelType w:val="hybridMultilevel"/>
    <w:tmpl w:val="CD5E2B36"/>
    <w:lvl w:ilvl="0" w:tplc="7C6A7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72BC2"/>
    <w:multiLevelType w:val="hybridMultilevel"/>
    <w:tmpl w:val="D2047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B0"/>
    <w:rsid w:val="00146BF7"/>
    <w:rsid w:val="00240EBE"/>
    <w:rsid w:val="002A6D4D"/>
    <w:rsid w:val="002E0BB0"/>
    <w:rsid w:val="004655AD"/>
    <w:rsid w:val="00676655"/>
    <w:rsid w:val="007B4E8C"/>
    <w:rsid w:val="007E4EB3"/>
    <w:rsid w:val="008155AB"/>
    <w:rsid w:val="00874982"/>
    <w:rsid w:val="008A4E89"/>
    <w:rsid w:val="008B3753"/>
    <w:rsid w:val="009807FC"/>
    <w:rsid w:val="00BB538F"/>
    <w:rsid w:val="00CF313D"/>
    <w:rsid w:val="00D42E7F"/>
    <w:rsid w:val="00D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DF7E"/>
  <w15:chartTrackingRefBased/>
  <w15:docId w15:val="{18575B31-4610-441E-B258-C4D92EC0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E7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2E7F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2E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42E7F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E7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2E7F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2E7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42E7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2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2E7F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B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B3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7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8</cp:revision>
  <cp:lastPrinted>2023-10-19T09:43:00Z</cp:lastPrinted>
  <dcterms:created xsi:type="dcterms:W3CDTF">2022-11-03T07:42:00Z</dcterms:created>
  <dcterms:modified xsi:type="dcterms:W3CDTF">2023-10-20T06:28:00Z</dcterms:modified>
</cp:coreProperties>
</file>