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92" w:rsidRPr="002568C9" w:rsidRDefault="000B1192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2568C9">
        <w:rPr>
          <w:sz w:val="22"/>
          <w:szCs w:val="22"/>
        </w:rPr>
        <w:t xml:space="preserve">Toruń, dnia </w:t>
      </w:r>
      <w:r w:rsidR="000D1EB0">
        <w:rPr>
          <w:sz w:val="22"/>
          <w:szCs w:val="22"/>
        </w:rPr>
        <w:t>03</w:t>
      </w:r>
      <w:r w:rsidR="002C5B49">
        <w:rPr>
          <w:sz w:val="22"/>
          <w:szCs w:val="22"/>
        </w:rPr>
        <w:t xml:space="preserve"> października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5258EB">
        <w:rPr>
          <w:sz w:val="22"/>
          <w:szCs w:val="22"/>
        </w:rPr>
        <w:t>2</w:t>
      </w:r>
      <w:r w:rsidR="00843620">
        <w:rPr>
          <w:sz w:val="22"/>
          <w:szCs w:val="22"/>
        </w:rPr>
        <w:t>3</w:t>
      </w:r>
      <w:r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2C5B49">
        <w:rPr>
          <w:sz w:val="22"/>
          <w:szCs w:val="22"/>
        </w:rPr>
        <w:t>.6220</w:t>
      </w:r>
      <w:r w:rsidR="00D05718" w:rsidRPr="00D05718">
        <w:rPr>
          <w:sz w:val="22"/>
          <w:szCs w:val="22"/>
        </w:rPr>
        <w:t>.</w:t>
      </w:r>
      <w:r w:rsidR="006D6D13">
        <w:rPr>
          <w:sz w:val="22"/>
          <w:szCs w:val="22"/>
        </w:rPr>
        <w:t>32</w:t>
      </w:r>
      <w:r w:rsidR="00D05718">
        <w:rPr>
          <w:sz w:val="22"/>
          <w:szCs w:val="22"/>
        </w:rPr>
        <w:t>.20</w:t>
      </w:r>
      <w:r w:rsidR="006042B3">
        <w:rPr>
          <w:sz w:val="22"/>
          <w:szCs w:val="22"/>
        </w:rPr>
        <w:t>19</w:t>
      </w:r>
      <w:r w:rsidR="00D05718">
        <w:rPr>
          <w:sz w:val="22"/>
          <w:szCs w:val="22"/>
        </w:rPr>
        <w:t xml:space="preserve"> AG</w:t>
      </w:r>
      <w:r w:rsidR="002C5B49">
        <w:rPr>
          <w:sz w:val="22"/>
          <w:szCs w:val="22"/>
        </w:rPr>
        <w:t>W39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6D6D13">
        <w:rPr>
          <w:sz w:val="22"/>
          <w:szCs w:val="22"/>
        </w:rPr>
        <w:t>105/V/2011 (1)</w:t>
      </w:r>
    </w:p>
    <w:p w:rsidR="000B1192" w:rsidRPr="00D05718" w:rsidRDefault="000B1192" w:rsidP="000B1192">
      <w:pPr>
        <w:pStyle w:val="NormalnyWeb"/>
        <w:spacing w:before="0" w:beforeAutospacing="0" w:after="0"/>
        <w:jc w:val="center"/>
      </w:pP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>INFORMACJA</w:t>
      </w: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 xml:space="preserve">PREZYDENTA MIASTA TORUNIA </w:t>
      </w:r>
    </w:p>
    <w:p w:rsidR="000B1192" w:rsidRDefault="000B1192" w:rsidP="002568C9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6D6D13">
        <w:rPr>
          <w:color w:val="000000"/>
          <w:sz w:val="22"/>
          <w:szCs w:val="22"/>
        </w:rPr>
        <w:t>2</w:t>
      </w:r>
      <w:r w:rsidR="002C5B4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2C5B49">
        <w:rPr>
          <w:color w:val="000000"/>
          <w:sz w:val="22"/>
          <w:szCs w:val="22"/>
        </w:rPr>
        <w:t>2094 ze zmianami</w:t>
      </w:r>
      <w:r w:rsidRPr="00193315">
        <w:rPr>
          <w:color w:val="000000"/>
          <w:sz w:val="22"/>
          <w:szCs w:val="22"/>
        </w:rPr>
        <w:t>)</w:t>
      </w:r>
    </w:p>
    <w:p w:rsidR="000B1192" w:rsidRPr="00193315" w:rsidRDefault="000B1192" w:rsidP="000B1192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jc w:val="center"/>
      </w:pPr>
      <w:r w:rsidRPr="00193315">
        <w:rPr>
          <w:b/>
          <w:bCs/>
        </w:rPr>
        <w:t xml:space="preserve">PODAJĘ DO PUBLICZNEJ WIADOMOŚCI NASTĘPUJĄCE INFORMACJE: </w:t>
      </w:r>
    </w:p>
    <w:p w:rsidR="000B1192" w:rsidRPr="00193315" w:rsidRDefault="000B1192" w:rsidP="00C040A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C5B49" w:rsidRDefault="002C5B49" w:rsidP="002C5B49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</w:pPr>
      <w:r>
        <w:rPr>
          <w:sz w:val="22"/>
          <w:szCs w:val="22"/>
        </w:rPr>
        <w:t>Po uchyleniu przez Samorządowe Kolegium Odwoławcze w Toruniu decyzji Prezydenta Miasta Torunia z dnia 18 maja 2021 r. odmawiającej ustalenia środowiskowych uwarunkowań</w:t>
      </w:r>
      <w:r w:rsidR="004B0AA3">
        <w:rPr>
          <w:sz w:val="22"/>
          <w:szCs w:val="22"/>
        </w:rPr>
        <w:t>, p</w:t>
      </w:r>
      <w:r w:rsidR="006D6D13">
        <w:rPr>
          <w:sz w:val="22"/>
          <w:szCs w:val="22"/>
        </w:rPr>
        <w:t xml:space="preserve">rowadzona jest </w:t>
      </w:r>
      <w:r>
        <w:rPr>
          <w:sz w:val="22"/>
          <w:szCs w:val="22"/>
        </w:rPr>
        <w:t xml:space="preserve">ponownie </w:t>
      </w:r>
      <w:r w:rsidR="006D6D13">
        <w:rPr>
          <w:sz w:val="22"/>
          <w:szCs w:val="22"/>
        </w:rPr>
        <w:t>procedura</w:t>
      </w:r>
      <w:r w:rsidR="005439CC" w:rsidRPr="005439CC">
        <w:rPr>
          <w:sz w:val="22"/>
          <w:szCs w:val="22"/>
        </w:rPr>
        <w:t xml:space="preserve"> oceny oddziaływania na środowisko dla przedsięwzięcia pn.: </w:t>
      </w:r>
      <w:r w:rsidRPr="002C5B49"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  <w:t>„Toruńska Kolej Gondolowa „ORBITA” w Toruniu - ul. św. Jakuba - Kujawska w Toruniu (dz. nr 77/1, 65/1, 65/2, 64/3, 64/2, 60/2, 61/1, 64/1, 60/3 – obręb 17; dz. nr 191 – obręb 18; dz. nr 3/5 – obręb 20; dz. nr 78/2, 78/1, 50/4, 50/1, 48, 50/5, 42, 43, 41/2, 38/2, 40/4, 39, 29 – obręb 65)”</w:t>
      </w:r>
    </w:p>
    <w:p w:rsidR="002C5B49" w:rsidRDefault="002C5B49" w:rsidP="002C5B49">
      <w:pPr>
        <w:pStyle w:val="Tekstpodstawowywcity"/>
        <w:ind w:left="284" w:firstLine="0"/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</w:pPr>
      <w:r w:rsidRPr="002C5B49"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  <w:t>wykaz działek w zasięgu 100 m od granic przedsięwzięcia:</w:t>
      </w:r>
    </w:p>
    <w:p w:rsidR="002C5B49" w:rsidRDefault="002C5B49" w:rsidP="002C5B49">
      <w:pPr>
        <w:pStyle w:val="Tekstpodstawowywcity"/>
        <w:ind w:left="284" w:firstLine="0"/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</w:pPr>
      <w:r w:rsidRPr="002C5B49"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  <w:t>obręb 17 – dz. 77/4, 77/3, 61/6, 72/1, 72/2, 60/1,</w:t>
      </w:r>
    </w:p>
    <w:p w:rsidR="002C5B49" w:rsidRDefault="002C5B49" w:rsidP="002C5B49">
      <w:pPr>
        <w:pStyle w:val="Tekstpodstawowywcity"/>
        <w:ind w:left="284" w:firstLine="0"/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</w:pPr>
      <w:r w:rsidRPr="002C5B49"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  <w:t>obręb 18 – dz. 193/3, 193/1, 193/4, 192, 222/7, 222/4, 221/1, 222/6, 188/2, 189, 188/1, 186, 220, 151, 149/4, 149/2, 149/3,</w:t>
      </w:r>
    </w:p>
    <w:p w:rsidR="002C5B49" w:rsidRDefault="002C5B49" w:rsidP="002C5B49">
      <w:pPr>
        <w:pStyle w:val="Tekstpodstawowywcity"/>
        <w:ind w:left="284" w:firstLine="0"/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</w:pPr>
      <w:r w:rsidRPr="002C5B49"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  <w:t>obręb 20 – dz. 3/4, 3/2,</w:t>
      </w:r>
    </w:p>
    <w:p w:rsidR="002C5B49" w:rsidRPr="002C5B49" w:rsidRDefault="002C5B49" w:rsidP="002C5B49">
      <w:pPr>
        <w:pStyle w:val="Tekstpodstawowywcity"/>
        <w:ind w:left="284" w:firstLine="0"/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</w:pPr>
      <w:r w:rsidRPr="002C5B49">
        <w:rPr>
          <w:rFonts w:eastAsia="Arial" w:cs="Tahoma"/>
          <w:bCs/>
          <w:color w:val="000000"/>
          <w:kern w:val="3"/>
          <w:sz w:val="20"/>
          <w:szCs w:val="20"/>
          <w:lang w:eastAsia="pl-PL"/>
        </w:rPr>
        <w:t>obręb 65 – dz. 83/11, 83/10, 83/8, 83/9, 84, 82, 91/1, 92, 83/4, 52, 51, 81, 77, 79, 49, 75/2, 74, 22, 16, 18, 50/3, 18, 20, 41/1, 19, 40/3, 25, 38/1, 28, 30, 31.</w:t>
      </w:r>
    </w:p>
    <w:p w:rsidR="006042B3" w:rsidRPr="006042B3" w:rsidRDefault="006D6D13" w:rsidP="002C5B49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>
        <w:rPr>
          <w:color w:val="000000"/>
          <w:sz w:val="22"/>
          <w:szCs w:val="22"/>
        </w:rPr>
        <w:t>Obwieszczeniem</w:t>
      </w:r>
      <w:r w:rsidR="000B1192" w:rsidRPr="006042B3">
        <w:rPr>
          <w:color w:val="000000"/>
          <w:sz w:val="22"/>
          <w:szCs w:val="22"/>
        </w:rPr>
        <w:t xml:space="preserve"> z dnia </w:t>
      </w:r>
      <w:r>
        <w:rPr>
          <w:color w:val="000000"/>
          <w:sz w:val="22"/>
          <w:szCs w:val="22"/>
        </w:rPr>
        <w:t>11 grudnia</w:t>
      </w:r>
      <w:r w:rsidR="005258EB" w:rsidRPr="006042B3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19</w:t>
      </w:r>
      <w:r w:rsidR="004733DE" w:rsidRPr="006042B3">
        <w:rPr>
          <w:color w:val="000000"/>
          <w:sz w:val="22"/>
          <w:szCs w:val="22"/>
        </w:rPr>
        <w:t xml:space="preserve"> r.</w:t>
      </w:r>
      <w:r w:rsidR="003E12EA" w:rsidRPr="006042B3">
        <w:rPr>
          <w:color w:val="000000"/>
          <w:sz w:val="22"/>
          <w:szCs w:val="22"/>
        </w:rPr>
        <w:t>, w myśl art. 73 ust. 1</w:t>
      </w:r>
      <w:r w:rsidR="000B1192" w:rsidRPr="006042B3">
        <w:rPr>
          <w:color w:val="000000"/>
          <w:sz w:val="22"/>
          <w:szCs w:val="22"/>
        </w:rPr>
        <w:t xml:space="preserve"> przywołanej wyżej ustawy z dnia 3 października 2008 r., strony postępowania zostały poinformowane o wszczęciu postępowania w przedmiotowej sprawie. </w:t>
      </w:r>
      <w:r w:rsidR="00843620">
        <w:rPr>
          <w:sz w:val="22"/>
          <w:szCs w:val="22"/>
        </w:rPr>
        <w:t>Po uchyleniu decyzji</w:t>
      </w:r>
      <w:r w:rsidR="000B1192" w:rsidRPr="006042B3">
        <w:rPr>
          <w:sz w:val="22"/>
          <w:szCs w:val="22"/>
        </w:rPr>
        <w:t xml:space="preserve"> </w:t>
      </w:r>
      <w:r w:rsidR="00843620">
        <w:rPr>
          <w:sz w:val="22"/>
          <w:szCs w:val="22"/>
        </w:rPr>
        <w:t xml:space="preserve">odmawiającej ustalenia środowiskowych uwarunkowań przez SKO w Toruniu i wezwaniu do uzupełnienia raportu </w:t>
      </w:r>
      <w:proofErr w:type="spellStart"/>
      <w:r w:rsidR="00843620">
        <w:rPr>
          <w:sz w:val="22"/>
          <w:szCs w:val="22"/>
        </w:rPr>
        <w:t>ooś</w:t>
      </w:r>
      <w:proofErr w:type="spellEnd"/>
      <w:r w:rsidR="00843620">
        <w:rPr>
          <w:sz w:val="22"/>
          <w:szCs w:val="22"/>
        </w:rPr>
        <w:t xml:space="preserve">, Inwestor </w:t>
      </w:r>
      <w:r w:rsidR="000B1192" w:rsidRPr="006042B3">
        <w:rPr>
          <w:sz w:val="22"/>
          <w:szCs w:val="22"/>
        </w:rPr>
        <w:t xml:space="preserve">uzupełnił wniosek o </w:t>
      </w:r>
      <w:r w:rsidR="00843620">
        <w:rPr>
          <w:sz w:val="22"/>
          <w:szCs w:val="22"/>
        </w:rPr>
        <w:t xml:space="preserve">zaktualizowany </w:t>
      </w:r>
      <w:r w:rsidR="000B1192" w:rsidRPr="006042B3">
        <w:rPr>
          <w:sz w:val="22"/>
          <w:szCs w:val="22"/>
        </w:rPr>
        <w:t>raport o oddziaływaniu przedmiotowego przedsięwzięcia na środowisko.</w:t>
      </w:r>
      <w:r w:rsidR="002C5B49">
        <w:rPr>
          <w:sz w:val="22"/>
          <w:szCs w:val="22"/>
        </w:rPr>
        <w:t xml:space="preserve"> </w:t>
      </w:r>
    </w:p>
    <w:p w:rsidR="006042B3" w:rsidRPr="006042B3" w:rsidRDefault="000B1192" w:rsidP="006042B3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 w:rsidRPr="006042B3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6042B3" w:rsidRPr="006042B3" w:rsidRDefault="000B1192" w:rsidP="006042B3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 w:rsidRPr="006042B3">
        <w:rPr>
          <w:sz w:val="22"/>
          <w:szCs w:val="22"/>
        </w:rPr>
        <w:t>Organem właściwym do dokonania uzgodnień warunków realizacji przedsięwzięcia jest Regionalny Dyrektor Ochrony Środowiska</w:t>
      </w:r>
      <w:r w:rsidR="002568C9" w:rsidRPr="006042B3">
        <w:rPr>
          <w:sz w:val="22"/>
          <w:szCs w:val="22"/>
        </w:rPr>
        <w:t xml:space="preserve"> </w:t>
      </w:r>
      <w:r w:rsidR="0098579A" w:rsidRPr="006042B3">
        <w:rPr>
          <w:sz w:val="22"/>
          <w:szCs w:val="22"/>
        </w:rPr>
        <w:t>w Bydgoszczy</w:t>
      </w:r>
      <w:r w:rsidRPr="006042B3">
        <w:rPr>
          <w:sz w:val="22"/>
          <w:szCs w:val="22"/>
        </w:rPr>
        <w:t xml:space="preserve">. </w:t>
      </w:r>
    </w:p>
    <w:p w:rsidR="006042B3" w:rsidRPr="006042B3" w:rsidRDefault="000B1192" w:rsidP="006042B3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 w:rsidRPr="006042B3">
        <w:rPr>
          <w:sz w:val="22"/>
          <w:szCs w:val="22"/>
        </w:rPr>
        <w:t>Każdemu przysługuje prawo zapoznania się z dokumentacją sprawy (tj. wnioskiem o wydanie decyzji wraz z wymaganymi załącznikami, stanowiskami innych organów, jeżeli stanowiska te będą dostępne w terminie składania uwag i wnio</w:t>
      </w:r>
      <w:r w:rsidR="002568C9" w:rsidRPr="006042B3">
        <w:rPr>
          <w:sz w:val="22"/>
          <w:szCs w:val="22"/>
        </w:rPr>
        <w:t xml:space="preserve">sków). Akta sprawy znajdują się </w:t>
      </w:r>
      <w:r w:rsidRPr="006042B3">
        <w:rPr>
          <w:sz w:val="22"/>
          <w:szCs w:val="22"/>
        </w:rPr>
        <w:t>w Wydziale Architektury i Budownictwa Urzędu Miasta Torunia przy ulicy Grudziądzki</w:t>
      </w:r>
      <w:r w:rsidR="003021E2" w:rsidRPr="006042B3">
        <w:rPr>
          <w:sz w:val="22"/>
          <w:szCs w:val="22"/>
        </w:rPr>
        <w:t>ej 126 B w Toruniu (pokój nr 3</w:t>
      </w:r>
      <w:r w:rsidR="008115BD" w:rsidRPr="006042B3">
        <w:rPr>
          <w:sz w:val="22"/>
          <w:szCs w:val="22"/>
        </w:rPr>
        <w:t>03</w:t>
      </w:r>
      <w:r w:rsidR="006F32E6" w:rsidRPr="006042B3">
        <w:rPr>
          <w:sz w:val="22"/>
          <w:szCs w:val="22"/>
        </w:rPr>
        <w:t>, III piętro</w:t>
      </w:r>
      <w:r w:rsidRPr="006042B3">
        <w:rPr>
          <w:sz w:val="22"/>
          <w:szCs w:val="22"/>
        </w:rPr>
        <w:t>).</w:t>
      </w:r>
    </w:p>
    <w:p w:rsidR="006042B3" w:rsidRPr="006042B3" w:rsidRDefault="000B1192" w:rsidP="006042B3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 w:rsidRPr="006042B3">
        <w:rPr>
          <w:sz w:val="22"/>
          <w:szCs w:val="22"/>
        </w:rPr>
        <w:t>Każdy ma możliwość składania uwag i wniosków. Należy je kierować do Wydziału Architektury i Bu</w:t>
      </w:r>
      <w:r w:rsidR="002568C9" w:rsidRPr="006042B3">
        <w:rPr>
          <w:sz w:val="22"/>
          <w:szCs w:val="22"/>
        </w:rPr>
        <w:t xml:space="preserve">downictwa Urzędu Miasta Torunia </w:t>
      </w:r>
      <w:r w:rsidRPr="006042B3">
        <w:rPr>
          <w:sz w:val="22"/>
          <w:szCs w:val="22"/>
        </w:rPr>
        <w:t xml:space="preserve">w terminie </w:t>
      </w:r>
      <w:r w:rsidR="005258EB" w:rsidRPr="006042B3">
        <w:rPr>
          <w:sz w:val="22"/>
          <w:szCs w:val="22"/>
        </w:rPr>
        <w:t>30</w:t>
      </w:r>
      <w:r w:rsidRPr="006042B3">
        <w:rPr>
          <w:sz w:val="22"/>
          <w:szCs w:val="22"/>
        </w:rPr>
        <w:t xml:space="preserve"> – dniowym od dnia publikacji niniejszej informacji, w formie pisemnej, ustnej do protokołu lub za pomocą środków komunikacji elektronicznej bez konieczności opatrzenia ich bezpiecznym podpisem elektronicznym ( </w:t>
      </w:r>
      <w:r w:rsidRPr="006042B3">
        <w:rPr>
          <w:sz w:val="22"/>
          <w:szCs w:val="22"/>
          <w:u w:val="single"/>
        </w:rPr>
        <w:t>waib</w:t>
      </w:r>
      <w:hyperlink r:id="rId8" w:history="1">
        <w:r w:rsidRPr="006042B3">
          <w:rPr>
            <w:rStyle w:val="Hipercze"/>
            <w:sz w:val="22"/>
            <w:szCs w:val="22"/>
          </w:rPr>
          <w:t>@um.torun.pl</w:t>
        </w:r>
      </w:hyperlink>
      <w:r w:rsidRPr="006042B3">
        <w:rPr>
          <w:sz w:val="22"/>
          <w:szCs w:val="22"/>
          <w:u w:val="single"/>
        </w:rPr>
        <w:t xml:space="preserve"> </w:t>
      </w:r>
      <w:r w:rsidRPr="006042B3">
        <w:rPr>
          <w:sz w:val="22"/>
          <w:szCs w:val="22"/>
        </w:rPr>
        <w:t>).</w:t>
      </w:r>
    </w:p>
    <w:p w:rsidR="006042B3" w:rsidRPr="006042B3" w:rsidRDefault="000B1192" w:rsidP="006042B3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 w:rsidRPr="006042B3">
        <w:rPr>
          <w:sz w:val="22"/>
          <w:szCs w:val="22"/>
        </w:rPr>
        <w:t xml:space="preserve">Uwagi i wnioski złożone po upływie </w:t>
      </w:r>
      <w:r w:rsidR="005258EB" w:rsidRPr="006042B3">
        <w:rPr>
          <w:sz w:val="22"/>
          <w:szCs w:val="22"/>
        </w:rPr>
        <w:t xml:space="preserve">30 </w:t>
      </w:r>
      <w:r w:rsidRPr="006042B3">
        <w:rPr>
          <w:sz w:val="22"/>
          <w:szCs w:val="22"/>
        </w:rPr>
        <w:t xml:space="preserve">– dniowego terminu pozostaną bez rozpatrzenia (art. 35 ustawy o </w:t>
      </w:r>
      <w:r w:rsidR="002568C9" w:rsidRPr="006042B3">
        <w:rPr>
          <w:color w:val="000000"/>
          <w:sz w:val="22"/>
          <w:szCs w:val="22"/>
        </w:rPr>
        <w:t xml:space="preserve">udostępnianiu informacji </w:t>
      </w:r>
      <w:r w:rsidRPr="006042B3">
        <w:rPr>
          <w:color w:val="000000"/>
          <w:sz w:val="22"/>
          <w:szCs w:val="22"/>
        </w:rPr>
        <w:t>o środowisku i jego ochronie (</w:t>
      </w:r>
      <w:r w:rsidR="00C60E10" w:rsidRPr="006042B3">
        <w:rPr>
          <w:color w:val="000000"/>
          <w:sz w:val="22"/>
          <w:szCs w:val="22"/>
        </w:rPr>
        <w:t>…</w:t>
      </w:r>
      <w:r w:rsidRPr="006042B3">
        <w:rPr>
          <w:color w:val="000000"/>
          <w:sz w:val="22"/>
          <w:szCs w:val="22"/>
        </w:rPr>
        <w:t>)).</w:t>
      </w:r>
    </w:p>
    <w:p w:rsidR="000B1192" w:rsidRPr="006042B3" w:rsidRDefault="000B1192" w:rsidP="006042B3">
      <w:pPr>
        <w:pStyle w:val="Tekstpodstawowywcity"/>
        <w:numPr>
          <w:ilvl w:val="0"/>
          <w:numId w:val="16"/>
        </w:numPr>
        <w:ind w:left="284" w:hanging="284"/>
        <w:rPr>
          <w:rFonts w:eastAsia="Arial" w:cs="Tahoma"/>
          <w:bCs/>
          <w:color w:val="000000"/>
          <w:kern w:val="3"/>
          <w:sz w:val="22"/>
          <w:szCs w:val="22"/>
          <w:lang w:eastAsia="pl-PL"/>
        </w:rPr>
      </w:pPr>
      <w:r w:rsidRPr="006042B3">
        <w:rPr>
          <w:sz w:val="22"/>
          <w:szCs w:val="22"/>
        </w:rPr>
        <w:t>Organem właściwym do rozpatrzenia uwag i wniosków jest Prezydent Miasta Torunia.</w:t>
      </w: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AD4087" w:rsidRPr="00EE4D16" w:rsidRDefault="00AD4087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AD4087" w:rsidRDefault="00AD4087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843620" w:rsidRDefault="00843620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EE4D16" w:rsidRDefault="000B1192" w:rsidP="000B1192">
      <w:pPr>
        <w:pStyle w:val="NormalnyWeb"/>
        <w:spacing w:before="0" w:beforeAutospacing="0" w:after="0"/>
        <w:rPr>
          <w:sz w:val="18"/>
          <w:szCs w:val="18"/>
        </w:rPr>
      </w:pPr>
      <w:r w:rsidRPr="00EE4D16">
        <w:rPr>
          <w:sz w:val="18"/>
          <w:szCs w:val="18"/>
          <w:u w:val="single"/>
        </w:rPr>
        <w:t xml:space="preserve">Rozdzielnik : </w:t>
      </w:r>
    </w:p>
    <w:p w:rsidR="000B1192" w:rsidRPr="00EE4D16" w:rsidRDefault="000B1192" w:rsidP="00EA4781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EE4D16">
        <w:rPr>
          <w:sz w:val="18"/>
          <w:szCs w:val="18"/>
        </w:rPr>
        <w:t xml:space="preserve">Tablica informacyjna: </w:t>
      </w:r>
    </w:p>
    <w:p w:rsidR="000B1192" w:rsidRPr="00EE4D16" w:rsidRDefault="000B1192" w:rsidP="00EA4781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EE4D16">
        <w:rPr>
          <w:sz w:val="18"/>
          <w:szCs w:val="18"/>
        </w:rPr>
        <w:t>Wydział Architektury i Budownictwa UMT,</w:t>
      </w:r>
    </w:p>
    <w:p w:rsidR="000B1192" w:rsidRPr="00EE4D16" w:rsidRDefault="000B1192" w:rsidP="00EA4781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EE4D16">
        <w:rPr>
          <w:sz w:val="18"/>
          <w:szCs w:val="18"/>
        </w:rPr>
        <w:t>Budynek Główny UMT,</w:t>
      </w:r>
    </w:p>
    <w:p w:rsidR="000B1192" w:rsidRPr="00EE4D16" w:rsidRDefault="000B1192" w:rsidP="00EA4781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EE4D16">
        <w:rPr>
          <w:sz w:val="18"/>
          <w:szCs w:val="18"/>
        </w:rPr>
        <w:t xml:space="preserve">Biuletyn Informacji Publicznej (strona internetowa </w:t>
      </w:r>
      <w:hyperlink r:id="rId9" w:history="1">
        <w:r w:rsidRPr="00EE4D16">
          <w:rPr>
            <w:rStyle w:val="Hipercze"/>
            <w:sz w:val="18"/>
            <w:szCs w:val="18"/>
          </w:rPr>
          <w:t>www.um.torun.pl</w:t>
        </w:r>
      </w:hyperlink>
      <w:hyperlink r:id="rId10" w:history="1">
        <w:r w:rsidRPr="00EE4D16">
          <w:rPr>
            <w:rStyle w:val="Hipercze"/>
            <w:sz w:val="18"/>
            <w:szCs w:val="18"/>
          </w:rPr>
          <w:t>)</w:t>
        </w:r>
      </w:hyperlink>
    </w:p>
    <w:p w:rsidR="00C040AF" w:rsidRPr="00EE4D16" w:rsidRDefault="000B1192" w:rsidP="00EA4781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EE4D16">
        <w:rPr>
          <w:sz w:val="18"/>
          <w:szCs w:val="18"/>
        </w:rPr>
        <w:t>Informacja wywieszona w miejscu planowanego przedsięwzięcia</w:t>
      </w:r>
    </w:p>
    <w:p w:rsidR="00C263E9" w:rsidRPr="00EE4D16" w:rsidRDefault="000B1192" w:rsidP="00EA4781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EE4D16">
        <w:rPr>
          <w:sz w:val="18"/>
          <w:szCs w:val="18"/>
        </w:rPr>
        <w:lastRenderedPageBreak/>
        <w:t>A/a</w:t>
      </w:r>
      <w:r w:rsidR="005F56D8" w:rsidRPr="00EE4D16">
        <w:rPr>
          <w:sz w:val="18"/>
          <w:szCs w:val="18"/>
        </w:rPr>
        <w:t>;</w:t>
      </w:r>
      <w:r w:rsidRPr="00EE4D16">
        <w:rPr>
          <w:sz w:val="18"/>
          <w:szCs w:val="18"/>
        </w:rPr>
        <w:t xml:space="preserve"> </w:t>
      </w:r>
      <w:r w:rsidR="005F56D8" w:rsidRPr="00EE4D16">
        <w:rPr>
          <w:sz w:val="18"/>
          <w:szCs w:val="18"/>
        </w:rPr>
        <w:t xml:space="preserve">sprawę w </w:t>
      </w:r>
      <w:r w:rsidR="004D66F1" w:rsidRPr="00EE4D16">
        <w:rPr>
          <w:sz w:val="18"/>
          <w:szCs w:val="18"/>
        </w:rPr>
        <w:t>Wydziale Architektury i Budownictwa UMT przy ul. Grudziądzkiej 126B</w:t>
      </w:r>
      <w:r w:rsidR="005F56D8" w:rsidRPr="00EE4D16">
        <w:rPr>
          <w:sz w:val="18"/>
          <w:szCs w:val="18"/>
        </w:rPr>
        <w:t xml:space="preserve"> prowadzi Aleksandra Góra</w:t>
      </w:r>
      <w:r w:rsidR="003021E2" w:rsidRPr="00EE4D16">
        <w:rPr>
          <w:color w:val="000000"/>
          <w:sz w:val="18"/>
          <w:szCs w:val="18"/>
        </w:rPr>
        <w:t xml:space="preserve"> tel. 56 61184</w:t>
      </w:r>
      <w:r w:rsidR="004D66F1" w:rsidRPr="00EE4D16">
        <w:rPr>
          <w:color w:val="000000"/>
          <w:sz w:val="18"/>
          <w:szCs w:val="18"/>
        </w:rPr>
        <w:t>21</w:t>
      </w:r>
    </w:p>
    <w:sectPr w:rsidR="00C263E9" w:rsidRPr="00EE4D16" w:rsidSect="006F3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B0" w:rsidRDefault="000D1EB0" w:rsidP="000D1EB0">
      <w:pPr>
        <w:spacing w:after="0" w:line="240" w:lineRule="auto"/>
      </w:pPr>
      <w:r>
        <w:separator/>
      </w:r>
    </w:p>
  </w:endnote>
  <w:endnote w:type="continuationSeparator" w:id="0">
    <w:p w:rsidR="000D1EB0" w:rsidRDefault="000D1EB0" w:rsidP="000D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B0" w:rsidRDefault="000D1E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B0" w:rsidRDefault="000D1E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B0" w:rsidRDefault="000D1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B0" w:rsidRDefault="000D1EB0" w:rsidP="000D1EB0">
      <w:pPr>
        <w:spacing w:after="0" w:line="240" w:lineRule="auto"/>
      </w:pPr>
      <w:r>
        <w:separator/>
      </w:r>
    </w:p>
  </w:footnote>
  <w:footnote w:type="continuationSeparator" w:id="0">
    <w:p w:rsidR="000D1EB0" w:rsidRDefault="000D1EB0" w:rsidP="000D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B0" w:rsidRDefault="000D1E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B0" w:rsidRPr="000D1EB0" w:rsidRDefault="000D1EB0">
    <w:pPr>
      <w:pStyle w:val="Nagwek"/>
      <w:rPr>
        <w:rFonts w:ascii="Times New Roman" w:hAnsi="Times New Roman" w:cs="Times New Roman"/>
        <w:sz w:val="20"/>
        <w:szCs w:val="20"/>
      </w:rPr>
    </w:pPr>
    <w:bookmarkStart w:id="0" w:name="_GoBack"/>
    <w:r w:rsidRPr="000D1EB0">
      <w:rPr>
        <w:rFonts w:ascii="Times New Roman" w:hAnsi="Times New Roman" w:cs="Times New Roman"/>
        <w:sz w:val="20"/>
        <w:szCs w:val="20"/>
      </w:rPr>
      <w:t>PREZYDENT MIASTA TORUNIA</w:t>
    </w:r>
  </w:p>
  <w:p w:rsidR="000D1EB0" w:rsidRPr="000D1EB0" w:rsidRDefault="000D1EB0">
    <w:pPr>
      <w:pStyle w:val="Nagwek"/>
      <w:rPr>
        <w:rFonts w:ascii="Times New Roman" w:hAnsi="Times New Roman" w:cs="Times New Roman"/>
        <w:sz w:val="20"/>
        <w:szCs w:val="20"/>
      </w:rPr>
    </w:pPr>
    <w:r w:rsidRPr="000D1EB0">
      <w:rPr>
        <w:rFonts w:ascii="Times New Roman" w:hAnsi="Times New Roman" w:cs="Times New Roman"/>
        <w:sz w:val="20"/>
        <w:szCs w:val="20"/>
      </w:rPr>
      <w:t xml:space="preserve">        adres do doręczeń:</w:t>
    </w:r>
  </w:p>
  <w:p w:rsidR="000D1EB0" w:rsidRPr="000D1EB0" w:rsidRDefault="000D1EB0">
    <w:pPr>
      <w:pStyle w:val="Nagwek"/>
      <w:rPr>
        <w:rFonts w:ascii="Times New Roman" w:hAnsi="Times New Roman" w:cs="Times New Roman"/>
        <w:sz w:val="20"/>
        <w:szCs w:val="20"/>
      </w:rPr>
    </w:pPr>
    <w:r w:rsidRPr="000D1EB0">
      <w:rPr>
        <w:rFonts w:ascii="Times New Roman" w:hAnsi="Times New Roman" w:cs="Times New Roman"/>
        <w:sz w:val="20"/>
        <w:szCs w:val="20"/>
      </w:rPr>
      <w:t>87-100 Toruń, ul. Grudziądzka 126 b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B0" w:rsidRDefault="000D1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B78DE"/>
    <w:multiLevelType w:val="hybridMultilevel"/>
    <w:tmpl w:val="DEDC5F44"/>
    <w:lvl w:ilvl="0" w:tplc="206A0B6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B1192"/>
    <w:rsid w:val="000D1EB0"/>
    <w:rsid w:val="00101A60"/>
    <w:rsid w:val="00193315"/>
    <w:rsid w:val="001E2F3F"/>
    <w:rsid w:val="002568C9"/>
    <w:rsid w:val="00276ACC"/>
    <w:rsid w:val="002948F4"/>
    <w:rsid w:val="002C5B49"/>
    <w:rsid w:val="003021E2"/>
    <w:rsid w:val="00362C4A"/>
    <w:rsid w:val="003E12EA"/>
    <w:rsid w:val="004733DE"/>
    <w:rsid w:val="004A340D"/>
    <w:rsid w:val="004B0AA3"/>
    <w:rsid w:val="004D66F1"/>
    <w:rsid w:val="0050793A"/>
    <w:rsid w:val="005258EB"/>
    <w:rsid w:val="005439CC"/>
    <w:rsid w:val="00574948"/>
    <w:rsid w:val="00595D5D"/>
    <w:rsid w:val="005A7D1D"/>
    <w:rsid w:val="005F56D8"/>
    <w:rsid w:val="006042B3"/>
    <w:rsid w:val="00650CF3"/>
    <w:rsid w:val="00654CF9"/>
    <w:rsid w:val="006D6D13"/>
    <w:rsid w:val="006F32E6"/>
    <w:rsid w:val="007017B6"/>
    <w:rsid w:val="008115BD"/>
    <w:rsid w:val="00843620"/>
    <w:rsid w:val="008A28BD"/>
    <w:rsid w:val="008F5F50"/>
    <w:rsid w:val="0098579A"/>
    <w:rsid w:val="00A319F8"/>
    <w:rsid w:val="00A45FC8"/>
    <w:rsid w:val="00AA51F4"/>
    <w:rsid w:val="00AD4087"/>
    <w:rsid w:val="00BC24F0"/>
    <w:rsid w:val="00C040AF"/>
    <w:rsid w:val="00C15EAB"/>
    <w:rsid w:val="00C263E9"/>
    <w:rsid w:val="00C548C6"/>
    <w:rsid w:val="00C60E10"/>
    <w:rsid w:val="00C76EA6"/>
    <w:rsid w:val="00CA2FF1"/>
    <w:rsid w:val="00D05718"/>
    <w:rsid w:val="00DB2EA1"/>
    <w:rsid w:val="00DE73B0"/>
    <w:rsid w:val="00EA4781"/>
    <w:rsid w:val="00EE4D16"/>
    <w:rsid w:val="00F1329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EB0"/>
  </w:style>
  <w:style w:type="paragraph" w:styleId="Stopka">
    <w:name w:val="footer"/>
    <w:basedOn w:val="Normalny"/>
    <w:link w:val="StopkaZnak"/>
    <w:uiPriority w:val="99"/>
    <w:unhideWhenUsed/>
    <w:rsid w:val="000D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9AB0-7BDA-409D-8B7D-A153FEC2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24</cp:revision>
  <cp:lastPrinted>2023-10-03T11:19:00Z</cp:lastPrinted>
  <dcterms:created xsi:type="dcterms:W3CDTF">2010-09-07T12:29:00Z</dcterms:created>
  <dcterms:modified xsi:type="dcterms:W3CDTF">2023-10-03T13:05:00Z</dcterms:modified>
</cp:coreProperties>
</file>