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B72B52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94113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  września</w:t>
      </w:r>
      <w:r w:rsidRPr="00B72B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CB505C" w:rsidRPr="00B72B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94113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B72B52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B72B52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B72B52" w:rsidRPr="00B72B52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9664DB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CB505C" w:rsidRPr="00B72B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30518" w:rsidRPr="00B72B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W6</w:t>
      </w:r>
    </w:p>
    <w:p w:rsidR="00BD1EE6" w:rsidRPr="00B72B52" w:rsidRDefault="006F5EB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Akta: </w:t>
      </w:r>
      <w:r w:rsidR="00B72B52" w:rsidRPr="00B72B52">
        <w:rPr>
          <w:rFonts w:ascii="Times New Roman" w:eastAsia="Times New Roman" w:hAnsi="Times New Roman" w:cs="Times New Roman"/>
          <w:color w:val="000000"/>
          <w:lang w:eastAsia="pl-PL"/>
        </w:rPr>
        <w:t>306/V/79 (3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B72B52" w:rsidRPr="00B72B52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72B52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4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          /2023</w:t>
      </w:r>
    </w:p>
    <w:p w:rsidR="00BD1EE6" w:rsidRPr="000E4D14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EE6" w:rsidRPr="00B72B52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C411BC" w:rsidRPr="00B72B52" w:rsidRDefault="00BD1EE6" w:rsidP="006F33B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art. 71 ust. 2 pkt 2, art. 75 ust. 1 pkt 4, art. 84, art. 85 ust. 1 oraz ust. 2 pkt</w:t>
      </w:r>
      <w:r w:rsidR="00F42471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B6413C" w:rsidRPr="00B72B5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3 października 2008 r. o udostępnianiu informacji o środowisku i jego ochronie, udziale społeczeństwa w ochronie środowiska </w:t>
      </w:r>
      <w:r w:rsidR="002B3652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oraz o ocenach oddziaływania na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środowisko (</w:t>
      </w:r>
      <w:r w:rsidR="000870D2" w:rsidRPr="00B72B52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1E20BE" w:rsidRPr="00B72B5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0870D2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B41356" w:rsidRPr="00B72B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930518" w:rsidRPr="00B72B52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B72B52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155A20" w:rsidRPr="00B72B52" w:rsidRDefault="00C411BC" w:rsidP="006F33B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hAnsi="Times New Roman" w:cs="Times New Roman"/>
        </w:rPr>
        <w:t>§ 3 ust.</w:t>
      </w:r>
      <w:r w:rsidR="00930518" w:rsidRPr="00B72B52">
        <w:rPr>
          <w:rFonts w:ascii="Times New Roman" w:hAnsi="Times New Roman" w:cs="Times New Roman"/>
        </w:rPr>
        <w:t xml:space="preserve"> 1</w:t>
      </w:r>
      <w:r w:rsidRPr="00B72B52">
        <w:rPr>
          <w:rFonts w:ascii="Times New Roman" w:hAnsi="Times New Roman" w:cs="Times New Roman"/>
        </w:rPr>
        <w:t xml:space="preserve"> </w:t>
      </w:r>
      <w:r w:rsidR="00B41356" w:rsidRPr="00B72B52">
        <w:rPr>
          <w:rStyle w:val="Domylnaczcionkaakapitu1"/>
          <w:rFonts w:ascii="Times New Roman" w:hAnsi="Times New Roman" w:cs="Times New Roman"/>
          <w:color w:val="000000"/>
        </w:rPr>
        <w:t xml:space="preserve">pkt </w:t>
      </w:r>
      <w:r w:rsidR="00941132">
        <w:rPr>
          <w:rStyle w:val="Domylnaczcionkaakapitu1"/>
          <w:rFonts w:ascii="Times New Roman" w:hAnsi="Times New Roman" w:cs="Times New Roman"/>
          <w:color w:val="000000"/>
        </w:rPr>
        <w:t>11</w:t>
      </w:r>
      <w:r w:rsidR="00B72B52" w:rsidRPr="00B72B52">
        <w:rPr>
          <w:rFonts w:ascii="Times New Roman" w:hAnsi="Times New Roman" w:cs="Times New Roman"/>
        </w:rPr>
        <w:t xml:space="preserve"> </w:t>
      </w:r>
      <w:r w:rsidR="00155A20" w:rsidRPr="00B72B52">
        <w:rPr>
          <w:rFonts w:ascii="Times New Roman" w:hAnsi="Times New Roman" w:cs="Times New Roman"/>
          <w:color w:val="000000"/>
        </w:rPr>
        <w:t xml:space="preserve">rozporządzenia Rady Ministrów z dnia </w:t>
      </w:r>
      <w:r w:rsidR="00B41356" w:rsidRPr="00B72B52">
        <w:rPr>
          <w:rFonts w:ascii="Times New Roman" w:hAnsi="Times New Roman" w:cs="Times New Roman"/>
          <w:color w:val="000000"/>
        </w:rPr>
        <w:t>10</w:t>
      </w:r>
      <w:r w:rsidR="00155A20" w:rsidRPr="00B72B52">
        <w:rPr>
          <w:rFonts w:ascii="Times New Roman" w:hAnsi="Times New Roman" w:cs="Times New Roman"/>
          <w:color w:val="000000"/>
        </w:rPr>
        <w:t xml:space="preserve"> </w:t>
      </w:r>
      <w:r w:rsidR="00B41356" w:rsidRPr="00B72B52">
        <w:rPr>
          <w:rFonts w:ascii="Times New Roman" w:hAnsi="Times New Roman" w:cs="Times New Roman"/>
          <w:color w:val="000000"/>
        </w:rPr>
        <w:t>września 2019</w:t>
      </w:r>
      <w:r w:rsidR="00155A20" w:rsidRPr="00B72B52">
        <w:rPr>
          <w:rFonts w:ascii="Times New Roman" w:hAnsi="Times New Roman" w:cs="Times New Roman"/>
          <w:color w:val="000000"/>
        </w:rPr>
        <w:t xml:space="preserve"> r. w sprawie przedsięwzięć mogących znacząco oddziaływać na środowisko (</w:t>
      </w:r>
      <w:r w:rsidR="000870D2" w:rsidRPr="00B72B52">
        <w:rPr>
          <w:rFonts w:ascii="Times New Roman" w:hAnsi="Times New Roman" w:cs="Times New Roman"/>
          <w:color w:val="000000"/>
        </w:rPr>
        <w:t xml:space="preserve">tekst jednolity </w:t>
      </w:r>
      <w:r w:rsidR="00155A20" w:rsidRPr="00B72B52">
        <w:rPr>
          <w:rFonts w:ascii="Times New Roman" w:hAnsi="Times New Roman" w:cs="Times New Roman"/>
          <w:color w:val="000000"/>
        </w:rPr>
        <w:t>Dz. U. z 201</w:t>
      </w:r>
      <w:r w:rsidR="00B41356" w:rsidRPr="00B72B52">
        <w:rPr>
          <w:rFonts w:ascii="Times New Roman" w:hAnsi="Times New Roman" w:cs="Times New Roman"/>
          <w:color w:val="000000"/>
        </w:rPr>
        <w:t>9</w:t>
      </w:r>
      <w:r w:rsidR="00311E39" w:rsidRPr="00B72B52">
        <w:rPr>
          <w:rFonts w:ascii="Times New Roman" w:hAnsi="Times New Roman" w:cs="Times New Roman"/>
          <w:color w:val="000000"/>
        </w:rPr>
        <w:t xml:space="preserve"> </w:t>
      </w:r>
      <w:r w:rsidR="000870D2" w:rsidRPr="00B72B52">
        <w:rPr>
          <w:rFonts w:ascii="Times New Roman" w:hAnsi="Times New Roman" w:cs="Times New Roman"/>
          <w:color w:val="000000"/>
        </w:rPr>
        <w:t>r.</w:t>
      </w:r>
      <w:r w:rsidR="00155A20" w:rsidRPr="00B72B52">
        <w:rPr>
          <w:rFonts w:ascii="Times New Roman" w:hAnsi="Times New Roman" w:cs="Times New Roman"/>
          <w:color w:val="000000"/>
        </w:rPr>
        <w:t xml:space="preserve">, poz. </w:t>
      </w:r>
      <w:r w:rsidR="00B41356" w:rsidRPr="00B72B52">
        <w:rPr>
          <w:rFonts w:ascii="Times New Roman" w:hAnsi="Times New Roman" w:cs="Times New Roman"/>
          <w:color w:val="000000"/>
        </w:rPr>
        <w:t>1839</w:t>
      </w:r>
      <w:r w:rsidR="00930518" w:rsidRPr="00B72B52">
        <w:rPr>
          <w:rFonts w:ascii="Times New Roman" w:hAnsi="Times New Roman" w:cs="Times New Roman"/>
          <w:color w:val="000000"/>
        </w:rPr>
        <w:t xml:space="preserve"> ze zm.</w:t>
      </w:r>
      <w:r w:rsidR="00155A20" w:rsidRPr="00B72B52">
        <w:rPr>
          <w:rFonts w:ascii="Times New Roman" w:hAnsi="Times New Roman" w:cs="Times New Roman"/>
          <w:color w:val="000000"/>
        </w:rPr>
        <w:t>)</w:t>
      </w:r>
      <w:r w:rsidR="00155A20" w:rsidRPr="00B72B52">
        <w:rPr>
          <w:rFonts w:ascii="Times New Roman" w:hAnsi="Times New Roman" w:cs="Times New Roman"/>
        </w:rPr>
        <w:t>;</w:t>
      </w:r>
    </w:p>
    <w:p w:rsidR="00BD1EE6" w:rsidRPr="00B72B52" w:rsidRDefault="00BD1EE6" w:rsidP="006F33B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art. 104</w:t>
      </w:r>
      <w:r w:rsidR="00B41356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ustawy z 14 czerwca 1960 r. Kodeks postępowania administracyjnego (tekst jednolity: Dz. U. z 20</w:t>
      </w:r>
      <w:r w:rsidR="00B41356" w:rsidRPr="00B72B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B41356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941132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B72B52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B72B52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28F7" w:rsidRPr="00B72B52" w:rsidRDefault="00EA28F7" w:rsidP="00014DBE">
      <w:pPr>
        <w:pStyle w:val="NormalnyWeb"/>
        <w:spacing w:before="0" w:beforeAutospacing="0" w:after="0"/>
        <w:jc w:val="both"/>
        <w:rPr>
          <w:sz w:val="22"/>
          <w:szCs w:val="22"/>
          <w:u w:val="single"/>
        </w:rPr>
      </w:pPr>
    </w:p>
    <w:p w:rsidR="006F33B5" w:rsidRPr="00B72B52" w:rsidRDefault="00BD1EE6" w:rsidP="00B41356">
      <w:pPr>
        <w:pStyle w:val="Tekstpodstawowywcity21"/>
        <w:ind w:left="0"/>
        <w:jc w:val="both"/>
        <w:rPr>
          <w:rStyle w:val="Domylnaczcionkaakapitu2"/>
          <w:sz w:val="22"/>
          <w:szCs w:val="22"/>
        </w:rPr>
      </w:pPr>
      <w:r w:rsidRPr="00B72B52">
        <w:rPr>
          <w:sz w:val="22"/>
          <w:szCs w:val="22"/>
          <w:u w:val="single"/>
        </w:rPr>
        <w:t>po rozpatrzeniu wniosku:</w:t>
      </w:r>
      <w:r w:rsidRPr="00B72B52">
        <w:rPr>
          <w:sz w:val="22"/>
          <w:szCs w:val="22"/>
        </w:rPr>
        <w:t xml:space="preserve"> </w:t>
      </w:r>
      <w:r w:rsidR="00941132">
        <w:rPr>
          <w:sz w:val="22"/>
          <w:szCs w:val="22"/>
        </w:rPr>
        <w:t xml:space="preserve">spółki Energosteel Polska Sp. z o.o. z siedzibą na Pl. Wolnica 13/10, 31-060 Kraków, reprezentowanej przez pełnomocnika Panią Annę Plebanek – Liro, z dnia: 20 marca 2023 r., </w:t>
      </w:r>
      <w:r w:rsidR="00941132" w:rsidRPr="00C55EDA">
        <w:rPr>
          <w:sz w:val="22"/>
          <w:szCs w:val="22"/>
        </w:rPr>
        <w:t xml:space="preserve">nr w rejestrze tut. organu l.dz. </w:t>
      </w:r>
      <w:r w:rsidR="00941132">
        <w:rPr>
          <w:sz w:val="22"/>
          <w:szCs w:val="22"/>
        </w:rPr>
        <w:t>1827</w:t>
      </w:r>
      <w:r w:rsidR="00941132" w:rsidRPr="00C55EDA">
        <w:rPr>
          <w:sz w:val="22"/>
          <w:szCs w:val="22"/>
        </w:rPr>
        <w:t>/20</w:t>
      </w:r>
      <w:r w:rsidR="00941132">
        <w:rPr>
          <w:sz w:val="22"/>
          <w:szCs w:val="22"/>
        </w:rPr>
        <w:t xml:space="preserve">23 (RPW/20327/2023), </w:t>
      </w:r>
      <w:r w:rsidR="00941132">
        <w:rPr>
          <w:rStyle w:val="Domylnaczcionkaakapitu1"/>
          <w:sz w:val="22"/>
          <w:szCs w:val="22"/>
        </w:rPr>
        <w:t>uzupełnionego w dniu: 24 kwietnia 2023 r., l.dz. 2661/2023 oraz w dniu 8 maja 2023 r. l.dz. 2960/2023</w:t>
      </w:r>
      <w:r w:rsidR="00675EEC" w:rsidRPr="00B72B52">
        <w:rPr>
          <w:rStyle w:val="Domylnaczcionkaakapitu2"/>
          <w:sz w:val="22"/>
          <w:szCs w:val="22"/>
        </w:rPr>
        <w:t>,</w:t>
      </w:r>
    </w:p>
    <w:p w:rsidR="00675EEC" w:rsidRDefault="00675EEC" w:rsidP="00B41356">
      <w:pPr>
        <w:pStyle w:val="Tekstpodstawowywcity21"/>
        <w:ind w:left="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7054E5" w:rsidRPr="00B72B52" w:rsidRDefault="007054E5" w:rsidP="00B41356">
      <w:pPr>
        <w:pStyle w:val="Tekstpodstawowywcity21"/>
        <w:ind w:left="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BD1EE6" w:rsidRPr="00B72B52" w:rsidRDefault="00BD1EE6" w:rsidP="00C411BC">
      <w:pPr>
        <w:pStyle w:val="Tekstpodstawowywcity21"/>
        <w:ind w:left="0"/>
        <w:rPr>
          <w:rFonts w:eastAsia="Times New Roman"/>
          <w:sz w:val="22"/>
          <w:szCs w:val="22"/>
          <w:lang w:eastAsia="pl-PL"/>
        </w:rPr>
      </w:pPr>
      <w:r w:rsidRPr="00B72B52">
        <w:rPr>
          <w:rFonts w:eastAsia="Times New Roman"/>
          <w:b/>
          <w:bCs/>
          <w:sz w:val="22"/>
          <w:szCs w:val="22"/>
          <w:lang w:eastAsia="pl-PL"/>
        </w:rPr>
        <w:t>Stwierdzam</w:t>
      </w:r>
    </w:p>
    <w:p w:rsidR="00BD1EE6" w:rsidRPr="00B72B5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B72B5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C532B1" w:rsidRDefault="00C532B1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54E5" w:rsidRPr="00B72B52" w:rsidRDefault="007054E5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1132" w:rsidRPr="00941132" w:rsidRDefault="00941132" w:rsidP="009411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941132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„zainstalowanie głównych urządzeń technologicznych i urządzeń pomocniczych linii walcowania i kucia do produkcji kul do młynów kulowych w hali H7 przy ul. Droga Starotoruńska 5 </w:t>
      </w:r>
      <w:r w:rsidR="007054E5">
        <w:rPr>
          <w:rFonts w:ascii="Times New Roman" w:eastAsia="Arial Unicode MS" w:hAnsi="Times New Roman" w:cs="Times New Roman"/>
          <w:b/>
          <w:kern w:val="1"/>
          <w:lang w:eastAsia="ar-SA"/>
        </w:rPr>
        <w:br/>
      </w:r>
      <w:r w:rsidRPr="00941132">
        <w:rPr>
          <w:rFonts w:ascii="Times New Roman" w:eastAsia="Arial Unicode MS" w:hAnsi="Times New Roman" w:cs="Times New Roman"/>
          <w:b/>
          <w:kern w:val="1"/>
          <w:lang w:eastAsia="ar-SA"/>
        </w:rPr>
        <w:t>w Toruniu (dz. 112/33 – obręb 22)</w:t>
      </w:r>
    </w:p>
    <w:p w:rsidR="00941132" w:rsidRPr="00941132" w:rsidRDefault="00941132" w:rsidP="009411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941132">
        <w:rPr>
          <w:rFonts w:ascii="Times New Roman" w:eastAsia="Arial Unicode MS" w:hAnsi="Times New Roman" w:cs="Times New Roman"/>
          <w:b/>
          <w:kern w:val="1"/>
          <w:lang w:eastAsia="ar-SA"/>
        </w:rPr>
        <w:t>wykaz działek w zasięgu 100m od granic przedsięwzięcia:</w:t>
      </w:r>
    </w:p>
    <w:p w:rsidR="006F33B5" w:rsidRDefault="00941132" w:rsidP="009411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941132">
        <w:rPr>
          <w:rFonts w:ascii="Times New Roman" w:eastAsia="Arial Unicode MS" w:hAnsi="Times New Roman" w:cs="Times New Roman"/>
          <w:b/>
          <w:kern w:val="1"/>
          <w:lang w:eastAsia="ar-SA"/>
        </w:rPr>
        <w:t>obręb 22 – dz. 112/24, 112/21, 112/22, 112/25, 112/27, 96/53, 96/43, 96/51, 96/34, 112/34, 96/49, 96/32, 97/10, 113/2, 178, 188, 96/46,</w:t>
      </w:r>
    </w:p>
    <w:p w:rsidR="00941132" w:rsidRPr="00B72B52" w:rsidRDefault="00941132" w:rsidP="00941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344B" w:rsidRPr="00B72B52" w:rsidRDefault="00BB344B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Jednocześnie zgodnie z art. 84 ust. 1a określam następujące warunki:</w:t>
      </w:r>
    </w:p>
    <w:p w:rsidR="006F33B5" w:rsidRPr="00B72B52" w:rsidRDefault="006F33B5" w:rsidP="008B13F6">
      <w:pPr>
        <w:pStyle w:val="Standard"/>
        <w:numPr>
          <w:ilvl w:val="0"/>
          <w:numId w:val="5"/>
        </w:numPr>
        <w:ind w:left="284" w:hanging="284"/>
        <w:jc w:val="both"/>
        <w:textAlignment w:val="auto"/>
        <w:rPr>
          <w:rFonts w:eastAsia="Arial"/>
          <w:bCs/>
          <w:color w:val="000000"/>
          <w:sz w:val="22"/>
          <w:szCs w:val="22"/>
        </w:rPr>
      </w:pPr>
      <w:r w:rsidRPr="00B72B52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941132" w:rsidRDefault="00941132" w:rsidP="0094113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</w:rPr>
      </w:pPr>
      <w:r w:rsidRPr="00941132">
        <w:rPr>
          <w:rFonts w:ascii="Times New Roman" w:eastAsia="Calibri" w:hAnsi="Times New Roman"/>
        </w:rPr>
        <w:t>W celu minimalizacji i ograniczenia oddziaływań związanych z emisją hałasu, wibracji</w:t>
      </w:r>
      <w:r>
        <w:rPr>
          <w:rFonts w:ascii="Times New Roman" w:eastAsia="Calibri" w:hAnsi="Times New Roman"/>
        </w:rPr>
        <w:t xml:space="preserve"> </w:t>
      </w:r>
      <w:r w:rsidR="007054E5">
        <w:rPr>
          <w:rFonts w:ascii="Times New Roman" w:eastAsia="Calibri" w:hAnsi="Times New Roman"/>
        </w:rPr>
        <w:br/>
      </w:r>
      <w:r w:rsidRPr="00941132">
        <w:rPr>
          <w:rFonts w:ascii="Times New Roman" w:eastAsia="Calibri" w:hAnsi="Times New Roman"/>
        </w:rPr>
        <w:t>i zanieczyszczeń do powietrza, uciążliwe prace montażowe (przede wszystkim prace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hałaśliwe oraz związane z wykorzystywaniem ciężkiego sprzętu/transportu)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w sąsiedztwie terenów objętych ochroną przed hałasem, prowadzić wyłącznie w porze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dziennej, tj. w godzinach 6</w:t>
      </w:r>
      <w:r w:rsidR="007054E5">
        <w:rPr>
          <w:rFonts w:ascii="Times New Roman" w:eastAsia="Calibri" w:hAnsi="Times New Roman"/>
        </w:rPr>
        <w:t>:</w:t>
      </w:r>
      <w:r w:rsidRPr="00941132">
        <w:rPr>
          <w:rFonts w:ascii="Times New Roman" w:eastAsia="Calibri" w:hAnsi="Times New Roman"/>
        </w:rPr>
        <w:t>00-22</w:t>
      </w:r>
      <w:r w:rsidR="007054E5">
        <w:rPr>
          <w:rFonts w:ascii="Times New Roman" w:eastAsia="Calibri" w:hAnsi="Times New Roman"/>
        </w:rPr>
        <w:t>:</w:t>
      </w:r>
      <w:r w:rsidRPr="00941132">
        <w:rPr>
          <w:rFonts w:ascii="Times New Roman" w:eastAsia="Calibri" w:hAnsi="Times New Roman"/>
        </w:rPr>
        <w:t>00.</w:t>
      </w:r>
    </w:p>
    <w:p w:rsidR="00941132" w:rsidRDefault="00941132" w:rsidP="0094113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</w:rPr>
      </w:pPr>
      <w:r w:rsidRPr="00941132">
        <w:rPr>
          <w:rFonts w:ascii="Times New Roman" w:eastAsia="Calibri" w:hAnsi="Times New Roman"/>
        </w:rPr>
        <w:t>W celu zabezpieczenia gruntu oraz wód podziemnych i powierzchniowych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przed zanieczyszczeniem substancjami ropopochodnymi, podczas realizacji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inwestycji, używać wyłącznie sprawnego sprzętu i monitorować ewentualne wycieki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substancji ropopochodnych, które mogą powstać w wyniku awarii oraz zapewnić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dostępność sorbentów. W przypadku wycieku substancji niebezpiecznych,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 xml:space="preserve">zanieczyszczony grunt lub zużyty sorbent zebrać </w:t>
      </w:r>
      <w:r w:rsidR="007054E5">
        <w:rPr>
          <w:rFonts w:ascii="Times New Roman" w:eastAsia="Calibri" w:hAnsi="Times New Roman"/>
        </w:rPr>
        <w:br/>
      </w:r>
      <w:r w:rsidRPr="00941132">
        <w:rPr>
          <w:rFonts w:ascii="Times New Roman" w:eastAsia="Calibri" w:hAnsi="Times New Roman"/>
        </w:rPr>
        <w:t>i przekazać uprawnionym odbiorcom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odpadów.</w:t>
      </w:r>
      <w:r>
        <w:rPr>
          <w:rFonts w:ascii="Times New Roman" w:eastAsia="Calibri" w:hAnsi="Times New Roman"/>
        </w:rPr>
        <w:t xml:space="preserve"> </w:t>
      </w:r>
    </w:p>
    <w:p w:rsidR="00941132" w:rsidRDefault="00941132" w:rsidP="0094113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</w:rPr>
      </w:pPr>
      <w:r w:rsidRPr="00941132">
        <w:rPr>
          <w:rFonts w:ascii="Times New Roman" w:eastAsia="Calibri" w:hAnsi="Times New Roman"/>
        </w:rPr>
        <w:t>Linie technologiczne uruchamiać do pracy jedynie przy zamkniętych drzwiach</w:t>
      </w:r>
      <w:r>
        <w:rPr>
          <w:rFonts w:ascii="Times New Roman" w:eastAsia="Calibri" w:hAnsi="Times New Roman"/>
        </w:rPr>
        <w:t xml:space="preserve"> </w:t>
      </w:r>
      <w:r w:rsidRPr="00941132">
        <w:rPr>
          <w:rFonts w:ascii="Times New Roman" w:eastAsia="Calibri" w:hAnsi="Times New Roman"/>
        </w:rPr>
        <w:t>i oknach.</w:t>
      </w:r>
    </w:p>
    <w:p w:rsidR="00941132" w:rsidRPr="00941132" w:rsidRDefault="00941132" w:rsidP="00941132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</w:rPr>
      </w:pPr>
      <w:r w:rsidRPr="00941132">
        <w:rPr>
          <w:rFonts w:ascii="Times New Roman" w:eastAsia="Calibri" w:hAnsi="Times New Roman"/>
        </w:rPr>
        <w:t>Linie technologiczne zasilać energią elektryczną.</w:t>
      </w:r>
    </w:p>
    <w:p w:rsidR="00AF235A" w:rsidRPr="00AF235A" w:rsidRDefault="00941132" w:rsidP="00AF23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235A">
        <w:rPr>
          <w:rFonts w:ascii="Times New Roman" w:eastAsia="Times New Roman" w:hAnsi="Times New Roman" w:cs="Times New Roman"/>
          <w:lang w:eastAsia="pl-PL"/>
        </w:rPr>
        <w:t xml:space="preserve">Wymagania dotyczące ochrony środowiska konieczne do uwzględnienia w dokumentacji </w:t>
      </w:r>
      <w:r w:rsidR="00AF235A" w:rsidRPr="00AF235A">
        <w:rPr>
          <w:rFonts w:ascii="Times New Roman" w:eastAsia="Times New Roman" w:hAnsi="Times New Roman" w:cs="Times New Roman"/>
          <w:lang w:eastAsia="pl-PL"/>
        </w:rPr>
        <w:t>wymaganej do wydania decyzji, o których mowa w art. 72 ust. 1,</w:t>
      </w:r>
      <w:r w:rsidR="00AF23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235A" w:rsidRPr="00AF235A">
        <w:rPr>
          <w:rFonts w:ascii="Times New Roman" w:eastAsia="Times New Roman" w:hAnsi="Times New Roman" w:cs="Times New Roman"/>
          <w:lang w:eastAsia="pl-PL"/>
        </w:rPr>
        <w:t xml:space="preserve">w szczególności w projekcie </w:t>
      </w:r>
      <w:r w:rsidR="00AF235A" w:rsidRPr="00AF235A">
        <w:rPr>
          <w:rFonts w:ascii="Times New Roman" w:eastAsia="Times New Roman" w:hAnsi="Times New Roman" w:cs="Times New Roman"/>
          <w:lang w:eastAsia="pl-PL"/>
        </w:rPr>
        <w:lastRenderedPageBreak/>
        <w:t>budowlanym, w przypadku decyzji, o których mowa</w:t>
      </w:r>
      <w:r w:rsidR="00AF23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235A" w:rsidRPr="00AF235A">
        <w:rPr>
          <w:rFonts w:ascii="Times New Roman" w:eastAsia="Times New Roman" w:hAnsi="Times New Roman" w:cs="Times New Roman"/>
          <w:lang w:eastAsia="pl-PL"/>
        </w:rPr>
        <w:t xml:space="preserve">w art. 72 ust.1 pkt 1, 10, 14, 18 i 21, w tym </w:t>
      </w:r>
      <w:r w:rsidR="007054E5">
        <w:rPr>
          <w:rFonts w:ascii="Times New Roman" w:eastAsia="Times New Roman" w:hAnsi="Times New Roman" w:cs="Times New Roman"/>
          <w:lang w:eastAsia="pl-PL"/>
        </w:rPr>
        <w:br/>
      </w:r>
      <w:r w:rsidR="00AF235A" w:rsidRPr="00AF235A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AF235A" w:rsidRPr="00AF235A" w:rsidRDefault="00AF235A" w:rsidP="00AF235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35A">
        <w:rPr>
          <w:rFonts w:ascii="Times New Roman" w:eastAsia="Times New Roman" w:hAnsi="Times New Roman" w:cs="Times New Roman"/>
          <w:lang w:eastAsia="pl-PL"/>
        </w:rPr>
        <w:t>Ścieki bytowe odprowadzać na etapie eksploatacji inwestycji do miejskiej sieci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235A">
        <w:rPr>
          <w:rFonts w:ascii="Times New Roman" w:eastAsia="Times New Roman" w:hAnsi="Times New Roman" w:cs="Times New Roman"/>
          <w:lang w:eastAsia="pl-PL"/>
        </w:rPr>
        <w:t>kanalizacji sanitarnej.</w:t>
      </w:r>
    </w:p>
    <w:p w:rsidR="00AF235A" w:rsidRPr="00AF235A" w:rsidRDefault="00AF235A" w:rsidP="00AF2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EE6" w:rsidRPr="00AF235A" w:rsidRDefault="00BD1EE6" w:rsidP="00AF235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35A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7D4EF7" w:rsidRPr="008463E1" w:rsidRDefault="008463E1" w:rsidP="0067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3E1">
        <w:rPr>
          <w:rFonts w:ascii="Times New Roman" w:hAnsi="Times New Roman" w:cs="Times New Roman"/>
        </w:rPr>
        <w:t xml:space="preserve">Projektowane przedsięwzięcie polega na </w:t>
      </w:r>
      <w:r w:rsidR="00AF235A">
        <w:rPr>
          <w:rFonts w:ascii="Times New Roman" w:hAnsi="Times New Roman" w:cs="Times New Roman"/>
        </w:rPr>
        <w:t>zainstalowaniu 2 linii technologicznych do produkcji kul do młynów w zakładzie TOWIMOR S.A. przy ul. Droga Starotorunska 5 w Toruniu. Linie technologiczne zainstalowane zostaną w hali H7, o powierzchni zabudowy 2552m</w:t>
      </w:r>
      <w:r w:rsidR="00AF235A" w:rsidRPr="00AF235A">
        <w:rPr>
          <w:rFonts w:ascii="Times New Roman" w:hAnsi="Times New Roman" w:cs="Times New Roman"/>
          <w:vertAlign w:val="superscript"/>
        </w:rPr>
        <w:t>2</w:t>
      </w:r>
      <w:r w:rsidR="00AF235A">
        <w:rPr>
          <w:rFonts w:ascii="Times New Roman" w:hAnsi="Times New Roman" w:cs="Times New Roman"/>
        </w:rPr>
        <w:t xml:space="preserve">. </w:t>
      </w:r>
    </w:p>
    <w:p w:rsidR="002640CE" w:rsidRDefault="002640CE" w:rsidP="00675E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4E5" w:rsidRPr="00B72B52" w:rsidRDefault="007054E5" w:rsidP="00675E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Pr="00B72B5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72B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BD1EE6" w:rsidRPr="00B72B52" w:rsidRDefault="00BD1EE6" w:rsidP="00155A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4E5" w:rsidRDefault="000C474B" w:rsidP="007054E5">
      <w:pPr>
        <w:pStyle w:val="Tekstpodstawowywcity21"/>
        <w:ind w:left="0" w:firstLine="708"/>
        <w:jc w:val="both"/>
        <w:rPr>
          <w:rStyle w:val="Domylnaczcionkaakapitu2"/>
          <w:bCs/>
          <w:color w:val="000000"/>
          <w:sz w:val="22"/>
          <w:szCs w:val="22"/>
        </w:rPr>
      </w:pPr>
      <w:r w:rsidRPr="00B72B52">
        <w:rPr>
          <w:color w:val="000000"/>
          <w:sz w:val="22"/>
          <w:szCs w:val="22"/>
        </w:rPr>
        <w:t xml:space="preserve">W dniu </w:t>
      </w:r>
      <w:r w:rsidR="00AF235A">
        <w:rPr>
          <w:sz w:val="22"/>
          <w:szCs w:val="22"/>
        </w:rPr>
        <w:t>20</w:t>
      </w:r>
      <w:r w:rsidR="008463E1" w:rsidRPr="008463E1">
        <w:rPr>
          <w:sz w:val="22"/>
          <w:szCs w:val="22"/>
        </w:rPr>
        <w:t xml:space="preserve"> marca 202</w:t>
      </w:r>
      <w:r w:rsidR="00AF235A">
        <w:rPr>
          <w:sz w:val="22"/>
          <w:szCs w:val="22"/>
        </w:rPr>
        <w:t>3</w:t>
      </w:r>
      <w:r w:rsidR="008463E1" w:rsidRPr="008463E1">
        <w:rPr>
          <w:sz w:val="22"/>
          <w:szCs w:val="22"/>
        </w:rPr>
        <w:t xml:space="preserve"> r.</w:t>
      </w:r>
      <w:r w:rsidR="008463E1" w:rsidRPr="00ED4BE5">
        <w:t xml:space="preserve"> </w:t>
      </w:r>
      <w:r w:rsidRPr="00B72B52">
        <w:rPr>
          <w:color w:val="000000"/>
          <w:sz w:val="22"/>
          <w:szCs w:val="22"/>
        </w:rPr>
        <w:t xml:space="preserve">do tut. organu wpłynął wniosek </w:t>
      </w:r>
      <w:r w:rsidR="008463E1" w:rsidRPr="008463E1">
        <w:rPr>
          <w:rStyle w:val="Domylnaczcionkaakapitu2"/>
          <w:sz w:val="22"/>
          <w:szCs w:val="22"/>
        </w:rPr>
        <w:t xml:space="preserve">spółki </w:t>
      </w:r>
      <w:r w:rsidR="00AF235A" w:rsidRPr="00AF235A">
        <w:rPr>
          <w:rStyle w:val="Domylnaczcionkaakapitu2"/>
          <w:sz w:val="22"/>
          <w:szCs w:val="22"/>
        </w:rPr>
        <w:t>Energosteel Polska Sp. z o.o. z siedzibą na Pl. Wolnica 13/10, 31-060 Kraków</w:t>
      </w:r>
      <w:r w:rsidR="008463E1" w:rsidRPr="008463E1">
        <w:rPr>
          <w:rStyle w:val="Domylnaczcionkaakapitu2"/>
          <w:sz w:val="22"/>
          <w:szCs w:val="22"/>
        </w:rPr>
        <w:t xml:space="preserve">, reprezentowanej przez </w:t>
      </w:r>
      <w:r w:rsidR="00AF235A">
        <w:rPr>
          <w:sz w:val="22"/>
          <w:szCs w:val="22"/>
        </w:rPr>
        <w:t>Panią Annę Plebanek – Liro</w:t>
      </w:r>
      <w:r w:rsidR="00AF235A" w:rsidRPr="00B72B52">
        <w:rPr>
          <w:color w:val="000000"/>
          <w:sz w:val="22"/>
          <w:szCs w:val="22"/>
        </w:rPr>
        <w:t xml:space="preserve"> </w:t>
      </w:r>
      <w:r w:rsidRPr="00B72B52">
        <w:rPr>
          <w:color w:val="000000"/>
          <w:sz w:val="22"/>
          <w:szCs w:val="22"/>
        </w:rPr>
        <w:t xml:space="preserve">w sprawie wydania decyzji o środowiskowych uwarunkowaniach dla przedsięwzięcia pn.: </w:t>
      </w:r>
      <w:r w:rsidR="00AF235A" w:rsidRPr="00AF235A">
        <w:rPr>
          <w:sz w:val="22"/>
          <w:szCs w:val="22"/>
        </w:rPr>
        <w:t xml:space="preserve">„zainstalowanie głównych urządzeń technologicznych i urządzeń pomocniczych linii walcowania </w:t>
      </w:r>
      <w:r w:rsidR="007054E5">
        <w:rPr>
          <w:sz w:val="22"/>
          <w:szCs w:val="22"/>
        </w:rPr>
        <w:br/>
      </w:r>
      <w:r w:rsidR="00AF235A" w:rsidRPr="00AF235A">
        <w:rPr>
          <w:sz w:val="22"/>
          <w:szCs w:val="22"/>
        </w:rPr>
        <w:t>i kucia do produkcji kul do młynów kulowych w hali H7 przy ul. Droga Starotoruńska 5 w Toruniu (dz. 112/33 – obręb 22)</w:t>
      </w:r>
      <w:r w:rsidR="00AF235A">
        <w:rPr>
          <w:sz w:val="22"/>
          <w:szCs w:val="22"/>
        </w:rPr>
        <w:t>”</w:t>
      </w:r>
      <w:r w:rsidR="004A7D3C" w:rsidRPr="00AF235A">
        <w:rPr>
          <w:rStyle w:val="Domylnaczcionkaakapitu2"/>
          <w:bCs/>
          <w:color w:val="000000"/>
          <w:sz w:val="22"/>
          <w:szCs w:val="22"/>
        </w:rPr>
        <w:t>.</w:t>
      </w:r>
    </w:p>
    <w:p w:rsidR="00311E39" w:rsidRPr="007054E5" w:rsidRDefault="00311E39" w:rsidP="007054E5">
      <w:pPr>
        <w:pStyle w:val="Tekstpodstawowywcity21"/>
        <w:ind w:left="0" w:firstLine="708"/>
        <w:jc w:val="both"/>
        <w:rPr>
          <w:bCs/>
          <w:color w:val="000000"/>
          <w:sz w:val="22"/>
          <w:szCs w:val="22"/>
        </w:rPr>
      </w:pPr>
      <w:r w:rsidRPr="00B72B52">
        <w:rPr>
          <w:sz w:val="22"/>
          <w:szCs w:val="22"/>
        </w:rPr>
        <w:t>Wyżej wymienioną inwestycję</w:t>
      </w:r>
      <w:r w:rsidRPr="00B72B52">
        <w:rPr>
          <w:b/>
          <w:bCs/>
          <w:sz w:val="22"/>
          <w:szCs w:val="22"/>
        </w:rPr>
        <w:t xml:space="preserve"> </w:t>
      </w:r>
      <w:r w:rsidRPr="00B72B52">
        <w:rPr>
          <w:sz w:val="22"/>
          <w:szCs w:val="22"/>
        </w:rPr>
        <w:t>zaliczono</w:t>
      </w:r>
      <w:r w:rsidRPr="00B72B52">
        <w:rPr>
          <w:b/>
          <w:sz w:val="22"/>
          <w:szCs w:val="22"/>
        </w:rPr>
        <w:t xml:space="preserve"> </w:t>
      </w:r>
      <w:r w:rsidRPr="00B72B52">
        <w:rPr>
          <w:sz w:val="22"/>
          <w:szCs w:val="22"/>
        </w:rPr>
        <w:t>do przedsięwzięć</w:t>
      </w:r>
      <w:r w:rsidRPr="00B72B52">
        <w:rPr>
          <w:b/>
          <w:bCs/>
          <w:sz w:val="22"/>
          <w:szCs w:val="22"/>
        </w:rPr>
        <w:t xml:space="preserve"> </w:t>
      </w:r>
      <w:r w:rsidRPr="00B72B52">
        <w:rPr>
          <w:sz w:val="22"/>
          <w:szCs w:val="22"/>
        </w:rPr>
        <w:t>o których mowa w art. 71 u</w:t>
      </w:r>
      <w:r w:rsidR="000C474B" w:rsidRPr="00B72B52">
        <w:rPr>
          <w:sz w:val="22"/>
          <w:szCs w:val="22"/>
        </w:rPr>
        <w:t>st</w:t>
      </w:r>
      <w:r w:rsidR="00675EEC" w:rsidRPr="00B72B52">
        <w:rPr>
          <w:sz w:val="22"/>
          <w:szCs w:val="22"/>
        </w:rPr>
        <w:t>.</w:t>
      </w:r>
      <w:r w:rsidR="007054E5">
        <w:rPr>
          <w:sz w:val="22"/>
          <w:szCs w:val="22"/>
        </w:rPr>
        <w:t xml:space="preserve"> 2 pkt 2 </w:t>
      </w:r>
      <w:r w:rsidR="000C474B" w:rsidRPr="00B72B52">
        <w:rPr>
          <w:sz w:val="22"/>
          <w:szCs w:val="22"/>
        </w:rPr>
        <w:t xml:space="preserve">ustawy z dnia 3 października </w:t>
      </w:r>
      <w:r w:rsidRPr="00B72B52">
        <w:rPr>
          <w:sz w:val="22"/>
          <w:szCs w:val="22"/>
        </w:rPr>
        <w:t xml:space="preserve">2008r. - </w:t>
      </w:r>
      <w:r w:rsidR="007054E5">
        <w:rPr>
          <w:iCs/>
          <w:sz w:val="22"/>
          <w:szCs w:val="22"/>
        </w:rPr>
        <w:t>o udostępnianiu informacji</w:t>
      </w:r>
      <w:r w:rsidRPr="00B72B52">
        <w:rPr>
          <w:iCs/>
          <w:sz w:val="22"/>
          <w:szCs w:val="22"/>
        </w:rPr>
        <w:t xml:space="preserve"> o środowisku i jego ochronie, udziale społeczeństwa w ochronie środowiska oraz o ocenach oddziaływania na środowisko</w:t>
      </w:r>
      <w:r w:rsidRPr="00B72B52">
        <w:rPr>
          <w:sz w:val="22"/>
          <w:szCs w:val="22"/>
        </w:rPr>
        <w:t xml:space="preserve"> </w:t>
      </w:r>
      <w:r w:rsidRPr="00B72B52">
        <w:rPr>
          <w:iCs/>
          <w:sz w:val="22"/>
          <w:szCs w:val="22"/>
        </w:rPr>
        <w:t>(tekst jednolity Dz. U. z 20</w:t>
      </w:r>
      <w:r w:rsidR="00194777" w:rsidRPr="00B72B52">
        <w:rPr>
          <w:iCs/>
          <w:sz w:val="22"/>
          <w:szCs w:val="22"/>
        </w:rPr>
        <w:t>2</w:t>
      </w:r>
      <w:r w:rsidR="00D02012">
        <w:rPr>
          <w:iCs/>
          <w:sz w:val="22"/>
          <w:szCs w:val="22"/>
        </w:rPr>
        <w:t>3</w:t>
      </w:r>
      <w:r w:rsidRPr="00B72B52">
        <w:rPr>
          <w:iCs/>
          <w:sz w:val="22"/>
          <w:szCs w:val="22"/>
        </w:rPr>
        <w:t xml:space="preserve"> r., poz. </w:t>
      </w:r>
      <w:r w:rsidR="00E51354" w:rsidRPr="00B72B52">
        <w:rPr>
          <w:iCs/>
          <w:sz w:val="22"/>
          <w:szCs w:val="22"/>
        </w:rPr>
        <w:t>10</w:t>
      </w:r>
      <w:r w:rsidR="00D02012">
        <w:rPr>
          <w:iCs/>
          <w:sz w:val="22"/>
          <w:szCs w:val="22"/>
        </w:rPr>
        <w:t>94</w:t>
      </w:r>
      <w:r w:rsidR="004A7D3C">
        <w:rPr>
          <w:iCs/>
          <w:sz w:val="22"/>
          <w:szCs w:val="22"/>
        </w:rPr>
        <w:t xml:space="preserve"> ze zm.</w:t>
      </w:r>
      <w:r w:rsidRPr="00B72B52">
        <w:rPr>
          <w:iCs/>
          <w:sz w:val="22"/>
          <w:szCs w:val="22"/>
        </w:rPr>
        <w:t xml:space="preserve">) </w:t>
      </w:r>
      <w:r w:rsidR="000C474B" w:rsidRPr="00B72B52">
        <w:rPr>
          <w:iCs/>
          <w:sz w:val="22"/>
          <w:szCs w:val="22"/>
        </w:rPr>
        <w:t xml:space="preserve">zgodnie z  </w:t>
      </w:r>
      <w:r w:rsidR="00394C48" w:rsidRPr="00B72B52">
        <w:rPr>
          <w:sz w:val="22"/>
          <w:szCs w:val="22"/>
        </w:rPr>
        <w:t>§ 3 ust.</w:t>
      </w:r>
      <w:r w:rsidR="00E51354" w:rsidRPr="00B72B52">
        <w:rPr>
          <w:sz w:val="22"/>
          <w:szCs w:val="22"/>
        </w:rPr>
        <w:t xml:space="preserve"> </w:t>
      </w:r>
      <w:r w:rsidR="00394C48" w:rsidRPr="00B72B52">
        <w:rPr>
          <w:rStyle w:val="Domylnaczcionkaakapitu1"/>
          <w:color w:val="000000"/>
          <w:sz w:val="22"/>
          <w:szCs w:val="22"/>
        </w:rPr>
        <w:t xml:space="preserve">1 pkt </w:t>
      </w:r>
      <w:r w:rsidR="00D02012">
        <w:rPr>
          <w:rStyle w:val="Domylnaczcionkaakapitu1"/>
          <w:color w:val="000000"/>
          <w:sz w:val="22"/>
          <w:szCs w:val="22"/>
        </w:rPr>
        <w:t>11 (</w:t>
      </w:r>
      <w:r w:rsidR="00D02012" w:rsidRPr="00D02012">
        <w:rPr>
          <w:rStyle w:val="Domylnaczcionkaakapitu1"/>
          <w:color w:val="000000"/>
          <w:sz w:val="22"/>
          <w:szCs w:val="22"/>
        </w:rPr>
        <w:t>tj.: „instalacje do obróbki meta</w:t>
      </w:r>
      <w:r w:rsidR="00D02012">
        <w:rPr>
          <w:rStyle w:val="Domylnaczcionkaakapitu1"/>
          <w:color w:val="000000"/>
          <w:sz w:val="22"/>
          <w:szCs w:val="22"/>
        </w:rPr>
        <w:t xml:space="preserve">li żelaznych: kuźnie, odlewnie, </w:t>
      </w:r>
      <w:r w:rsidR="00D02012" w:rsidRPr="00D02012">
        <w:rPr>
          <w:rStyle w:val="Domylnaczcionkaakapitu1"/>
          <w:color w:val="000000"/>
          <w:sz w:val="22"/>
          <w:szCs w:val="22"/>
        </w:rPr>
        <w:t>walcownie, ciągarnie i instalacje do nakładania powłok me</w:t>
      </w:r>
      <w:r w:rsidR="00D02012">
        <w:rPr>
          <w:rStyle w:val="Domylnaczcionkaakapitu1"/>
          <w:color w:val="000000"/>
          <w:sz w:val="22"/>
          <w:szCs w:val="22"/>
        </w:rPr>
        <w:t xml:space="preserve">talicznych, inne niż wymienione </w:t>
      </w:r>
      <w:r w:rsidR="00D02012" w:rsidRPr="00D02012">
        <w:rPr>
          <w:rStyle w:val="Domylnaczcionkaakapitu1"/>
          <w:color w:val="000000"/>
          <w:sz w:val="22"/>
          <w:szCs w:val="22"/>
        </w:rPr>
        <w:t>w § 2 ust. 1 pkt 13”</w:t>
      </w:r>
      <w:r w:rsidR="00D02012">
        <w:rPr>
          <w:rStyle w:val="Domylnaczcionkaakapitu1"/>
          <w:color w:val="000000"/>
          <w:sz w:val="22"/>
          <w:szCs w:val="22"/>
        </w:rPr>
        <w:t>)</w:t>
      </w:r>
      <w:r w:rsidR="004A7D3C">
        <w:rPr>
          <w:sz w:val="22"/>
          <w:szCs w:val="22"/>
        </w:rPr>
        <w:t xml:space="preserve"> </w:t>
      </w:r>
      <w:r w:rsidRPr="00B72B52">
        <w:rPr>
          <w:color w:val="000000"/>
          <w:sz w:val="22"/>
          <w:szCs w:val="22"/>
        </w:rPr>
        <w:t xml:space="preserve">rozporządzenia Rady Ministrów z dnia </w:t>
      </w:r>
      <w:r w:rsidR="00394C48" w:rsidRPr="00B72B52">
        <w:rPr>
          <w:color w:val="000000"/>
          <w:sz w:val="22"/>
          <w:szCs w:val="22"/>
        </w:rPr>
        <w:t>10 września 2019</w:t>
      </w:r>
      <w:r w:rsidRPr="00B72B52">
        <w:rPr>
          <w:color w:val="000000"/>
          <w:sz w:val="22"/>
          <w:szCs w:val="22"/>
        </w:rPr>
        <w:t xml:space="preserve"> r. w sprawie przedsięwzięć mogących znacząco oddziaływać na środowisko (t.j. Dz. U. z 201</w:t>
      </w:r>
      <w:r w:rsidR="00394C48" w:rsidRPr="00B72B52">
        <w:rPr>
          <w:color w:val="000000"/>
          <w:sz w:val="22"/>
          <w:szCs w:val="22"/>
        </w:rPr>
        <w:t>9</w:t>
      </w:r>
      <w:r w:rsidRPr="00B72B52">
        <w:rPr>
          <w:color w:val="000000"/>
          <w:sz w:val="22"/>
          <w:szCs w:val="22"/>
        </w:rPr>
        <w:t xml:space="preserve"> r., poz. </w:t>
      </w:r>
      <w:r w:rsidR="00394C48" w:rsidRPr="00B72B52">
        <w:rPr>
          <w:color w:val="000000"/>
          <w:sz w:val="22"/>
          <w:szCs w:val="22"/>
        </w:rPr>
        <w:t>1839</w:t>
      </w:r>
      <w:r w:rsidR="004A7D3C">
        <w:rPr>
          <w:color w:val="000000"/>
          <w:sz w:val="22"/>
          <w:szCs w:val="22"/>
        </w:rPr>
        <w:t xml:space="preserve"> ze zm.</w:t>
      </w:r>
      <w:r w:rsidRPr="00B72B52">
        <w:rPr>
          <w:color w:val="000000"/>
          <w:sz w:val="22"/>
          <w:szCs w:val="22"/>
        </w:rPr>
        <w:t>)</w:t>
      </w:r>
      <w:r w:rsidR="00E51354" w:rsidRPr="00B72B52">
        <w:rPr>
          <w:color w:val="000000"/>
          <w:sz w:val="22"/>
          <w:szCs w:val="22"/>
        </w:rPr>
        <w:t xml:space="preserve"> jako przedsięwzięcie mogące potencjalnie znacząco oddziaływać na środowisko</w:t>
      </w:r>
      <w:r w:rsidRPr="00B72B52">
        <w:rPr>
          <w:color w:val="000000"/>
          <w:sz w:val="22"/>
          <w:szCs w:val="22"/>
        </w:rPr>
        <w:t>.</w:t>
      </w:r>
    </w:p>
    <w:p w:rsidR="00311E39" w:rsidRPr="00B72B52" w:rsidRDefault="00311E39" w:rsidP="00311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Do wniosku inwestor załączył:</w:t>
      </w:r>
    </w:p>
    <w:p w:rsidR="00311E39" w:rsidRPr="00B72B52" w:rsidRDefault="00311E39" w:rsidP="00311E39">
      <w:pPr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394C48" w:rsidRPr="00B72B52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="00C41CD4" w:rsidRPr="00B72B5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311E39" w:rsidRPr="00B72B52" w:rsidRDefault="00311E39" w:rsidP="00311E39">
      <w:pPr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Poświadczoną przez właściwy organ kopię mapy ewidencyjnej obejmującą przewidywany teren, na którym będzie realizowane przedsięwzięcie, wraz z terenem działek sąsiednich.</w:t>
      </w:r>
    </w:p>
    <w:p w:rsidR="00311E39" w:rsidRPr="00B72B52" w:rsidRDefault="00311E39" w:rsidP="00311E39">
      <w:pPr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Wypis z rejestru gruntów dla działek objętych wnioskiem.</w:t>
      </w:r>
    </w:p>
    <w:p w:rsidR="000C474B" w:rsidRPr="00B72B52" w:rsidRDefault="000C474B" w:rsidP="00C411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Wniosek o wydanie decyzji o środowiskowych uwarunkowaniach został zarejestrowany </w:t>
      </w:r>
      <w:r w:rsidR="00486C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w publicznie dostępnym wykazie danych na stronie wykaz.ekoportal.pl pod pozycją nr </w:t>
      </w:r>
      <w:r w:rsidR="0052186F">
        <w:rPr>
          <w:rFonts w:ascii="Times New Roman" w:eastAsia="Times New Roman" w:hAnsi="Times New Roman" w:cs="Times New Roman"/>
          <w:color w:val="000000"/>
          <w:lang w:eastAsia="pl-PL"/>
        </w:rPr>
        <w:t>167/2023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648CD">
        <w:rPr>
          <w:rFonts w:ascii="Times New Roman" w:eastAsia="Times New Roman" w:hAnsi="Times New Roman" w:cs="Times New Roman"/>
          <w:color w:val="000000"/>
          <w:lang w:eastAsia="pl-PL"/>
        </w:rPr>
        <w:t>Zawiadomieniem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="0052186F">
        <w:rPr>
          <w:rFonts w:ascii="Times New Roman" w:eastAsia="Times New Roman" w:hAnsi="Times New Roman" w:cs="Times New Roman"/>
          <w:color w:val="000000"/>
          <w:lang w:eastAsia="pl-PL"/>
        </w:rPr>
        <w:t>11 maja 2023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r. w myśl art. 73 ust. 1 przywołanej wyżej ustawy, strony postępowania zostały poinformowane o wszczęciu postępowania w przedmiotowej sprawie. Do dnia dzisiejszego nie odnotowano żadnych uwag, zastrzeżeń i wniosków odnośnie przedmiotowego postępowania. </w:t>
      </w:r>
    </w:p>
    <w:p w:rsidR="00311E39" w:rsidRPr="00B72B52" w:rsidRDefault="00311E39" w:rsidP="00C411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Zgodnie </w:t>
      </w:r>
      <w:r w:rsidR="000C474B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z art. 64 ust. 1 ustawy z dnia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3 października 2008 r. o udostępnianiu informacji </w:t>
      </w:r>
      <w:r w:rsidR="00486C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o środowisku i jeg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t>o ochronie (...)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, uzyskano następujące opinie:</w:t>
      </w:r>
    </w:p>
    <w:p w:rsidR="000C474B" w:rsidRPr="00B72B52" w:rsidRDefault="000C474B" w:rsidP="000C474B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72B52">
        <w:rPr>
          <w:color w:val="000000"/>
          <w:sz w:val="22"/>
          <w:szCs w:val="22"/>
        </w:rPr>
        <w:t xml:space="preserve">Regionalnego Dyrektora Ochrony Środowiska w Bydgoszczy – z dnia                   </w:t>
      </w:r>
      <w:r w:rsidR="00486C07">
        <w:rPr>
          <w:color w:val="000000"/>
          <w:sz w:val="22"/>
          <w:szCs w:val="22"/>
        </w:rPr>
        <w:t xml:space="preserve">                             </w:t>
      </w:r>
      <w:r w:rsidR="0052186F">
        <w:rPr>
          <w:color w:val="000000"/>
          <w:sz w:val="22"/>
          <w:szCs w:val="22"/>
        </w:rPr>
        <w:t>23 sierpnia</w:t>
      </w:r>
      <w:r w:rsidR="00E51354" w:rsidRPr="00B72B52">
        <w:rPr>
          <w:color w:val="000000"/>
          <w:sz w:val="22"/>
          <w:szCs w:val="22"/>
        </w:rPr>
        <w:t xml:space="preserve"> 202</w:t>
      </w:r>
      <w:r w:rsidR="0052186F">
        <w:rPr>
          <w:color w:val="000000"/>
          <w:sz w:val="22"/>
          <w:szCs w:val="22"/>
        </w:rPr>
        <w:t>3</w:t>
      </w:r>
      <w:r w:rsidR="00394C48" w:rsidRPr="00B72B52">
        <w:rPr>
          <w:color w:val="000000"/>
          <w:sz w:val="22"/>
          <w:szCs w:val="22"/>
        </w:rPr>
        <w:t xml:space="preserve"> r., znak: WOO.4220.</w:t>
      </w:r>
      <w:r w:rsidR="000648CD">
        <w:rPr>
          <w:color w:val="000000"/>
          <w:sz w:val="22"/>
          <w:szCs w:val="22"/>
        </w:rPr>
        <w:t>4</w:t>
      </w:r>
      <w:r w:rsidR="0052186F">
        <w:rPr>
          <w:color w:val="000000"/>
          <w:sz w:val="22"/>
          <w:szCs w:val="22"/>
        </w:rPr>
        <w:t>30</w:t>
      </w:r>
      <w:r w:rsidR="00E51354" w:rsidRPr="00B72B52">
        <w:rPr>
          <w:color w:val="000000"/>
          <w:sz w:val="22"/>
          <w:szCs w:val="22"/>
        </w:rPr>
        <w:t>.202</w:t>
      </w:r>
      <w:r w:rsidR="0052186F">
        <w:rPr>
          <w:color w:val="000000"/>
          <w:sz w:val="22"/>
          <w:szCs w:val="22"/>
        </w:rPr>
        <w:t>3</w:t>
      </w:r>
      <w:r w:rsidR="00E51354" w:rsidRPr="00B72B52">
        <w:rPr>
          <w:color w:val="000000"/>
          <w:sz w:val="22"/>
          <w:szCs w:val="22"/>
        </w:rPr>
        <w:t>.</w:t>
      </w:r>
      <w:r w:rsidR="000648CD">
        <w:rPr>
          <w:color w:val="000000"/>
          <w:sz w:val="22"/>
          <w:szCs w:val="22"/>
        </w:rPr>
        <w:t>OD.</w:t>
      </w:r>
      <w:r w:rsidR="0052186F">
        <w:rPr>
          <w:color w:val="000000"/>
          <w:sz w:val="22"/>
          <w:szCs w:val="22"/>
        </w:rPr>
        <w:t>5</w:t>
      </w:r>
      <w:r w:rsidRPr="00B72B52">
        <w:rPr>
          <w:color w:val="000000"/>
          <w:sz w:val="22"/>
          <w:szCs w:val="22"/>
        </w:rPr>
        <w:t xml:space="preserve"> (wpływ do organu:                                                 </w:t>
      </w:r>
      <w:r w:rsidR="00486C07">
        <w:rPr>
          <w:color w:val="000000"/>
          <w:sz w:val="22"/>
          <w:szCs w:val="22"/>
        </w:rPr>
        <w:t xml:space="preserve">                 </w:t>
      </w:r>
      <w:r w:rsidR="0052186F">
        <w:rPr>
          <w:color w:val="000000"/>
          <w:sz w:val="22"/>
          <w:szCs w:val="22"/>
        </w:rPr>
        <w:t>23 sierpnia 2023</w:t>
      </w:r>
      <w:r w:rsidRPr="00B72B52">
        <w:rPr>
          <w:color w:val="000000"/>
          <w:sz w:val="22"/>
          <w:szCs w:val="22"/>
        </w:rPr>
        <w:t xml:space="preserve"> r., </w:t>
      </w:r>
      <w:r w:rsidR="0052186F">
        <w:rPr>
          <w:color w:val="000000"/>
          <w:sz w:val="22"/>
          <w:szCs w:val="22"/>
        </w:rPr>
        <w:t>RPW/56183/2023</w:t>
      </w:r>
      <w:r w:rsidRPr="00B72B52">
        <w:rPr>
          <w:color w:val="000000"/>
          <w:sz w:val="22"/>
          <w:szCs w:val="22"/>
        </w:rPr>
        <w:t xml:space="preserve">), </w:t>
      </w:r>
      <w:r w:rsidRPr="00B72B52">
        <w:rPr>
          <w:sz w:val="22"/>
          <w:szCs w:val="22"/>
        </w:rPr>
        <w:t>który uznał</w:t>
      </w:r>
      <w:r w:rsidRPr="00B72B52">
        <w:rPr>
          <w:color w:val="000000"/>
          <w:sz w:val="22"/>
          <w:szCs w:val="22"/>
        </w:rPr>
        <w:t>, że dla planowane</w:t>
      </w:r>
      <w:r w:rsidR="00486C07">
        <w:rPr>
          <w:color w:val="000000"/>
          <w:sz w:val="22"/>
          <w:szCs w:val="22"/>
        </w:rPr>
        <w:t xml:space="preserve">go przedsięwzięcia nie istnieje </w:t>
      </w:r>
      <w:r w:rsidRPr="00B72B52">
        <w:rPr>
          <w:color w:val="000000"/>
          <w:sz w:val="22"/>
          <w:szCs w:val="22"/>
        </w:rPr>
        <w:t>konieczność przeprowadzenia oceny oddziaływania na środowisko oraz wskazał warunki konieczne do uwzględnienia na etapie realizacji i eksploatacji przedsięwzięcia;</w:t>
      </w:r>
    </w:p>
    <w:p w:rsidR="000C474B" w:rsidRPr="00B72B52" w:rsidRDefault="000C474B" w:rsidP="000C474B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72B52">
        <w:rPr>
          <w:sz w:val="22"/>
          <w:szCs w:val="22"/>
        </w:rPr>
        <w:t xml:space="preserve">Państwowego Gospodarstwa Wodnego Wody Polskie – </w:t>
      </w:r>
      <w:r w:rsidRPr="00B72B52">
        <w:rPr>
          <w:color w:val="000000"/>
          <w:sz w:val="22"/>
          <w:szCs w:val="22"/>
        </w:rPr>
        <w:t xml:space="preserve">z dnia </w:t>
      </w:r>
      <w:r w:rsidR="0052186F">
        <w:rPr>
          <w:color w:val="000000"/>
          <w:sz w:val="22"/>
          <w:szCs w:val="22"/>
        </w:rPr>
        <w:t>25 maja 2023</w:t>
      </w:r>
      <w:r w:rsidRPr="00B72B52">
        <w:rPr>
          <w:color w:val="000000"/>
          <w:sz w:val="22"/>
          <w:szCs w:val="22"/>
        </w:rPr>
        <w:t xml:space="preserve"> r., znak: GD.</w:t>
      </w:r>
      <w:r w:rsidR="004B2ABF" w:rsidRPr="00B72B52">
        <w:rPr>
          <w:color w:val="000000"/>
          <w:sz w:val="22"/>
          <w:szCs w:val="22"/>
        </w:rPr>
        <w:t>Z</w:t>
      </w:r>
      <w:r w:rsidRPr="00B72B52">
        <w:rPr>
          <w:color w:val="000000"/>
          <w:sz w:val="22"/>
          <w:szCs w:val="22"/>
        </w:rPr>
        <w:t>ZŚ.</w:t>
      </w:r>
      <w:r w:rsidR="00E51354" w:rsidRPr="00B72B52">
        <w:rPr>
          <w:color w:val="000000"/>
          <w:sz w:val="22"/>
          <w:szCs w:val="22"/>
        </w:rPr>
        <w:t>5.</w:t>
      </w:r>
      <w:r w:rsidR="0052186F">
        <w:rPr>
          <w:color w:val="000000"/>
          <w:sz w:val="22"/>
          <w:szCs w:val="22"/>
        </w:rPr>
        <w:t>4901</w:t>
      </w:r>
      <w:r w:rsidRPr="00B72B52">
        <w:rPr>
          <w:color w:val="000000"/>
          <w:sz w:val="22"/>
          <w:szCs w:val="22"/>
        </w:rPr>
        <w:t>.</w:t>
      </w:r>
      <w:r w:rsidR="000648CD">
        <w:rPr>
          <w:color w:val="000000"/>
          <w:sz w:val="22"/>
          <w:szCs w:val="22"/>
        </w:rPr>
        <w:t>2</w:t>
      </w:r>
      <w:r w:rsidR="0052186F">
        <w:rPr>
          <w:color w:val="000000"/>
          <w:sz w:val="22"/>
          <w:szCs w:val="22"/>
        </w:rPr>
        <w:t>37</w:t>
      </w:r>
      <w:r w:rsidRPr="00B72B52">
        <w:rPr>
          <w:color w:val="000000"/>
          <w:sz w:val="22"/>
          <w:szCs w:val="22"/>
        </w:rPr>
        <w:t>.20</w:t>
      </w:r>
      <w:r w:rsidR="004B2ABF" w:rsidRPr="00B72B52">
        <w:rPr>
          <w:color w:val="000000"/>
          <w:sz w:val="22"/>
          <w:szCs w:val="22"/>
        </w:rPr>
        <w:t>2</w:t>
      </w:r>
      <w:r w:rsidR="0052186F">
        <w:rPr>
          <w:color w:val="000000"/>
          <w:sz w:val="22"/>
          <w:szCs w:val="22"/>
        </w:rPr>
        <w:t>3</w:t>
      </w:r>
      <w:r w:rsidRPr="00B72B52">
        <w:rPr>
          <w:color w:val="000000"/>
          <w:sz w:val="22"/>
          <w:szCs w:val="22"/>
        </w:rPr>
        <w:t>.</w:t>
      </w:r>
      <w:r w:rsidR="0052186F">
        <w:rPr>
          <w:color w:val="000000"/>
          <w:sz w:val="22"/>
          <w:szCs w:val="22"/>
        </w:rPr>
        <w:t>AOT</w:t>
      </w:r>
      <w:r w:rsidRPr="00B72B52">
        <w:rPr>
          <w:color w:val="000000"/>
          <w:sz w:val="22"/>
          <w:szCs w:val="22"/>
        </w:rPr>
        <w:t xml:space="preserve"> (wpływ do organu: </w:t>
      </w:r>
      <w:r w:rsidR="0052186F">
        <w:rPr>
          <w:color w:val="000000"/>
          <w:sz w:val="22"/>
          <w:szCs w:val="22"/>
        </w:rPr>
        <w:t>31 maja 2023</w:t>
      </w:r>
      <w:r w:rsidRPr="00B72B52">
        <w:rPr>
          <w:color w:val="000000"/>
          <w:sz w:val="22"/>
          <w:szCs w:val="22"/>
        </w:rPr>
        <w:t xml:space="preserve"> r., l.dz. </w:t>
      </w:r>
      <w:r w:rsidR="0052186F">
        <w:rPr>
          <w:color w:val="000000"/>
          <w:sz w:val="22"/>
          <w:szCs w:val="22"/>
        </w:rPr>
        <w:t>3624</w:t>
      </w:r>
      <w:r w:rsidR="004B2ABF" w:rsidRPr="00B72B52">
        <w:rPr>
          <w:color w:val="000000"/>
          <w:sz w:val="22"/>
          <w:szCs w:val="22"/>
        </w:rPr>
        <w:t>/202</w:t>
      </w:r>
      <w:r w:rsidR="0052186F">
        <w:rPr>
          <w:color w:val="000000"/>
          <w:sz w:val="22"/>
          <w:szCs w:val="22"/>
        </w:rPr>
        <w:t>3</w:t>
      </w:r>
      <w:r w:rsidRPr="00B72B52">
        <w:rPr>
          <w:color w:val="000000"/>
          <w:sz w:val="22"/>
          <w:szCs w:val="22"/>
        </w:rPr>
        <w:t>)</w:t>
      </w:r>
      <w:r w:rsidRPr="00B72B52">
        <w:rPr>
          <w:sz w:val="22"/>
          <w:szCs w:val="22"/>
        </w:rPr>
        <w:t xml:space="preserve">, który biorąc pod uwagę charakter, skalę i lokalizację przedsięwzięcia </w:t>
      </w:r>
      <w:r w:rsidR="004B2ABF" w:rsidRPr="00B72B52">
        <w:rPr>
          <w:sz w:val="22"/>
          <w:szCs w:val="22"/>
        </w:rPr>
        <w:t xml:space="preserve">w tym zakres wnioskowanych zmian oraz planowane rozwiązania techniczne chroniące środowisko </w:t>
      </w:r>
      <w:r w:rsidRPr="00B72B52">
        <w:rPr>
          <w:sz w:val="22"/>
          <w:szCs w:val="22"/>
        </w:rPr>
        <w:t>stwierdził, że nie przewiduje się negatywnego oddziaływania przedmiotowego przedsięwzięcia na stan jednolitych części wód oraz realizację celów środowiskowych określonych dla nich w Planie gospodarowania wodami na obszarze dorzecza Wisły i uznał, że nie ma konieczności przeprowadzenia oceny oddziaływania na środowisko;</w:t>
      </w:r>
    </w:p>
    <w:p w:rsidR="000C474B" w:rsidRPr="00B72B52" w:rsidRDefault="000C474B" w:rsidP="000C474B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B72B52">
        <w:rPr>
          <w:color w:val="000000"/>
          <w:sz w:val="22"/>
          <w:szCs w:val="22"/>
        </w:rPr>
        <w:t xml:space="preserve">Państwowego Powiatowego Inspektora Sanitarnego w Toruniu – z dnia </w:t>
      </w:r>
      <w:r w:rsidR="003B47F4">
        <w:rPr>
          <w:color w:val="000000"/>
          <w:sz w:val="22"/>
          <w:szCs w:val="22"/>
        </w:rPr>
        <w:t>30 czerwca 2023</w:t>
      </w:r>
      <w:r w:rsidRPr="00B72B52">
        <w:rPr>
          <w:color w:val="000000"/>
          <w:sz w:val="22"/>
          <w:szCs w:val="22"/>
        </w:rPr>
        <w:t xml:space="preserve"> r., znak: N.NZ.40.2.0.</w:t>
      </w:r>
      <w:r w:rsidR="003B47F4">
        <w:rPr>
          <w:color w:val="000000"/>
          <w:sz w:val="22"/>
          <w:szCs w:val="22"/>
        </w:rPr>
        <w:t>14</w:t>
      </w:r>
      <w:r w:rsidRPr="00B72B52">
        <w:rPr>
          <w:color w:val="000000"/>
          <w:sz w:val="22"/>
          <w:szCs w:val="22"/>
        </w:rPr>
        <w:t>.20</w:t>
      </w:r>
      <w:r w:rsidR="00194777" w:rsidRPr="00B72B52">
        <w:rPr>
          <w:color w:val="000000"/>
          <w:sz w:val="22"/>
          <w:szCs w:val="22"/>
        </w:rPr>
        <w:t>2</w:t>
      </w:r>
      <w:r w:rsidR="003B47F4">
        <w:rPr>
          <w:color w:val="000000"/>
          <w:sz w:val="22"/>
          <w:szCs w:val="22"/>
        </w:rPr>
        <w:t>3</w:t>
      </w:r>
      <w:r w:rsidRPr="00B72B52">
        <w:rPr>
          <w:color w:val="000000"/>
          <w:sz w:val="22"/>
          <w:szCs w:val="22"/>
        </w:rPr>
        <w:t xml:space="preserve"> (wpływ do organu: </w:t>
      </w:r>
      <w:r w:rsidR="003B47F4">
        <w:rPr>
          <w:color w:val="000000"/>
          <w:sz w:val="22"/>
          <w:szCs w:val="22"/>
        </w:rPr>
        <w:t>4 lipca</w:t>
      </w:r>
      <w:r w:rsidR="00E51354" w:rsidRPr="00B72B52">
        <w:rPr>
          <w:color w:val="000000"/>
          <w:sz w:val="22"/>
          <w:szCs w:val="22"/>
        </w:rPr>
        <w:t xml:space="preserve"> 202</w:t>
      </w:r>
      <w:r w:rsidR="003B47F4">
        <w:rPr>
          <w:color w:val="000000"/>
          <w:sz w:val="22"/>
          <w:szCs w:val="22"/>
        </w:rPr>
        <w:t>3 r., RPW/44511/2023</w:t>
      </w:r>
      <w:r w:rsidRPr="00B72B52">
        <w:rPr>
          <w:color w:val="000000"/>
          <w:sz w:val="22"/>
          <w:szCs w:val="22"/>
        </w:rPr>
        <w:t>), który biorąc pod uwagę rodzaj, skalę, usytuowanie i zasięg oddziaływania planowanej inwestycji, gęstość zaludnienia na analizowanym terenie oraz emisje i inne uciążliwości, których źródłem będzie w/w zamierzenie</w:t>
      </w:r>
      <w:r w:rsidR="00E51354" w:rsidRPr="00B72B52">
        <w:rPr>
          <w:color w:val="000000"/>
          <w:sz w:val="22"/>
          <w:szCs w:val="22"/>
        </w:rPr>
        <w:t>, a także czas trwania negatywnych oddziaływań</w:t>
      </w:r>
      <w:r w:rsidRPr="00B72B52">
        <w:rPr>
          <w:color w:val="000000"/>
          <w:sz w:val="22"/>
          <w:szCs w:val="22"/>
        </w:rPr>
        <w:t>, uznał, iż nie ma konieczności przeprowadzenia oceny oddziaływania na środowisko.</w:t>
      </w:r>
    </w:p>
    <w:p w:rsidR="000C474B" w:rsidRPr="00B72B52" w:rsidRDefault="000C474B" w:rsidP="000C474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B72B52">
        <w:rPr>
          <w:color w:val="000000"/>
          <w:sz w:val="22"/>
          <w:szCs w:val="22"/>
        </w:rPr>
        <w:tab/>
        <w:t xml:space="preserve">Wyżej wymienione dokumenty zostały zamieszczone w publicznie dostępnym wykazie danych na stronie wykaz.ekoportal.pl pod pozycją odpowiednio: </w:t>
      </w:r>
      <w:r w:rsidR="000648CD">
        <w:rPr>
          <w:color w:val="000000"/>
          <w:sz w:val="22"/>
          <w:szCs w:val="22"/>
        </w:rPr>
        <w:t>43</w:t>
      </w:r>
      <w:r w:rsidR="0052186F">
        <w:rPr>
          <w:color w:val="000000"/>
          <w:sz w:val="22"/>
          <w:szCs w:val="22"/>
        </w:rPr>
        <w:t>8</w:t>
      </w:r>
      <w:r w:rsidR="004B2ABF" w:rsidRPr="00B72B52">
        <w:rPr>
          <w:color w:val="000000"/>
          <w:sz w:val="22"/>
          <w:szCs w:val="22"/>
        </w:rPr>
        <w:t>/202</w:t>
      </w:r>
      <w:r w:rsidR="0052186F">
        <w:rPr>
          <w:color w:val="000000"/>
          <w:sz w:val="22"/>
          <w:szCs w:val="22"/>
        </w:rPr>
        <w:t>3</w:t>
      </w:r>
      <w:r w:rsidRPr="00B72B52">
        <w:rPr>
          <w:color w:val="000000"/>
          <w:sz w:val="22"/>
          <w:szCs w:val="22"/>
        </w:rPr>
        <w:t xml:space="preserve">, </w:t>
      </w:r>
      <w:r w:rsidR="003B47F4">
        <w:rPr>
          <w:color w:val="000000"/>
          <w:sz w:val="22"/>
          <w:szCs w:val="22"/>
        </w:rPr>
        <w:t>198/2023</w:t>
      </w:r>
      <w:r w:rsidRPr="00B72B52">
        <w:rPr>
          <w:color w:val="000000"/>
          <w:sz w:val="22"/>
          <w:szCs w:val="22"/>
        </w:rPr>
        <w:t xml:space="preserve"> </w:t>
      </w:r>
      <w:r w:rsidR="00996B67" w:rsidRPr="00B72B52">
        <w:rPr>
          <w:color w:val="000000"/>
          <w:sz w:val="22"/>
          <w:szCs w:val="22"/>
        </w:rPr>
        <w:br/>
      </w:r>
      <w:r w:rsidRPr="00B72B52">
        <w:rPr>
          <w:color w:val="000000"/>
          <w:sz w:val="22"/>
          <w:szCs w:val="22"/>
        </w:rPr>
        <w:t xml:space="preserve">i </w:t>
      </w:r>
      <w:r w:rsidR="003B47F4">
        <w:rPr>
          <w:color w:val="000000"/>
          <w:sz w:val="22"/>
          <w:szCs w:val="22"/>
        </w:rPr>
        <w:t>314/2023</w:t>
      </w:r>
      <w:r w:rsidRPr="00B72B52">
        <w:rPr>
          <w:color w:val="000000"/>
          <w:sz w:val="22"/>
          <w:szCs w:val="22"/>
        </w:rPr>
        <w:t>.</w:t>
      </w:r>
    </w:p>
    <w:p w:rsidR="00311E39" w:rsidRDefault="00311E39" w:rsidP="00311E3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2B52">
        <w:rPr>
          <w:rFonts w:ascii="Calibri" w:eastAsia="Times New Roman" w:hAnsi="Calibri" w:cs="Times New Roman"/>
          <w:color w:val="000000"/>
          <w:lang w:eastAsia="pl-PL"/>
        </w:rPr>
        <w:tab/>
      </w:r>
      <w:r w:rsidRPr="00B72B52">
        <w:rPr>
          <w:rFonts w:ascii="Times New Roman" w:eastAsia="Times New Roman" w:hAnsi="Times New Roman" w:cs="Times New Roman"/>
          <w:lang w:eastAsia="pl-PL"/>
        </w:rPr>
        <w:t xml:space="preserve">Po przeanalizowaniu wniosku o wydanie decyzji o środowiskowych uwarunkowaniach wraz </w:t>
      </w:r>
      <w:r w:rsidR="00486C07">
        <w:rPr>
          <w:rFonts w:ascii="Times New Roman" w:eastAsia="Times New Roman" w:hAnsi="Times New Roman" w:cs="Times New Roman"/>
          <w:lang w:eastAsia="pl-PL"/>
        </w:rPr>
        <w:br/>
      </w:r>
      <w:r w:rsidRPr="00B72B52">
        <w:rPr>
          <w:rFonts w:ascii="Times New Roman" w:eastAsia="Times New Roman" w:hAnsi="Times New Roman" w:cs="Times New Roman"/>
          <w:lang w:eastAsia="pl-PL"/>
        </w:rPr>
        <w:t xml:space="preserve">z kartą informacyjną przedsięwzięcia, uwzględniono łącznie uwarunkowania związane </w:t>
      </w:r>
      <w:r w:rsidR="00486C07">
        <w:rPr>
          <w:rFonts w:ascii="Times New Roman" w:eastAsia="Times New Roman" w:hAnsi="Times New Roman" w:cs="Times New Roman"/>
          <w:lang w:eastAsia="pl-PL"/>
        </w:rPr>
        <w:br/>
      </w:r>
      <w:r w:rsidRPr="00B72B52">
        <w:rPr>
          <w:rFonts w:ascii="Times New Roman" w:eastAsia="Times New Roman" w:hAnsi="Times New Roman" w:cs="Times New Roman"/>
          <w:lang w:eastAsia="pl-PL"/>
        </w:rPr>
        <w:t>z kwalifikowaniem przedsięwzięcia do przeprowadzenia oceny oddziaływania na środowisko,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86C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o których mowa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486C0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z innymi przedsięwzięciami, a także rodzaj i skalę możliwego oddziaływania inwestycji. </w:t>
      </w:r>
    </w:p>
    <w:p w:rsidR="003B47F4" w:rsidRPr="003B47F4" w:rsidRDefault="000648CD" w:rsidP="003B47F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B47F4" w:rsidRPr="003B47F4">
        <w:rPr>
          <w:rFonts w:ascii="Times New Roman" w:eastAsia="Times New Roman" w:hAnsi="Times New Roman" w:cs="Times New Roman"/>
          <w:color w:val="000000"/>
          <w:lang w:eastAsia="pl-PL"/>
        </w:rPr>
        <w:t>Przedsięwzięcie polega na zainstalowaniu 2 linii technologiczn</w:t>
      </w:r>
      <w:r w:rsid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ych do produkcji kul </w:t>
      </w:r>
      <w:r w:rsidR="003B47F4" w:rsidRPr="003B47F4">
        <w:rPr>
          <w:rFonts w:ascii="Times New Roman" w:eastAsia="Times New Roman" w:hAnsi="Times New Roman" w:cs="Times New Roman"/>
          <w:color w:val="000000"/>
          <w:lang w:eastAsia="pl-PL"/>
        </w:rPr>
        <w:t>do młynów na terenie Toruńskich Zakładów</w:t>
      </w:r>
      <w:r w:rsid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 Urządzeń Okrętowych „TOWIMOR”, </w:t>
      </w:r>
      <w:r w:rsidR="003B47F4" w:rsidRP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zlokalizowanych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B47F4" w:rsidRPr="003B47F4">
        <w:rPr>
          <w:rFonts w:ascii="Times New Roman" w:eastAsia="Times New Roman" w:hAnsi="Times New Roman" w:cs="Times New Roman"/>
          <w:color w:val="000000"/>
          <w:lang w:eastAsia="pl-PL"/>
        </w:rPr>
        <w:t>w istniejącej hali produkcyjnej H7 o powierzchni zabudowy 2552 m</w:t>
      </w:r>
      <w:r w:rsidR="003B47F4" w:rsidRPr="007054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="003B47F4" w:rsidRPr="003B47F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B47F4" w:rsidRPr="003B47F4" w:rsidRDefault="003B47F4" w:rsidP="003B4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Planowana inwestycja zlokalizowana będzie w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ałości na terenie nieruchomości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o nr ewid. 112/33 obręb </w:t>
      </w:r>
      <w:r w:rsidR="00A26834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. Właścicielem nieruchomości jest zakład Towimor S.A.,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a właścicielem nowoinstalowanych urządzeń i instalacji firma Energosteel Polska Sp. z o.o.</w:t>
      </w:r>
    </w:p>
    <w:p w:rsidR="003B47F4" w:rsidRDefault="003B47F4" w:rsidP="003B4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 hali zainstalowane są 2 suwnice trawersowe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- transportowe. Hala H7 połączona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łącznikiem z budynkiem socjalnym.</w:t>
      </w:r>
    </w:p>
    <w:p w:rsidR="003B47F4" w:rsidRPr="003B47F4" w:rsidRDefault="003B47F4" w:rsidP="003B4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Przedmiotowe przedsięwzięcie obejmuje prace demontażowe wewnątrz obiektu,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a następnie jego dostosowanie pod nowe linie technologiczne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Zakład produkować będzie kule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do młynów kulowych. Nie przewiduje się rozbudowy kubaturowej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obiektów przewidzianych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do adaptacji pod realizację zamierzenia inwestycyjnego. W 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hwili obecnej obiekty pozostają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nieużytkowane.</w:t>
      </w:r>
    </w:p>
    <w:p w:rsidR="003B47F4" w:rsidRPr="003B47F4" w:rsidRDefault="003B47F4" w:rsidP="003B4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Wsad do obu linii dowożony będzie transportem samochodowym do hali H7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przez istniejącą bramę od strony północnej. Wywóz produ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kcji gotowej odbędzie się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przez istniejącą bramę od strony wschodniej hali. Po jednej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stronie drogi wjazdowej w hali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(od północnej strony ściany szczytowej hali) zlokalizowany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będzie skład prętów stanowiący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wsad do linii technologicznych. Składy produkcji gotowe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 usytuowane zostaną po stronie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południowej hali. Dwie linie technologiczne zainstalowane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będą pośrodku pomiędzy składami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 xml:space="preserve">wsadu, a składami wyrobów gotowych. Dookoła hali H7 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budynku socjalnego znajdują się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drogi do komunikacji samochodowej w celu dowozu wsadu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odbioru produktów oraz drogi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pożarowe.</w:t>
      </w:r>
    </w:p>
    <w:p w:rsidR="003B47F4" w:rsidRPr="003B47F4" w:rsidRDefault="003B47F4" w:rsidP="003B47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 hali produkcyjnej H7 zlokalizowane będą 2 linie produkcyjne:</w:t>
      </w:r>
    </w:p>
    <w:p w:rsidR="003B47F4" w:rsidRPr="003B47F4" w:rsidRDefault="003B47F4" w:rsidP="003B47F4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XQ40 Linia walcowania kul do młynów.</w:t>
      </w:r>
    </w:p>
    <w:p w:rsidR="003B47F4" w:rsidRPr="003B47F4" w:rsidRDefault="003B47F4" w:rsidP="003B47F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Przeznaczona jest do produkcji stalowanych kul do młynów kulowych o średnicy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od 20 mm do 40 mm. Wsadem do produkcji są stalowe pręty okrągłe, o długości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do 6 m. Wielkość produkcji wyniesie od 500 do 1450 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g/h. Temperatura nagrzewu wsadu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wynosi od 900°C do 950°C. Do nagrzewania materiału do temperatury przeróbki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lastycznej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będą stosowane piece indukcyjne, nagrzewane elektrycznie. Strefa podgrzewania wsadu składa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się z 2 pieców: pierwszy o mocy 400 kW i drugi 200 kW. Dla produkcji kul o średnicy 20 mm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nagrzewanie wsadu odbywa się w piecu pierwszym o mocy 200 kW. Dla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produkcji kul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o średnicy 25 mm nagrzewanie wsadu odbywa si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 w piecu drugim o mocy 400 kW.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Dla produkcji kul o średnicy 20 do 40 mm nagrzewanie wsadu odbywa się w obu piecach.</w:t>
      </w:r>
    </w:p>
    <w:p w:rsidR="003B47F4" w:rsidRPr="003B47F4" w:rsidRDefault="003B47F4" w:rsidP="003B47F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Linia XQ40 walcowania kul składa się z następujących urządzeń: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ruszt załadowczy wsadu,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samotok podający pręty z rusztu do pieca,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dwa piece grzewcze indukcyjne,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elektryczne szafy zasilania i sterowania pieca,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system chłodzenia pieców indukcyjnych – chillery – schłodzenie wody w obiegu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zamkniętym do temperatury 40°C, zbiornik wody,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walcarka formująca kule, moc napędu głównego 90 kW, sprzęgło, przekładnia, wały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napędowe, stojak walcarki oraz zestawy walców,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transporter odbierający kule z walcarki- moc napędu 1,5 kW,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podajnik śrubowy kul, moc napędu 3 kW,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system hartowania kul wodą na podajniku śrubowym, system spryskiwania kul (obieg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zamknięty),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instalacja rurowa z armaturą prowadzona w kanałach dla wody chłodzącej w obiegu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zamkniętym dla pieca, szaf elektrycznych, rezonatora,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instalacja rurowa sprężonego powietrza (prowadzona w kanałach),</w:t>
      </w:r>
    </w:p>
    <w:p w:rsid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wyposażenie laboratorium - nożyce do przecinania kul dla pomiarów twardości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na przekroju,</w:t>
      </w:r>
    </w:p>
    <w:p w:rsidR="003B47F4" w:rsidRPr="003B47F4" w:rsidRDefault="003B47F4" w:rsidP="003B47F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twardościomierz Rockwella.</w:t>
      </w:r>
    </w:p>
    <w:p w:rsidR="003B47F4" w:rsidRPr="003B47F4" w:rsidRDefault="003B47F4" w:rsidP="003B47F4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Linia kucia kul do młynów o średnicy od 80 do 125 mm.</w:t>
      </w:r>
    </w:p>
    <w:p w:rsidR="003B47F4" w:rsidRPr="003B47F4" w:rsidRDefault="003B47F4" w:rsidP="003B47F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Wsad stanowią pręty okrągłe o długości 3 do 6 m, ze stali węglowej nierdzewnej, szyny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kolejowe oraz stal narzędziowa. Wydajność linii wynosi 1,2 – 4 t/h i 12 000 – 14 000 ton/rok.</w:t>
      </w:r>
    </w:p>
    <w:p w:rsidR="003B47F4" w:rsidRPr="003B47F4" w:rsidRDefault="003B47F4" w:rsidP="00A64B4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7F4">
        <w:rPr>
          <w:rFonts w:ascii="Times New Roman" w:eastAsia="Times New Roman" w:hAnsi="Times New Roman" w:cs="Times New Roman"/>
          <w:color w:val="000000"/>
          <w:lang w:eastAsia="pl-PL"/>
        </w:rPr>
        <w:t>Linia składa się z następujących urządzeń:</w:t>
      </w:r>
    </w:p>
    <w:p w:rsidR="00A64B42" w:rsidRDefault="003B47F4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ruszt załadowczy wsadu,</w:t>
      </w:r>
    </w:p>
    <w:p w:rsidR="00A64B42" w:rsidRDefault="003B47F4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samotok podający pręty z rusztu do pieca,</w:t>
      </w:r>
    </w:p>
    <w:p w:rsidR="00A64B42" w:rsidRDefault="003B47F4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dwa piece grzewcze indukcyjne 800 kW o temperaturze nagrzewu 1100°C do 1150°C,</w:t>
      </w:r>
    </w:p>
    <w:p w:rsidR="00A64B42" w:rsidRDefault="003B47F4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komplet induktorów pieców grzewczych dla wsadu okrągłego o średnicy 60 mm,</w:t>
      </w:r>
      <w:r w:rsidR="00A64B42">
        <w:rPr>
          <w:rFonts w:ascii="Times New Roman" w:eastAsia="Times New Roman" w:hAnsi="Times New Roman" w:cs="Times New Roman"/>
          <w:color w:val="000000"/>
          <w:lang w:eastAsia="pl-PL"/>
        </w:rPr>
        <w:t xml:space="preserve"> 80 mm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A64B42">
        <w:rPr>
          <w:rFonts w:ascii="Times New Roman" w:eastAsia="Times New Roman" w:hAnsi="Times New Roman" w:cs="Times New Roman"/>
          <w:color w:val="000000"/>
          <w:lang w:eastAsia="pl-PL"/>
        </w:rPr>
        <w:t>i prętów 80 mm x 50 mm,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elektryczne szafy rezonatorów pojemnościowych, instalacja pneumatyczna, zamknięty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obieg wody chłodzącej, zasilania i sterowania pieca,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system chłodzenia pieców indukcyjnych – chillery – schłodzenie wody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w obiegu zamkniętym do temperatury 40°C, zbiornik wody, moc pomp obiegu wody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2 x 11 kW,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automatyczna hydrauliczna nożyca Q42-350A z kompletem noży dla prętów o średnicy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 xml:space="preserve">60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 80 mm, temperatura ciętych prętów 850°C do 1100°C,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pneumatyczna prasa C41 - 750 kg, moc zainstalowana 55 kW dla kucia wstępnego kul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średnicach: 125, 120, 110 i 100 mm,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pneumatyczna prasa C41 - 400 kg, moc zainstalowana 30 kW dla kucia końcowego kul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średnicach: 125, 120, 110 i 100 mm,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pneumatyczna prasa C41 - 400 kg, moc zainstalowana 30 kW dla kucia wstępnego kul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średnicach: 80 i 90 mm,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pneumatyczna prasa C41 - 250 kg, moc zainstalowana 22 kW dla kucia końcowego kul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średnicach: 80 i 90 mm,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transporter ślimakowy odbierający kule z pras,</w:t>
      </w:r>
    </w:p>
    <w:p w:rsid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instalacja hartowania kul, napęd obrotu pieca do hartowania- moc napędu 5,2 kW,</w:t>
      </w:r>
    </w:p>
    <w:p w:rsidR="00A64B42" w:rsidRPr="00A64B42" w:rsidRDefault="00A64B42" w:rsidP="00A64B4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instalacja odpuszczania po hartowaniu.</w:t>
      </w:r>
    </w:p>
    <w:p w:rsidR="00A64B42" w:rsidRPr="00A64B42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Przedmiotowa inwestycja zlokalizowana będzie w całości na terenie nieruchomości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nr ewid. 112/33 obręb 22 Toruń, w hali oznaczonej jako nr 7. Doposażenie technologii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wymaga również drobnych prac na zewnątrz hali, pr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zewiduje się posadowienie dwóch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zbiorników otwartych, które będą służyć jako elementy systemu chłodzenia wodnego.</w:t>
      </w:r>
    </w:p>
    <w:p w:rsidR="003B47F4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Po realizacji zadania przewiduje się pracę 2 lub 3 – zmianową i zatrudnienie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ok. 25 osób. Natężenie ruchu pojazdów kształtować się będzi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 następująco: w porze dziennej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maksymalnie 15 samochodów osobowych/dzień, maksymaln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ie 3 samochody ciężarowe/dzień,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a w porze nocnej maksymalnie 5 samochodów osobowych/dobę.</w:t>
      </w:r>
    </w:p>
    <w:p w:rsidR="00A64B42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Zamierzenie planowane jest do przeprowadzeni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na obszarach wykorzystywanych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niegdyś do produkcji przemysłowej przez zakłady Towi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mor S.A. W związku z powyższym,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zakład wyposażony jest w wewnętrzny układ dróg i pla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ców manewrowych oraz magazynów.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Z uwagi na zaprzestanie pierwotnej działalności, zakłady pode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jmują działania modernizacyjne,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przystosowujące istniejące obiekty kubaturowe do nowych działalności.</w:t>
      </w:r>
    </w:p>
    <w:p w:rsidR="00A64B42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Teren przeznaczony pod realizację przedsięwzięcia obję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ty jest ustaleniami miejscowego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planu zagospodarowania przestrzennego – Uchwała nr 929/18 Rady Miasta Torunia z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27 września 2018 r. w sprawie miejscowego planu zagosp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odarowania przestrzennego "Port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Drzewny" dla obszaru położonego w rejonie ul. Starotoru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ńskiej, Portu Drzewnego i Wisły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w Toruniu (Dz. Urz. Woj. Kuj-Pom. z dnia 4 października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18 r., poz. 4968). Przedmiotowa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 xml:space="preserve">inwestycja jest położona na terenie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podstawowym przezna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czeniu jako: usługi, produkcja,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składy i magazyny, oraz dopuszczalnym jako: infrastruktur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techniczna (w tym torowisko),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działalność związana z wytwarzaniem i przesyłem ener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gii, w tym pozyskanej ze źródeł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odnawialnych.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Planowane przedsięwzięcie jest zgodne z funkcją określoną dla danego terenu.</w:t>
      </w:r>
    </w:p>
    <w:p w:rsidR="00A64B42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Odnośnie ryzyka wystąpienia poważnej awarii, należ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 zaznaczyć, że przedsięwzięcie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nie należy do kategorii zakładu o zwiększonym bądź duż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ym ryzyku pojawienia się awarii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przemysłowej, w myśl rozporządzenia Ministra Rozwoju z dni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29 stycznia 2016 r. w sprawie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rodzajów i ilości znajdujących się w zakładzie substancj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niebezpiecznych, decydujących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zaliczeniu zakładu do zakładu o zwiększonym lub du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żym ryzyku wystąpienia poważnej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awa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t xml:space="preserve">rii przemysłowej (Dz. U.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2016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r., poz. 138).</w:t>
      </w:r>
    </w:p>
    <w:p w:rsidR="00A64B42" w:rsidRDefault="00A64B42" w:rsidP="00A64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Na terenie projektowanego zadania nie występują obszary wodno-b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łotne, inne obszary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o płytkim zaleganiu wód podziemnych, w tym siedliska 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ęgowe oraz ujścia rzek, obszary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 xml:space="preserve">wybrzeży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 środowisko morskie, górskie lub leśne, obsza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ry objęte ochroną, w tym strefy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 xml:space="preserve">ochronne ujęć wód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 zbiorników wód śródlądowych, obszary wymaga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jące specjalnej ochrony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ze względu na występowanie gatunków roślin, grzybów i zwierzą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 lub ich siedlisk lub siedlisk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przyrodniczych objętych ochroną, w tym obszary Natura 200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0, oraz pozostałe formy ochrony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przyrody, a także obszary o krajobrazie mającym zn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aczenie historyczne, kulturowe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lub archeologiczne, o znacznej gęstości zaludnienia, prz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ylegające do jezior, uzdrowiska </w:t>
      </w:r>
      <w:r w:rsidRPr="00A64B42">
        <w:rPr>
          <w:rFonts w:ascii="Times New Roman" w:eastAsia="Times New Roman" w:hAnsi="Times New Roman" w:cs="Times New Roman"/>
          <w:color w:val="000000"/>
          <w:lang w:eastAsia="pl-PL"/>
        </w:rPr>
        <w:t>i obszary ochrony uzdrowiskowej.</w:t>
      </w:r>
    </w:p>
    <w:p w:rsid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Etap realizacji przedsięwzięcia 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się wiązał z wykonaniem wykopów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pod 2 zbiorniki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 pojemności 100 m</w:t>
      </w:r>
      <w:r w:rsidRPr="00310C1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 każdy, które będą 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korzystywane na cele chłodnicze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planowanych urządzeń do obróbki metalu. Zgodnie z uzupe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łnieniem Kip, zbiorniki zostaną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posadowione na głębokości 3 m p.p.t. i w razie konieczności dopuszcza się tymczas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owe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odwadnianie wykopów. Tym samym nie zakłada się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możliwości trwałego naruszenia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istniejących warstw wodonośnych. Znaczny zakres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rac będzie realizowany wewnątrz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istniejącego budynku i obejmie przede wszystkim montaż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nii technologicznych do obróbki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metalu.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Zakres prowadzonych robót nie spowoduje zakłócenia lub zmiany przepływu wód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powierzchniowych i podziemnych.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Zarówno podczas realizacji, jak i użytkowania przedsięwzięcia, woda będzie pobierana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sieci wodociągowej. Eksploatacja zamierzenia wiąże się z poborem wody na cele socjalnobytowe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pracowników (około 20 m</w:t>
      </w:r>
      <w:r w:rsidRPr="007054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 rocznie) oraz na cele technologiczne.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Pobór na cele technologiczne będzie następował w celu napełnienia ww. zbiorników na wodę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do celów chłodniczych. Jak wynika z uzupełnienia Kip, po napełnieniu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zbiorników,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woda w nich zgromadzona zostanie wykorzystywana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możliwie największym stopniu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obiegu zamkniętym oraz uzupełniana w razie potrzeby. 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ozwiązanie to ograniczy zużycie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wody podczas eksploatacji inwestycji.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Podczas realizacji zadania nie zajdzie konieczność wykorzystania przenośnych toalet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bezodpływowym zbiornikiem na ścieki, ponieważ pracownic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y będą korzystać z istniejącego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węzła sanitarnego, z którego ścieki bytowe są odprowadzane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miejskiej sieci kanalizacji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sanitarnej.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Ścieki bytowe, powstające podczas użytkowania inwestycji również będą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odprowadzane do miejskiej sieci kanalizacji sanitarnej. 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ilość będzie zbliżona do poboru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wody na cele socjalno-bytowe.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Zgodnie z uzupełnieniem Kip, przedsięwzięcie nie wiąże się z wytwarzaniem ścieków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przemysłowych. Woda wykorzystywana na cele chłodnicz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 będzie częściowo odparowywać,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związku z czym w wyniku tych procesów nie zostaną generowane ścieki.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Nie przewiduje się zmian z zakresu odprowadzania wód opadowych i roztopowych.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Wody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terenu zakładu nadal będą odprowadzane do istniejącej kanalizacji deszczowej.</w:t>
      </w:r>
    </w:p>
    <w:p w:rsidR="003B47F4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Przedmiotowe zamierzenie zlokalizowane zost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anie w obszarze dorzecza Wisły,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zgodnie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rozporządzeniem Ministra Infrastruktury z dni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4 listopada 2022 r. w sprawie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Planu gospodarowania wodami na obszarze dorzecza Wisły (Dz. U. z 2023 r., poz. 300 t.j.).</w:t>
      </w:r>
    </w:p>
    <w:p w:rsid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Inwestycja znajduje się w obszarze jednolitej 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ęści wód podziemnych oznaczonym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europejskim kodem PLGW200044, zaliczonym 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regionu wodnego Dolnej Wisły.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Zgodnie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rozporządzeniem Ministra Infrastruktury z dnia 4 listopada 2022 r. w sprawie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Planu gospodarowania wodami na obszarze dorzecza Wisły,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stan ogólny tej JCWPd oceniono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jako dobry (stan chemiczny: dobry; stan ilościowy: dobry). 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ozpatrywana jednolita część wód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podziemnych jest zagrożona chemicznie ryzykiem nieos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iągnięcia celów środowiskowych,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tj. utrzymania dobrego stanu chemicznego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ilościowego wód podziemnych.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Zamierzenie usytuowane jest w obszar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 zlewni jednolitej części wód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powierzchniowych oznaczonej europejskim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kodem PLRW20001229199 – „Wisła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od Zgłowiączki do Brdy”, zaliczonym do region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 wodnego Dolnej Wisły. Zgodnie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 rozporządzeniem Ministra Infrastruktury z dnia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4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stopada 2022 r. w sprawie Planu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gospodarowania wodami na obszarze dorzecza Wisły, ta JCWP posiada status silnie zmienionej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części wód, której stan ogólny oceniono jako zły (potencjał ekologiczny: słaby; stan chemiczny: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dobry). Rozpatrywana jednolita część wód powierzch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niowych jest zagrożona ryzykiem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nieosiągnięcia celów środowiskowych, tj. osiąg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nięcia umiarkowanego potencjału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ekologicznego oraz zapewnienia drożności cieku dla migrac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ji ichtiofauny na odcinku cieku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istotnego Wisła w obrębie JCWP (dla jesiotra); zapewnienia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drożności cieku według wymagań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gatunków chronionych; zapewnienia drożności cieku dl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 migracji gatunków o znaczeniu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gospodarczym na odcinku cieku głównego Wisła w ob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rębie JCWP (dla troci wędrownej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oraz węgorza europejskiego) i utrzymania dobrego stanu chemicznego wód powierzchniowych.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Teren realizacji przedsięwzięcia znajduje się poza gr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anicami głównych zbiorników wód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podziemnych, obszarami szczególnego zagrożenia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powodzią, a także poza strefami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ochronnymi ujęć wód na potrzeby zaopatrzenia ludności. W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dległości około 6 m na południe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od działki inwestycyjnej wyznaczono obszar szczególnego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zagrożenia powodzią, powiązany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 Wisłą. Ponadto, według Kip,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odległości około 100 m znajduje się ujęcie wód podziemnych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eksploatowane na potrzeby pobliskiego zakładu.</w:t>
      </w:r>
    </w:p>
    <w:p w:rsid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uwagi na rodzaj, zakres i lokalizację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przedsięwzięcia stwierdza się,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że przy zastosowaniu rozwiązań opisanych w przedłożone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 dokumentacji, jego realizacja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 eksploatacja nie wpłynie negatywnie na ryzyko nieo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siągnięcia celów środowiskowych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zawartych w Planie gospodarowania wod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ami na obszarze dorzecza Wisły.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Biorąc pod uwagę fakt, iż realizacja inwestycji wią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zała się będzie z koniecznością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przeprowadzenia prac budowlano-montażowych, prace 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wykonane ze szczególną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ostrożnością, z zastosowaniem technologii możliwie jak najmniej uciążliwej dla najbliższe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sąsiedztwa i środowiska. Sprzęt wykorzystywany podczas pra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 realizacyjnych będzie sprawny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technicznie. Ponadto, podczas budowy należy zapewnić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placu budowy dostępność środków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do usuwania ewentualnych wycieków substancji ropopochodnych, np. sorbentó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które cechują się dużą chłonnością.</w:t>
      </w:r>
    </w:p>
    <w:p w:rsidR="00310C1D" w:rsidRPr="00310C1D" w:rsidRDefault="00310C1D" w:rsidP="00310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Realizacja inwestycji wiąże się z wytwarzaniem m.in. odpadów z budowy,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remontów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 demontażu obiektów budowlanych z gr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upy 17 według katalogu odpadów,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zawartego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rozporządzeniu Ministra Klimatu z dnia 2 stycznia 2020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katalogu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odpadów (Dz. U.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2020 r., poz. 10 t.j.). Powstawać mogą także odpady komunalne (grupa 20).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Podczas eksploatacji zamierzenia wszystkie odpady będą magazynowane wewnątrz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hali,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big-bagach lub kontenerach. Szacuje się, że powstaną główni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e odpady z grupy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16 oraz 10, np. metale żelazne, metale nieżelazne oraz złom produkcyjny.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Gospodarka odpadami prowadzona będzie zgodnie z obowiązującymi w tym zakresie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przepisami i zasadą minimalizacji ich ilości. Wszystkie 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odpady, powstające podczas prac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budowlanych gromadzone będą w sposób selektywny w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wyznaczonych i przystosowanych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do tego celu miejscach, a następnie z odpowiednią częstotl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iwością przekazywane do odzysku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lub unieszkodliwiania podmiotom posiadającym stosowne pozwolenia.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Rodzaj i ilość wytwarzanych odpadów nie będą miały znaczącego negatywnego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wpływu na środowisko przy zachowaniu podstawowych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zasad gospodarowania odpadami,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tj. hierarchii sposobów postępowania z odpadami zawartej w a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rt. 17 ustawy z dnia 14 grudnia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2012 r. o odpadach (Dz. U.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 2023 r., poz. 1587 t.j.).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Na etapie realizacji nie będą prowadzone typowe prace budowlane, jedynie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zaplanowano prace montażowe, powodujące okresowe ucią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żliwości takie jak: podwyższony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poziom hałasu oraz emisję zanieczyszczeń do powietrza. Dla zminimalizow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ania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ww. oddziaływań wszystkie prace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sąsiedztwie tere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nów zabudowy mieszkaniowej będą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wykonywane wyłącznie w porze dziennej. Wszelkie uciążliwoś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ci związane z etapem realizacji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mają charakter okresowy i ustąpią z chwilą zakończenia inwestycji.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Realizacja zamierzenia inwestycyjnego nie powoduje posadowienia nowych źródeł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emisji zanieczyszczeń. Przewidywana emisja hałasu ograni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czona będzie do eksploatowanego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budynku – tj. hali H7.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Zgodnie z Kip, linie technologiczne zasilane będą energią elektryczną, nie przewiduje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się stosowania gazu ziemnego. W hali znajduje się istniejąca w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entylacja grawitacyjna, służąca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do wymiany powietrza. W trakcie procesów technologicznych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dochodzi jedynie do podgrzania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materiału wsadowego, do temperatury umożliwiającej ksz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tałtowanie wsadu do pożądanych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kształtów – nie osiąga się temperatury surówki. Pona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dto, w projektowanych procesach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technologicznych nie przewiduje się stosowania materiałó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w sypkich, co również eliminuje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możliwość wystąpienia niezorganizowanej emisji pyłu.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związku z powyższym, jedynym źródłem zanieczyszczeń do powietrza oraz hałasu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będzie komunikacja (dowóz surowca, wywóz produktów).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Zamierzenie na etapie eksploatacji nie będzie dodatkowym źródłem hałasu. Hala jest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t>obiektem istniejącym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, w ramach przedsięwzięcia 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zostaną do niej wstawione linie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technologiczne.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Zgodnie z informacjami przedstawionymi w dokumentacji, konstrukcja budynku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posiada izolacyjność akustyczną wynoszącą ok. 45 dB. Lin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ie technologiczne znajdować się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będą w obiektach przystosowanych do działalności p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rzemysłowych, a poziom ich mocy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akustycznej (w momentach uderzeniowych) nie przekroczy 100 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dB. Praca linii technologicznej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odbywać się będzie przy zamkniętych drzwiach i oknach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. W chwili obecnej trwają prace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modernizacyjne dachu hali H7, mające na celu m.in. poprawienie izolacyjności obiektu.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Najbliższe tereny chronione akustycznie znajdują się ponad 300 m od obszaru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inwestycyjnego.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Nie przewiduje się negatywnego oddziaływania analizowanego zamierzenia na klimat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akustyczny rozpatrywanego obszaru. Zgodnie z przedstaw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ioną dokumentacją, nie zostanie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zmieniony istotnie klimat akustyczny w najbliższym otoczeniu.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Zakłada się, że eksploatacja zamierzenia nie spowoduje przekroczeń obowiązujących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wartości stężeń zanieczyszczeń i wartości odniesienia substancji w powietrzu.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dniu 26 czerwca 2023 r. Sejmik Województwa Kujawsko-Pomorskiego uchwalił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nowy program ochrony powietrza dla wszystkich stref wo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jewództwa kujawsko-pomorskiego,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tym m.in. dla strefy miasto Toruń, na terenie któr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ej zlokalizowane jest planowane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przedsięwzięcie (uchwala nr LIX/805/23 z dnia 26.06.2023 r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. w sprawie określenia programu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ochrony powietrza w zakresie pyłu zawieszonego PM10, PM2,5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oraz benzo(a)pirenu dla strefy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miasto Toruń – aktualizacja).</w:t>
      </w:r>
    </w:p>
    <w:p w:rsidR="00310C1D" w:rsidRP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Program ochrony powietrza w zakresie pyłu zawieszonego PM10, PM2,5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oraz benzo(a)pirenu dla strefy miasto Toruń – aktualizacja 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(dalej POP lub Program) stanowi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aktualizację obowiązującego dotychczas „Programu ochrony powietrza w zakresie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pyłu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zawieszonego PM10 oraz benzo(a)pirenu dla strefy mi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asto Toruń” określonego uchwałą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XXIII/341/20 Sejmiku Województwa Kujawsko-Pomorsk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iego z dnia 22 czerwca 2020 r.,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zakresie benzo(a)pirenu, a także uwzględnia nowe zanieczyszczenie pył zawieszony PM2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,5.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Został opracowany w związku z odnotowaniem w 2021 r. p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rzekroczenia poziomu docelowego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benzo(a)pirenu oraz przekroczenia standardu jakości po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wietrza pyłu zawieszonego PM2,5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(nowego zanieczyszczenia, którego przekroczenie poziomu dopuszczalnego nie wy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stąpiło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w 2018 r.) na terenie strefy. W 2021 r. w strefie miasto Toru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ń nie stwierdzono przekroczenia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poziomów dopuszczalnych pyłu zawieszonego PM10, a 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więc dla tej substancji Program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nie podlega aktualizacji.</w:t>
      </w:r>
    </w:p>
    <w:p w:rsidR="00310C1D" w:rsidRDefault="00310C1D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Na podstawie rocznej oceny jakości powietrza za rok 2018 strefa miasto Toruń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ze względu na ochronę zdrowia została zakwalifik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owana do klasy C pod kątem pyłu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 xml:space="preserve">zawieszonego PM10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i benzo(a)pirenu. Zgodnie z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roczną oceną jakości powietrza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 rok 2021 strefa miasto Toruń została zakwalifikowana do klasy C, w</w:t>
      </w:r>
      <w:r w:rsid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zakresie pyłu </w:t>
      </w:r>
      <w:r w:rsidRPr="00310C1D">
        <w:rPr>
          <w:rFonts w:ascii="Times New Roman" w:eastAsia="Times New Roman" w:hAnsi="Times New Roman" w:cs="Times New Roman"/>
          <w:color w:val="000000"/>
          <w:lang w:eastAsia="pl-PL"/>
        </w:rPr>
        <w:t>zawieszonego PM2,5 oraz benzo(a)pirenu.</w:t>
      </w:r>
    </w:p>
    <w:p w:rsidR="008A1170" w:rsidRPr="008A1170" w:rsidRDefault="008A1170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Zamierzenie nie będzie znaczącym źródłem benzo(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a)pirenu oraz pyłu zawieszonego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PM2,5, przez co nie wpłynie na pogorszenie obecnej sytuacji.</w:t>
      </w:r>
    </w:p>
    <w:p w:rsidR="008A1170" w:rsidRPr="008A1170" w:rsidRDefault="008A1170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Przedsięwzięcie będzie zlokalizowane poza obszarami chronionym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w myśl ustawy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16 kwietnia 2004 r. o ochronie przyrody (Dz. U.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2023 r., poz. 1336 ze t.j.),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 tym poza wyznaczonymi, mającymi znaczenie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dla Wspólnoty i projektowanymi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przekazanymi do Komisji Europejskiej obszarami Natura 2000.</w:t>
      </w:r>
    </w:p>
    <w:p w:rsidR="008A1170" w:rsidRPr="008A1170" w:rsidRDefault="008A1170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Realizacja planowanego zamierzenia przy przyjętym 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związaniu lokalizacji (w środku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istniejącej już hali należącej do działającego zakładu) nie wymaga naruszania cennych siedlisk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przyrodniczych i ich przekształcania, usunięcia drzew i krzewów, budowy i rozbiórki obiektów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kubaturowych, zajęcia siedlisk wrażliwych, przerywania korytarzy ekologicznych.</w:t>
      </w:r>
    </w:p>
    <w:p w:rsidR="008A1170" w:rsidRDefault="008A1170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Na podstawie przeprowadzonej analizy przed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łożonej dokumentacji, w tym Kip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ustalono, że realizacja i eksploatacja inwestycji nie będzie skutkować niekorzystnym wpływem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na środowisko przyrodnicze i krajobraz.</w:t>
      </w:r>
    </w:p>
    <w:p w:rsidR="008A1170" w:rsidRPr="008A1170" w:rsidRDefault="008A1170" w:rsidP="008A1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Jednocześnie informuję, że w przypadku jeśli skutkie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 robót budowlanych bądź innych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prac związanych z realizacją zamierzenia będzie podję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cie czynności objętych zakazami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względem gatunków chronionych zwierząt, 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ślin oraz grzybów, wynikającymi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z art. 51 i art. 52 ww. ustawy </w:t>
      </w:r>
      <w:r w:rsidR="007054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o ochronie przyrody, np.:</w:t>
      </w:r>
    </w:p>
    <w:p w:rsidR="008A1170" w:rsidRDefault="008A1170" w:rsidP="008A1170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 odniesieniu do zwierząt objętych ochroną gatunkową – niszczenie ich siedlisk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lub ostoi, będących obszarem rozrodu, wychowu młodych, odpoczynku, migracji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lub żerowania, jak również niszczenie, usuwanie lub uszkadzanie gniazd, mrowisk,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nor, legowisk, żeremi, tam, tarlisk, zimowisk lub innych schronień,</w:t>
      </w:r>
    </w:p>
    <w:p w:rsidR="008A1170" w:rsidRPr="008A1170" w:rsidRDefault="008A1170" w:rsidP="008A1170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 odniesieniu do grzybów i roślin – umyślne niszczenie osobników oraz niszczenie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siedlisk lub ostoi roślin i grzybów,</w:t>
      </w:r>
    </w:p>
    <w:p w:rsidR="008A1170" w:rsidRPr="008A1170" w:rsidRDefault="008A1170" w:rsidP="008A1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Inwestor lub Wykonawca są zobowiązani do uzyskan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ia zgody na wykonania czynności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podlegających zakazom na zasadach określonych w art. 56 ww. ustawy o ochronie przyrody.</w:t>
      </w:r>
    </w:p>
    <w:p w:rsidR="008A1170" w:rsidRPr="008A1170" w:rsidRDefault="008A1170" w:rsidP="00204B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Na etapie analizowania zamierzenia, przy określaniu negatywnych oddziaływań,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uwzględniono wzajemne powiązania poszczególnych eleme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ntów środowiska oraz interakcje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pośrednie wynikające z tych powiązań. Analiza odd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ziaływania na środowisko objęła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więc efekty skumulowane, związane z potencjalną degrada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cją kilku elementów środowiska.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Biorąc pod uwagę powyższe,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przeanalizowano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ryzyko wystąpienia efektu skumulowaneg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o oddziaływania dla niniejszego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przedsięwzięcia. Charakter przedmiotowego obszaru inwes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tycji, a także rodzaj i zakres,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pozwala na stwierdzenie, że jej eksploatacja nie sp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owoduje negatywnego kumulowania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oddziaływań.</w:t>
      </w:r>
    </w:p>
    <w:p w:rsidR="008A1170" w:rsidRPr="008A1170" w:rsidRDefault="008A1170" w:rsidP="00204B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Biorąc pod uwagę rodzaj zamierzenia, a także 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fakt, że będzie ono realizowane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na terenie województwa kujawsko-pomorskiego, nie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 stwierdzono negatywnego wpływu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i występowania transgranicznego oddziaływania analizo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wanej inwestycji na środowisko.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Nie przewiduje się również przekroczeń standardów jakoś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ci środowiska, zwłaszcza biorąc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pod uwagę, że w przedłożonej Kip, przedstawione zos</w:t>
      </w:r>
      <w:r w:rsidR="00204BE2">
        <w:rPr>
          <w:rFonts w:ascii="Times New Roman" w:eastAsia="Times New Roman" w:hAnsi="Times New Roman" w:cs="Times New Roman"/>
          <w:color w:val="000000"/>
          <w:lang w:eastAsia="pl-PL"/>
        </w:rPr>
        <w:t xml:space="preserve">tały rozwiązania minimalizujące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oddziaływania inwestycji na środowisko.</w:t>
      </w:r>
    </w:p>
    <w:p w:rsidR="008A1170" w:rsidRPr="008A1170" w:rsidRDefault="008A1170" w:rsidP="00EE1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Rozwiązania projektowe planowanej inwesty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cji uwzględniają zabezpieczenia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przed skutkami potencjalnych zmian warunków klimatycz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nych i ewentualnego wystąpienia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zdarzeń ekstremalnych (takich jak np. fale upałów, długotrwale susze, ekstr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emalne opady,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gwałtowne burze i wiatry, fale chłodu i intensywne opady śniegu, zamarzanie i odmarzanie).</w:t>
      </w:r>
    </w:p>
    <w:p w:rsidR="008A1170" w:rsidRPr="008A1170" w:rsidRDefault="008A1170" w:rsidP="00EE1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Na podstawie informacji zawartych w przedłożone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>j przez Inwestora dokumentacji, przeanalizowano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 wpływ inwestycji w kontekście adaptacji do sku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tków zmian klimatu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(efekt cieplarniany). Podczas realizacji zamierzenia wystą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pi emisja gazów cieplarnianych,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 xml:space="preserve">głównie dwutlenku węgla, w związku z pracą sprzętu 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i środków transportu materiałów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wykorzystywanych do dokonania prac montażowych. Emisja ta będzie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 krótkotrwała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i o niewielkim lokalnym zasięgu, czyli będzie mało znacząca.</w:t>
      </w:r>
    </w:p>
    <w:p w:rsidR="006372CF" w:rsidRPr="009C374D" w:rsidRDefault="008A1170" w:rsidP="009C37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W przypadku wystąpienia bezpośredniego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 zagrożenia szkodą w środowisku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lub szkody w środowisku należy postępować zgodnie z obowią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zującymi przepisami, tj. ustawą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z dnia 13 kwietnia 2007 r. o zapobieganiu szko</w:t>
      </w:r>
      <w:r w:rsidR="00EE18E9">
        <w:rPr>
          <w:rFonts w:ascii="Times New Roman" w:eastAsia="Times New Roman" w:hAnsi="Times New Roman" w:cs="Times New Roman"/>
          <w:color w:val="000000"/>
          <w:lang w:eastAsia="pl-PL"/>
        </w:rPr>
        <w:t xml:space="preserve">dom w środowisku i ich naprawie </w:t>
      </w:r>
      <w:r w:rsidRPr="008A1170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="009C374D">
        <w:rPr>
          <w:rFonts w:ascii="Times New Roman" w:eastAsia="Times New Roman" w:hAnsi="Times New Roman" w:cs="Times New Roman"/>
          <w:color w:val="000000"/>
          <w:lang w:eastAsia="pl-PL"/>
        </w:rPr>
        <w:t xml:space="preserve"> U. z 2020 r., poz. 2187 t.j.).</w:t>
      </w:r>
    </w:p>
    <w:p w:rsidR="004B1264" w:rsidRPr="00B72B52" w:rsidRDefault="004B1264" w:rsidP="004B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 xml:space="preserve">Na podstawie analizy złożonej dokumentacji oraz po uzyskaniu opinii: Regionalnego Dyrektora Ochrony Środowiska w Bydgoszczy, Państwowego Powiatowego Inspektora Sanitarnego </w:t>
      </w:r>
      <w:r w:rsidR="00486C07">
        <w:rPr>
          <w:rFonts w:ascii="Times New Roman" w:eastAsia="Times New Roman" w:hAnsi="Times New Roman" w:cs="Times New Roman"/>
          <w:lang w:eastAsia="pl-PL"/>
        </w:rPr>
        <w:br/>
      </w:r>
      <w:r w:rsidRPr="00B72B52">
        <w:rPr>
          <w:rFonts w:ascii="Times New Roman" w:eastAsia="Times New Roman" w:hAnsi="Times New Roman" w:cs="Times New Roman"/>
          <w:lang w:eastAsia="pl-PL"/>
        </w:rPr>
        <w:t>w Toruniu i Państwowego Gospodarstwa Wodnego Wody Polskie w Gdańsku, Zarząd</w:t>
      </w:r>
      <w:r w:rsidR="004A1E9D">
        <w:rPr>
          <w:rFonts w:ascii="Times New Roman" w:eastAsia="Times New Roman" w:hAnsi="Times New Roman" w:cs="Times New Roman"/>
          <w:lang w:eastAsia="pl-PL"/>
        </w:rPr>
        <w:t>u</w:t>
      </w:r>
      <w:r w:rsidRPr="00B72B52">
        <w:rPr>
          <w:rFonts w:ascii="Times New Roman" w:eastAsia="Times New Roman" w:hAnsi="Times New Roman" w:cs="Times New Roman"/>
          <w:lang w:eastAsia="pl-PL"/>
        </w:rPr>
        <w:t xml:space="preserve"> Zlewni </w:t>
      </w:r>
      <w:r w:rsidR="00486C07">
        <w:rPr>
          <w:rFonts w:ascii="Times New Roman" w:eastAsia="Times New Roman" w:hAnsi="Times New Roman" w:cs="Times New Roman"/>
          <w:lang w:eastAsia="pl-PL"/>
        </w:rPr>
        <w:br/>
      </w:r>
      <w:r w:rsidRPr="00B72B52">
        <w:rPr>
          <w:rFonts w:ascii="Times New Roman" w:eastAsia="Times New Roman" w:hAnsi="Times New Roman" w:cs="Times New Roman"/>
          <w:lang w:eastAsia="pl-PL"/>
        </w:rPr>
        <w:t xml:space="preserve">w Toruniu, zgodnie </w:t>
      </w:r>
      <w:r w:rsidR="004A1E9D">
        <w:rPr>
          <w:rFonts w:ascii="Times New Roman" w:eastAsia="Times New Roman" w:hAnsi="Times New Roman" w:cs="Times New Roman"/>
          <w:lang w:eastAsia="pl-PL"/>
        </w:rPr>
        <w:t xml:space="preserve">z art. 84 ust. 1 ustawy z dnia </w:t>
      </w:r>
      <w:r w:rsidRPr="00B72B52">
        <w:rPr>
          <w:rFonts w:ascii="Times New Roman" w:eastAsia="Times New Roman" w:hAnsi="Times New Roman" w:cs="Times New Roman"/>
          <w:lang w:eastAsia="pl-PL"/>
        </w:rPr>
        <w:t>3 października 2008 r. - o udostępnianiu informacji  o środowisku i jego ochronie, udziale społeczeństwa w ochronie środowiska oraz o ocenach oddzi</w:t>
      </w:r>
      <w:r w:rsidR="004A1E9D">
        <w:rPr>
          <w:rFonts w:ascii="Times New Roman" w:eastAsia="Times New Roman" w:hAnsi="Times New Roman" w:cs="Times New Roman"/>
          <w:lang w:eastAsia="pl-PL"/>
        </w:rPr>
        <w:t xml:space="preserve">aływania na środowisko (Dz. U. </w:t>
      </w:r>
      <w:r w:rsidRPr="00B72B52">
        <w:rPr>
          <w:rFonts w:ascii="Times New Roman" w:eastAsia="Times New Roman" w:hAnsi="Times New Roman" w:cs="Times New Roman"/>
          <w:lang w:eastAsia="pl-PL"/>
        </w:rPr>
        <w:t>z 202</w:t>
      </w:r>
      <w:r w:rsidR="009C374D">
        <w:rPr>
          <w:rFonts w:ascii="Times New Roman" w:eastAsia="Times New Roman" w:hAnsi="Times New Roman" w:cs="Times New Roman"/>
          <w:lang w:eastAsia="pl-PL"/>
        </w:rPr>
        <w:t>3</w:t>
      </w:r>
      <w:r w:rsidRPr="00B72B5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86989" w:rsidRPr="00B72B52">
        <w:rPr>
          <w:rFonts w:ascii="Times New Roman" w:eastAsia="Times New Roman" w:hAnsi="Times New Roman" w:cs="Times New Roman"/>
          <w:lang w:eastAsia="pl-PL"/>
        </w:rPr>
        <w:t>10</w:t>
      </w:r>
      <w:r w:rsidR="009C374D">
        <w:rPr>
          <w:rFonts w:ascii="Times New Roman" w:eastAsia="Times New Roman" w:hAnsi="Times New Roman" w:cs="Times New Roman"/>
          <w:lang w:eastAsia="pl-PL"/>
        </w:rPr>
        <w:t>94</w:t>
      </w:r>
      <w:r w:rsidR="004A1E9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B72B52">
        <w:rPr>
          <w:rFonts w:ascii="Times New Roman" w:eastAsia="Times New Roman" w:hAnsi="Times New Roman" w:cs="Times New Roman"/>
          <w:lang w:eastAsia="pl-PL"/>
        </w:rPr>
        <w:t>), organ administracji publicznej stwierdził brak potrzeby przeprowadzenia oceny oddziaływania przedsięwzięcia na środowisko.</w:t>
      </w:r>
    </w:p>
    <w:p w:rsidR="004B1264" w:rsidRPr="00B72B52" w:rsidRDefault="004B1264" w:rsidP="004B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lang w:eastAsia="pl-PL"/>
        </w:rPr>
        <w:t>Mając powyższe na względzie, zgodnie z art. 85 ust. 2 pkt 2, organ administracji publicznej wydaje decyzję stwierdzającą brak potrzeby przeprowadzenia oceny oddziaływania przedsięwzięcia na środowisko - orzeczono jak w sentencji.</w:t>
      </w:r>
    </w:p>
    <w:p w:rsidR="007054E5" w:rsidRDefault="007054E5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7054E5" w:rsidRDefault="007054E5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7054E5" w:rsidRPr="00B72B52" w:rsidRDefault="007054E5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D1EE6" w:rsidRPr="00B72B5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72B5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B72B5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B72B52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ustawy z dnia 3 października 2008 </w:t>
      </w:r>
      <w:r w:rsidR="004A1E9D">
        <w:rPr>
          <w:rFonts w:ascii="Times New Roman" w:eastAsia="Times New Roman" w:hAnsi="Times New Roman" w:cs="Times New Roman"/>
          <w:color w:val="000000"/>
          <w:lang w:eastAsia="pl-PL"/>
        </w:rPr>
        <w:t xml:space="preserve">r. - o udostępnianiu informacji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B72B52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r w:rsidR="00110B88"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48413E" w:rsidRPr="00B72B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C374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139A5" w:rsidRPr="00B72B52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9C374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4A1E9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B72B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EA28F7" w:rsidRPr="00B72B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B72B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B72B52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B52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B5447A" w:rsidRPr="00B72B52" w:rsidRDefault="00B5447A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3838" w:rsidRDefault="00B03838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F1" w:rsidRPr="00BD1EE6" w:rsidRDefault="00835DF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838" w:rsidRDefault="00B03838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2B3652" w:rsidRDefault="002B3652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BD1EE6" w:rsidRPr="00110B88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B8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Załączniki:</w:t>
      </w:r>
    </w:p>
    <w:p w:rsidR="001C30E1" w:rsidRPr="0048413E" w:rsidRDefault="00BD1EE6" w:rsidP="006D396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</w:t>
      </w:r>
      <w:r w:rsidR="00996B67">
        <w:rPr>
          <w:rFonts w:ascii="Times New Roman" w:eastAsia="Times New Roman" w:hAnsi="Times New Roman" w:cs="Times New Roman"/>
          <w:sz w:val="20"/>
          <w:szCs w:val="20"/>
          <w:lang w:eastAsia="pl-PL"/>
        </w:rPr>
        <w:t>tyka przedsięwzięcia zgodnie z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</w:t>
      </w:r>
      <w:r w:rsidR="0008683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0868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3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0870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t.j.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D3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9C37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poz. </w:t>
      </w:r>
      <w:r w:rsidR="004139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 w:rsidR="009C37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4A1E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6D396F" w:rsidRDefault="006D396F" w:rsidP="00996B67">
      <w:pPr>
        <w:pStyle w:val="Standard"/>
        <w:rPr>
          <w:sz w:val="18"/>
          <w:szCs w:val="18"/>
          <w:u w:val="single"/>
        </w:rPr>
      </w:pPr>
    </w:p>
    <w:p w:rsidR="009C374D" w:rsidRDefault="009C374D" w:rsidP="00996B67">
      <w:pPr>
        <w:pStyle w:val="Standard"/>
        <w:rPr>
          <w:sz w:val="18"/>
          <w:szCs w:val="18"/>
          <w:u w:val="single"/>
        </w:rPr>
      </w:pPr>
    </w:p>
    <w:p w:rsidR="009C374D" w:rsidRDefault="009C374D" w:rsidP="00996B67">
      <w:pPr>
        <w:pStyle w:val="Standard"/>
        <w:rPr>
          <w:sz w:val="18"/>
          <w:szCs w:val="18"/>
          <w:u w:val="single"/>
        </w:rPr>
      </w:pPr>
    </w:p>
    <w:p w:rsidR="002B3652" w:rsidRDefault="002B3652" w:rsidP="00996B67">
      <w:pPr>
        <w:pStyle w:val="Standard"/>
        <w:rPr>
          <w:sz w:val="18"/>
          <w:szCs w:val="18"/>
          <w:u w:val="single"/>
        </w:rPr>
      </w:pPr>
    </w:p>
    <w:p w:rsidR="00996B67" w:rsidRPr="0048413E" w:rsidRDefault="00996B67" w:rsidP="00996B67">
      <w:pPr>
        <w:pStyle w:val="Standard"/>
        <w:rPr>
          <w:sz w:val="18"/>
          <w:szCs w:val="18"/>
          <w:u w:val="single"/>
        </w:rPr>
      </w:pPr>
      <w:r w:rsidRPr="0048413E">
        <w:rPr>
          <w:sz w:val="18"/>
          <w:szCs w:val="18"/>
          <w:u w:val="single"/>
        </w:rPr>
        <w:t>Otrzymują:</w:t>
      </w:r>
    </w:p>
    <w:p w:rsidR="009C374D" w:rsidRPr="009C374D" w:rsidRDefault="009C374D" w:rsidP="009C374D">
      <w:pPr>
        <w:numPr>
          <w:ilvl w:val="0"/>
          <w:numId w:val="36"/>
        </w:numPr>
        <w:spacing w:after="0" w:line="100" w:lineRule="atLeast"/>
        <w:contextualSpacing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C374D">
        <w:rPr>
          <w:rFonts w:ascii="Times New Roman" w:eastAsia="Calibri" w:hAnsi="Times New Roman" w:cs="Times New Roman"/>
          <w:sz w:val="18"/>
          <w:szCs w:val="18"/>
          <w:lang w:eastAsia="ar-SA"/>
        </w:rPr>
        <w:t>Energosteel Polska Sp. z o.o., Pl. Wolnica 13/10 – 31-060 Kraków</w:t>
      </w:r>
    </w:p>
    <w:p w:rsidR="009C374D" w:rsidRPr="009C374D" w:rsidRDefault="009C374D" w:rsidP="009C374D">
      <w:pPr>
        <w:tabs>
          <w:tab w:val="left" w:pos="360"/>
        </w:tabs>
        <w:autoSpaceDN w:val="0"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000000"/>
          <w:kern w:val="3"/>
          <w:sz w:val="18"/>
          <w:szCs w:val="18"/>
          <w:lang w:eastAsia="pl-PL"/>
        </w:rPr>
      </w:pPr>
      <w:r w:rsidRPr="009C374D">
        <w:rPr>
          <w:rFonts w:ascii="Times New Roman" w:eastAsia="Arial" w:hAnsi="Times New Roman" w:cs="Times New Roman"/>
          <w:color w:val="000000"/>
          <w:kern w:val="3"/>
          <w:sz w:val="18"/>
          <w:szCs w:val="18"/>
          <w:lang w:eastAsia="pl-PL"/>
        </w:rPr>
        <w:t>Poprzez pełnomocnika: Anna Plebanek-Liro, Kancelaria Adwokacka Anna Plebanek-Liro, ul. Lubicz 3/202 – 31-034 Kraków</w:t>
      </w:r>
    </w:p>
    <w:p w:rsidR="009C374D" w:rsidRPr="009C374D" w:rsidRDefault="009C374D" w:rsidP="009C374D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000000"/>
          <w:kern w:val="3"/>
          <w:sz w:val="18"/>
          <w:szCs w:val="18"/>
          <w:lang w:eastAsia="pl-PL"/>
        </w:rPr>
      </w:pPr>
      <w:r w:rsidRPr="009C374D">
        <w:rPr>
          <w:rFonts w:ascii="Times New Roman" w:eastAsia="Arial" w:hAnsi="Times New Roman" w:cs="Times New Roman"/>
          <w:color w:val="000000"/>
          <w:kern w:val="3"/>
          <w:sz w:val="18"/>
          <w:szCs w:val="18"/>
          <w:lang w:eastAsia="pl-PL"/>
        </w:rPr>
        <w:t>Toruńskie Zakłady Urządzeń Okrętowych TOWIMOR S.A., ul. Droga Starotoruńska 5 – Toruń</w:t>
      </w:r>
    </w:p>
    <w:p w:rsidR="009C374D" w:rsidRPr="009C374D" w:rsidRDefault="009C374D" w:rsidP="009C374D">
      <w:pPr>
        <w:widowControl w:val="0"/>
        <w:numPr>
          <w:ilvl w:val="0"/>
          <w:numId w:val="36"/>
        </w:num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9C374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Krajowy Ośrodek Wsparcia Rolnictwa Oddział Terenowy w Bydgoszczy, ul. Hetmańska 38 – 85-039 Bydgoszcz</w:t>
      </w:r>
    </w:p>
    <w:p w:rsidR="009C374D" w:rsidRPr="009C374D" w:rsidRDefault="009C374D" w:rsidP="009C374D">
      <w:pPr>
        <w:widowControl w:val="0"/>
        <w:numPr>
          <w:ilvl w:val="0"/>
          <w:numId w:val="36"/>
        </w:num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9C374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Nicrometal S.A., ul. Droga Starotoruńska 5 – Toruń</w:t>
      </w:r>
    </w:p>
    <w:p w:rsidR="009C374D" w:rsidRPr="009C374D" w:rsidRDefault="009C374D" w:rsidP="009C374D">
      <w:pPr>
        <w:widowControl w:val="0"/>
        <w:numPr>
          <w:ilvl w:val="0"/>
          <w:numId w:val="36"/>
        </w:numPr>
        <w:suppressAutoHyphens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9C374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Państwowe Gospodarstwo Wodne Wody Polskie, Regionalny Zarząd Gospodarki Wodnej, ul. Rogaczewskiego 9/19 – 80-804 Gdańsk</w:t>
      </w:r>
    </w:p>
    <w:p w:rsidR="009C374D" w:rsidRPr="009C374D" w:rsidRDefault="009C374D" w:rsidP="009C374D">
      <w:pPr>
        <w:widowControl w:val="0"/>
        <w:numPr>
          <w:ilvl w:val="0"/>
          <w:numId w:val="36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9C374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Towimor Invest Sp.z o.o., ul. Polna 140B - Toruń</w:t>
      </w:r>
    </w:p>
    <w:p w:rsidR="00996B67" w:rsidRPr="004139A5" w:rsidRDefault="00996B67" w:rsidP="004A1E9D">
      <w:pPr>
        <w:pStyle w:val="Akapitzlist1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1E9D">
        <w:rPr>
          <w:rFonts w:ascii="Times New Roman" w:eastAsia="Times New Roman" w:hAnsi="Times New Roman" w:cs="Times New Roman"/>
          <w:color w:val="000000"/>
          <w:sz w:val="18"/>
          <w:szCs w:val="18"/>
        </w:rPr>
        <w:t>a/a Sprawę w Wydziale Architektury i Budownictwa UMT przy</w:t>
      </w:r>
      <w:r w:rsidRPr="004139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ul. Grudziądzkiej 126B prowadzi Aleksandra Góra, pokój 303 (III piętro), kontakt pod nr tel. 56 611-84-21</w:t>
      </w:r>
    </w:p>
    <w:p w:rsidR="00996B67" w:rsidRPr="0048413E" w:rsidRDefault="00996B67" w:rsidP="00996B67">
      <w:pPr>
        <w:pStyle w:val="Standard"/>
        <w:tabs>
          <w:tab w:val="left" w:pos="705"/>
        </w:tabs>
        <w:ind w:left="-15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996B67" w:rsidRPr="0048413E" w:rsidRDefault="00996B67" w:rsidP="00996B67">
      <w:pPr>
        <w:pStyle w:val="Standard"/>
        <w:rPr>
          <w:color w:val="000000"/>
          <w:sz w:val="18"/>
          <w:szCs w:val="18"/>
          <w:u w:val="single"/>
        </w:rPr>
      </w:pPr>
      <w:r w:rsidRPr="0048413E">
        <w:rPr>
          <w:color w:val="000000"/>
          <w:sz w:val="18"/>
          <w:szCs w:val="18"/>
          <w:u w:val="single"/>
        </w:rPr>
        <w:t>Do wiadomości:</w:t>
      </w:r>
    </w:p>
    <w:p w:rsidR="00996B67" w:rsidRPr="0048413E" w:rsidRDefault="00996B67" w:rsidP="00996B67">
      <w:pPr>
        <w:pStyle w:val="Standard"/>
        <w:numPr>
          <w:ilvl w:val="0"/>
          <w:numId w:val="27"/>
        </w:numPr>
        <w:textAlignment w:val="auto"/>
        <w:rPr>
          <w:color w:val="000000"/>
          <w:sz w:val="18"/>
          <w:szCs w:val="18"/>
        </w:rPr>
      </w:pPr>
      <w:r w:rsidRPr="0048413E">
        <w:rPr>
          <w:color w:val="000000"/>
          <w:sz w:val="18"/>
          <w:szCs w:val="18"/>
        </w:rPr>
        <w:t>Regionalny Dyrektor Ochrony Środowiska w Bydgoszczy – ul. Dworcowa 81, 85-009 Bydgoszcz</w:t>
      </w:r>
    </w:p>
    <w:p w:rsidR="00996B67" w:rsidRPr="0048413E" w:rsidRDefault="00996B67" w:rsidP="00996B67">
      <w:pPr>
        <w:pStyle w:val="Standard"/>
        <w:numPr>
          <w:ilvl w:val="0"/>
          <w:numId w:val="27"/>
        </w:numPr>
        <w:textAlignment w:val="auto"/>
        <w:rPr>
          <w:color w:val="000000"/>
          <w:sz w:val="18"/>
          <w:szCs w:val="18"/>
        </w:rPr>
      </w:pPr>
      <w:r w:rsidRPr="0048413E">
        <w:rPr>
          <w:color w:val="000000"/>
          <w:sz w:val="18"/>
          <w:szCs w:val="18"/>
        </w:rPr>
        <w:t>Państwowy Powiatowy Inspektor Sanitarny w Toruniu - ul. Szosa Bydgoska 1 - 87-100 Toruń</w:t>
      </w:r>
    </w:p>
    <w:p w:rsidR="00835DF1" w:rsidRPr="00675EEC" w:rsidRDefault="00996B67" w:rsidP="00675EEC">
      <w:pPr>
        <w:pStyle w:val="Standard"/>
        <w:numPr>
          <w:ilvl w:val="0"/>
          <w:numId w:val="27"/>
        </w:numPr>
        <w:textAlignment w:val="auto"/>
        <w:rPr>
          <w:color w:val="000000"/>
          <w:sz w:val="18"/>
          <w:szCs w:val="18"/>
        </w:rPr>
      </w:pPr>
      <w:r w:rsidRPr="0048413E">
        <w:rPr>
          <w:color w:val="000000"/>
          <w:sz w:val="18"/>
          <w:szCs w:val="18"/>
        </w:rPr>
        <w:t xml:space="preserve">Państwowe Gospodarstwo Wodne Wody Polskie, </w:t>
      </w:r>
      <w:r w:rsidR="0048413E">
        <w:rPr>
          <w:color w:val="000000"/>
          <w:sz w:val="18"/>
          <w:szCs w:val="18"/>
        </w:rPr>
        <w:t>Zarząd Zlewni w Toruniu, ul. Popiełuszki 3 - Toruń</w:t>
      </w:r>
    </w:p>
    <w:sectPr w:rsidR="00835DF1" w:rsidRPr="00675EEC" w:rsidSect="009664D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70" w:rsidRDefault="008A1170" w:rsidP="000E4D14">
      <w:pPr>
        <w:spacing w:after="0" w:line="240" w:lineRule="auto"/>
      </w:pPr>
      <w:r>
        <w:separator/>
      </w:r>
    </w:p>
  </w:endnote>
  <w:endnote w:type="continuationSeparator" w:id="0">
    <w:p w:rsidR="008A1170" w:rsidRDefault="008A1170" w:rsidP="000E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hianti Win95BT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8157"/>
      <w:docPartObj>
        <w:docPartGallery w:val="Page Numbers (Bottom of Page)"/>
        <w:docPartUnique/>
      </w:docPartObj>
    </w:sdtPr>
    <w:sdtEndPr/>
    <w:sdtContent>
      <w:p w:rsidR="008A1170" w:rsidRDefault="008A11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1170" w:rsidRDefault="008A1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70" w:rsidRDefault="008A1170" w:rsidP="000E4D14">
      <w:pPr>
        <w:spacing w:after="0" w:line="240" w:lineRule="auto"/>
      </w:pPr>
      <w:r>
        <w:separator/>
      </w:r>
    </w:p>
  </w:footnote>
  <w:footnote w:type="continuationSeparator" w:id="0">
    <w:p w:rsidR="008A1170" w:rsidRDefault="008A1170" w:rsidP="000E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70" w:rsidRDefault="008A1170">
    <w:pPr>
      <w:pStyle w:val="Nagwek"/>
    </w:pPr>
  </w:p>
  <w:p w:rsidR="008A1170" w:rsidRPr="009664DB" w:rsidRDefault="008A1170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B002D4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3980555"/>
    <w:multiLevelType w:val="multilevel"/>
    <w:tmpl w:val="6DFCE788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E35288"/>
    <w:multiLevelType w:val="hybridMultilevel"/>
    <w:tmpl w:val="01D6EC2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D4A"/>
    <w:multiLevelType w:val="hybridMultilevel"/>
    <w:tmpl w:val="B6EC2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A2F0B"/>
    <w:multiLevelType w:val="multilevel"/>
    <w:tmpl w:val="60B0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C1E80"/>
    <w:multiLevelType w:val="hybridMultilevel"/>
    <w:tmpl w:val="B224816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5523"/>
    <w:multiLevelType w:val="hybridMultilevel"/>
    <w:tmpl w:val="0F06BF02"/>
    <w:lvl w:ilvl="0" w:tplc="4F664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47A9"/>
    <w:multiLevelType w:val="hybridMultilevel"/>
    <w:tmpl w:val="DA8E36A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0D37"/>
    <w:multiLevelType w:val="multilevel"/>
    <w:tmpl w:val="9252C592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1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637E9"/>
    <w:multiLevelType w:val="multilevel"/>
    <w:tmpl w:val="5F4AF5F4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3" w15:restartNumberingAfterBreak="0">
    <w:nsid w:val="30EF710C"/>
    <w:multiLevelType w:val="hybridMultilevel"/>
    <w:tmpl w:val="2D4AC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50B2"/>
    <w:multiLevelType w:val="hybridMultilevel"/>
    <w:tmpl w:val="0AD4A172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FF7"/>
    <w:multiLevelType w:val="hybridMultilevel"/>
    <w:tmpl w:val="0E84333A"/>
    <w:lvl w:ilvl="0" w:tplc="FBD8342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51F92"/>
    <w:multiLevelType w:val="hybridMultilevel"/>
    <w:tmpl w:val="DBF6102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9D4"/>
    <w:multiLevelType w:val="hybridMultilevel"/>
    <w:tmpl w:val="B8C4E138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174"/>
    <w:multiLevelType w:val="hybridMultilevel"/>
    <w:tmpl w:val="651AF95A"/>
    <w:lvl w:ilvl="0" w:tplc="A2203D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78E"/>
    <w:multiLevelType w:val="hybridMultilevel"/>
    <w:tmpl w:val="6FA6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1A4B"/>
    <w:multiLevelType w:val="multilevel"/>
    <w:tmpl w:val="DE12D226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8785CDA"/>
    <w:multiLevelType w:val="multilevel"/>
    <w:tmpl w:val="BC3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217E2"/>
    <w:multiLevelType w:val="hybridMultilevel"/>
    <w:tmpl w:val="CA7EEA16"/>
    <w:lvl w:ilvl="0" w:tplc="38520DD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E73D0C"/>
    <w:multiLevelType w:val="hybridMultilevel"/>
    <w:tmpl w:val="5AB2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34E27"/>
    <w:multiLevelType w:val="multilevel"/>
    <w:tmpl w:val="BCB8604C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2E01800"/>
    <w:multiLevelType w:val="hybridMultilevel"/>
    <w:tmpl w:val="21949400"/>
    <w:lvl w:ilvl="0" w:tplc="31947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B65DE"/>
    <w:multiLevelType w:val="hybridMultilevel"/>
    <w:tmpl w:val="947CF836"/>
    <w:lvl w:ilvl="0" w:tplc="29C86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23C9D"/>
    <w:multiLevelType w:val="hybridMultilevel"/>
    <w:tmpl w:val="4120CC36"/>
    <w:lvl w:ilvl="0" w:tplc="15E6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0D5A"/>
    <w:multiLevelType w:val="hybridMultilevel"/>
    <w:tmpl w:val="C90C8058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06EA"/>
    <w:multiLevelType w:val="hybridMultilevel"/>
    <w:tmpl w:val="DDB4D7C4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375A5"/>
    <w:multiLevelType w:val="multilevel"/>
    <w:tmpl w:val="02AE072A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1" w15:restartNumberingAfterBreak="0">
    <w:nsid w:val="608475EA"/>
    <w:multiLevelType w:val="multilevel"/>
    <w:tmpl w:val="E444C95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422284B"/>
    <w:multiLevelType w:val="hybridMultilevel"/>
    <w:tmpl w:val="98B0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853FA"/>
    <w:multiLevelType w:val="multilevel"/>
    <w:tmpl w:val="E2AC977E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5122D29"/>
    <w:multiLevelType w:val="multilevel"/>
    <w:tmpl w:val="929C09F2"/>
    <w:lvl w:ilvl="0">
      <w:start w:val="1"/>
      <w:numFmt w:val="decimal"/>
      <w:lvlText w:val="%1."/>
      <w:lvlJc w:val="left"/>
      <w:pPr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5" w15:restartNumberingAfterBreak="0">
    <w:nsid w:val="658207CD"/>
    <w:multiLevelType w:val="hybridMultilevel"/>
    <w:tmpl w:val="6102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E35BF"/>
    <w:multiLevelType w:val="hybridMultilevel"/>
    <w:tmpl w:val="3E1E6778"/>
    <w:lvl w:ilvl="0" w:tplc="1A34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384F"/>
    <w:multiLevelType w:val="hybridMultilevel"/>
    <w:tmpl w:val="CE78768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B0D96"/>
    <w:multiLevelType w:val="hybridMultilevel"/>
    <w:tmpl w:val="3D3ED5C0"/>
    <w:lvl w:ilvl="0" w:tplc="9D8C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3533FD"/>
    <w:multiLevelType w:val="hybridMultilevel"/>
    <w:tmpl w:val="43F0CB1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9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9"/>
  </w:num>
  <w:num w:numId="19">
    <w:abstractNumId w:val="13"/>
  </w:num>
  <w:num w:numId="20">
    <w:abstractNumId w:val="4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5"/>
  </w:num>
  <w:num w:numId="30">
    <w:abstractNumId w:val="38"/>
  </w:num>
  <w:num w:numId="31">
    <w:abstractNumId w:val="26"/>
  </w:num>
  <w:num w:numId="32">
    <w:abstractNumId w:val="8"/>
  </w:num>
  <w:num w:numId="33">
    <w:abstractNumId w:val="37"/>
  </w:num>
  <w:num w:numId="34">
    <w:abstractNumId w:val="1"/>
  </w:num>
  <w:num w:numId="35">
    <w:abstractNumId w:val="27"/>
  </w:num>
  <w:num w:numId="36">
    <w:abstractNumId w:val="0"/>
  </w:num>
  <w:num w:numId="37">
    <w:abstractNumId w:val="25"/>
  </w:num>
  <w:num w:numId="38">
    <w:abstractNumId w:val="39"/>
  </w:num>
  <w:num w:numId="39">
    <w:abstractNumId w:val="9"/>
  </w:num>
  <w:num w:numId="40">
    <w:abstractNumId w:val="31"/>
  </w:num>
  <w:num w:numId="41">
    <w:abstractNumId w:val="4"/>
  </w:num>
  <w:num w:numId="42">
    <w:abstractNumId w:val="7"/>
  </w:num>
  <w:num w:numId="43">
    <w:abstractNumId w:val="3"/>
  </w:num>
  <w:num w:numId="44">
    <w:abstractNumId w:val="16"/>
  </w:num>
  <w:num w:numId="45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18"/>
          <w:szCs w:val="18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14DBE"/>
    <w:rsid w:val="00032B39"/>
    <w:rsid w:val="00042150"/>
    <w:rsid w:val="000504ED"/>
    <w:rsid w:val="000648CD"/>
    <w:rsid w:val="00084E4B"/>
    <w:rsid w:val="00086835"/>
    <w:rsid w:val="000870D2"/>
    <w:rsid w:val="00090B20"/>
    <w:rsid w:val="000A0615"/>
    <w:rsid w:val="000C44BE"/>
    <w:rsid w:val="000C474B"/>
    <w:rsid w:val="000E2031"/>
    <w:rsid w:val="000E2329"/>
    <w:rsid w:val="000E4B6E"/>
    <w:rsid w:val="000E4D14"/>
    <w:rsid w:val="00110B88"/>
    <w:rsid w:val="0011109F"/>
    <w:rsid w:val="00115C8D"/>
    <w:rsid w:val="00116859"/>
    <w:rsid w:val="0013726E"/>
    <w:rsid w:val="00155A20"/>
    <w:rsid w:val="00186970"/>
    <w:rsid w:val="00194777"/>
    <w:rsid w:val="001B137A"/>
    <w:rsid w:val="001C30E1"/>
    <w:rsid w:val="001E20BE"/>
    <w:rsid w:val="001E5570"/>
    <w:rsid w:val="001E60D5"/>
    <w:rsid w:val="00200086"/>
    <w:rsid w:val="00204BE2"/>
    <w:rsid w:val="002063D0"/>
    <w:rsid w:val="00215ADC"/>
    <w:rsid w:val="00256E32"/>
    <w:rsid w:val="00257A95"/>
    <w:rsid w:val="002640CE"/>
    <w:rsid w:val="00265DD9"/>
    <w:rsid w:val="0026687F"/>
    <w:rsid w:val="00266953"/>
    <w:rsid w:val="002B3652"/>
    <w:rsid w:val="002C16D6"/>
    <w:rsid w:val="002D74FA"/>
    <w:rsid w:val="00310C1D"/>
    <w:rsid w:val="00311E39"/>
    <w:rsid w:val="003172C5"/>
    <w:rsid w:val="00321FA2"/>
    <w:rsid w:val="003323F2"/>
    <w:rsid w:val="003338F0"/>
    <w:rsid w:val="00356B0A"/>
    <w:rsid w:val="00394C48"/>
    <w:rsid w:val="003B47F4"/>
    <w:rsid w:val="003B78F0"/>
    <w:rsid w:val="003C1ED7"/>
    <w:rsid w:val="003C690E"/>
    <w:rsid w:val="003E15F3"/>
    <w:rsid w:val="003E41C9"/>
    <w:rsid w:val="004123CB"/>
    <w:rsid w:val="004139A5"/>
    <w:rsid w:val="004147E3"/>
    <w:rsid w:val="00431259"/>
    <w:rsid w:val="00434EA3"/>
    <w:rsid w:val="00435706"/>
    <w:rsid w:val="0048413E"/>
    <w:rsid w:val="00486989"/>
    <w:rsid w:val="00486C07"/>
    <w:rsid w:val="00495348"/>
    <w:rsid w:val="004A1E9D"/>
    <w:rsid w:val="004A7D3C"/>
    <w:rsid w:val="004B1264"/>
    <w:rsid w:val="004B2ABF"/>
    <w:rsid w:val="004E0563"/>
    <w:rsid w:val="0052186F"/>
    <w:rsid w:val="005306B0"/>
    <w:rsid w:val="0053656A"/>
    <w:rsid w:val="00543332"/>
    <w:rsid w:val="00576FD9"/>
    <w:rsid w:val="00587645"/>
    <w:rsid w:val="005A06B3"/>
    <w:rsid w:val="005D7D6A"/>
    <w:rsid w:val="005F1364"/>
    <w:rsid w:val="005F6830"/>
    <w:rsid w:val="00605A4B"/>
    <w:rsid w:val="0061291C"/>
    <w:rsid w:val="00625EBB"/>
    <w:rsid w:val="006372CF"/>
    <w:rsid w:val="00644D9F"/>
    <w:rsid w:val="006572FC"/>
    <w:rsid w:val="0066114B"/>
    <w:rsid w:val="00664F3E"/>
    <w:rsid w:val="00675EEC"/>
    <w:rsid w:val="00676F2B"/>
    <w:rsid w:val="0068288F"/>
    <w:rsid w:val="00687C20"/>
    <w:rsid w:val="006A090A"/>
    <w:rsid w:val="006B01FB"/>
    <w:rsid w:val="006B03BF"/>
    <w:rsid w:val="006B6BD0"/>
    <w:rsid w:val="006D396F"/>
    <w:rsid w:val="006D3BE7"/>
    <w:rsid w:val="006D65FB"/>
    <w:rsid w:val="006E3FC7"/>
    <w:rsid w:val="006F12C2"/>
    <w:rsid w:val="006F33B5"/>
    <w:rsid w:val="006F5EBE"/>
    <w:rsid w:val="007054E5"/>
    <w:rsid w:val="00710011"/>
    <w:rsid w:val="00737818"/>
    <w:rsid w:val="00746A00"/>
    <w:rsid w:val="007745F9"/>
    <w:rsid w:val="007B1986"/>
    <w:rsid w:val="007D4EF7"/>
    <w:rsid w:val="00835DF1"/>
    <w:rsid w:val="008463E1"/>
    <w:rsid w:val="008A1170"/>
    <w:rsid w:val="008B13F6"/>
    <w:rsid w:val="008D4435"/>
    <w:rsid w:val="008E5562"/>
    <w:rsid w:val="0090320B"/>
    <w:rsid w:val="0091075D"/>
    <w:rsid w:val="00914632"/>
    <w:rsid w:val="00914658"/>
    <w:rsid w:val="0091635B"/>
    <w:rsid w:val="00921260"/>
    <w:rsid w:val="0092354E"/>
    <w:rsid w:val="00930518"/>
    <w:rsid w:val="00934905"/>
    <w:rsid w:val="00941132"/>
    <w:rsid w:val="00957FDD"/>
    <w:rsid w:val="00960BDC"/>
    <w:rsid w:val="009664DB"/>
    <w:rsid w:val="00967623"/>
    <w:rsid w:val="0097635C"/>
    <w:rsid w:val="00996B67"/>
    <w:rsid w:val="009B4869"/>
    <w:rsid w:val="009C3533"/>
    <w:rsid w:val="009C374D"/>
    <w:rsid w:val="009D1DE8"/>
    <w:rsid w:val="009E3726"/>
    <w:rsid w:val="009F69AF"/>
    <w:rsid w:val="00A26834"/>
    <w:rsid w:val="00A4384B"/>
    <w:rsid w:val="00A55AC8"/>
    <w:rsid w:val="00A57B87"/>
    <w:rsid w:val="00A64B42"/>
    <w:rsid w:val="00A86814"/>
    <w:rsid w:val="00AB192E"/>
    <w:rsid w:val="00AB2A03"/>
    <w:rsid w:val="00AF235A"/>
    <w:rsid w:val="00AF405B"/>
    <w:rsid w:val="00B03838"/>
    <w:rsid w:val="00B41356"/>
    <w:rsid w:val="00B5447A"/>
    <w:rsid w:val="00B61DB4"/>
    <w:rsid w:val="00B6413C"/>
    <w:rsid w:val="00B7031E"/>
    <w:rsid w:val="00B72B52"/>
    <w:rsid w:val="00BB344B"/>
    <w:rsid w:val="00BC4514"/>
    <w:rsid w:val="00BD1CA4"/>
    <w:rsid w:val="00BD1EE6"/>
    <w:rsid w:val="00BE14E1"/>
    <w:rsid w:val="00C30F98"/>
    <w:rsid w:val="00C411BC"/>
    <w:rsid w:val="00C41CD4"/>
    <w:rsid w:val="00C4649B"/>
    <w:rsid w:val="00C53154"/>
    <w:rsid w:val="00C532B1"/>
    <w:rsid w:val="00C827A0"/>
    <w:rsid w:val="00CA7643"/>
    <w:rsid w:val="00CB35CC"/>
    <w:rsid w:val="00CB505C"/>
    <w:rsid w:val="00CC0564"/>
    <w:rsid w:val="00CC3F37"/>
    <w:rsid w:val="00D02012"/>
    <w:rsid w:val="00D242B7"/>
    <w:rsid w:val="00D543BD"/>
    <w:rsid w:val="00D65692"/>
    <w:rsid w:val="00D75E8B"/>
    <w:rsid w:val="00DB0777"/>
    <w:rsid w:val="00DD199B"/>
    <w:rsid w:val="00E26EEC"/>
    <w:rsid w:val="00E320F8"/>
    <w:rsid w:val="00E51354"/>
    <w:rsid w:val="00E6460B"/>
    <w:rsid w:val="00EA28F7"/>
    <w:rsid w:val="00EB4862"/>
    <w:rsid w:val="00EE18E9"/>
    <w:rsid w:val="00EE3316"/>
    <w:rsid w:val="00EE5DF9"/>
    <w:rsid w:val="00F12C7B"/>
    <w:rsid w:val="00F16C78"/>
    <w:rsid w:val="00F17DC5"/>
    <w:rsid w:val="00F31626"/>
    <w:rsid w:val="00F42471"/>
    <w:rsid w:val="00F838A2"/>
    <w:rsid w:val="00F91C47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411E-85F7-432C-A04E-15EC6C46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WW8Num4z2">
    <w:name w:val="WW8Num4z2"/>
    <w:rsid w:val="00E26EEC"/>
    <w:rPr>
      <w:rFonts w:ascii="StarSymbol" w:hAnsi="Star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D14"/>
  </w:style>
  <w:style w:type="paragraph" w:styleId="Stopka">
    <w:name w:val="footer"/>
    <w:basedOn w:val="Normalny"/>
    <w:link w:val="Stopka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14"/>
  </w:style>
  <w:style w:type="paragraph" w:styleId="Tekstpodstawowywcity">
    <w:name w:val="Body Text Indent"/>
    <w:basedOn w:val="Normalny"/>
    <w:link w:val="TekstpodstawowywcityZnak"/>
    <w:uiPriority w:val="99"/>
    <w:unhideWhenUsed/>
    <w:rsid w:val="004E0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056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56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563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item-fieldvalue">
    <w:name w:val="item-fieldvalue"/>
    <w:basedOn w:val="Domylnaczcionkaakapitu"/>
    <w:rsid w:val="004E0563"/>
  </w:style>
  <w:style w:type="paragraph" w:customStyle="1" w:styleId="Default">
    <w:name w:val="Default"/>
    <w:rsid w:val="00014DBE"/>
    <w:pPr>
      <w:autoSpaceDE w:val="0"/>
      <w:autoSpaceDN w:val="0"/>
      <w:adjustRightInd w:val="0"/>
      <w:spacing w:after="0" w:line="240" w:lineRule="auto"/>
    </w:pPr>
    <w:rPr>
      <w:rFonts w:ascii="Chianti Win95BT" w:hAnsi="Chianti Win95BT" w:cs="Chianti Win95BT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C53154"/>
    <w:pPr>
      <w:widowControl w:val="0"/>
      <w:suppressAutoHyphens/>
      <w:spacing w:after="0" w:line="240" w:lineRule="auto"/>
      <w:ind w:left="1845"/>
      <w:jc w:val="center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53154"/>
    <w:pPr>
      <w:ind w:left="720"/>
      <w:contextualSpacing/>
    </w:pPr>
  </w:style>
  <w:style w:type="paragraph" w:styleId="Bezodstpw">
    <w:name w:val="No Spacing"/>
    <w:uiPriority w:val="1"/>
    <w:qFormat/>
    <w:rsid w:val="00E64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E2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D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B41356"/>
  </w:style>
  <w:style w:type="character" w:customStyle="1" w:styleId="Domylnaczcionkaakapitu2">
    <w:name w:val="Domyślna czcionka akapitu2"/>
    <w:rsid w:val="00B41356"/>
  </w:style>
  <w:style w:type="paragraph" w:customStyle="1" w:styleId="Normalny1">
    <w:name w:val="Normalny1"/>
    <w:rsid w:val="0093051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39A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6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6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658"/>
    <w:rPr>
      <w:vertAlign w:val="superscript"/>
    </w:rPr>
  </w:style>
  <w:style w:type="character" w:customStyle="1" w:styleId="WWCharLFO8LVL7">
    <w:name w:val="WW_CharLFO8LVL7"/>
    <w:rsid w:val="004A1E9D"/>
    <w:rPr>
      <w:sz w:val="20"/>
      <w:szCs w:val="20"/>
    </w:rPr>
  </w:style>
  <w:style w:type="numbering" w:customStyle="1" w:styleId="WW8Num3">
    <w:name w:val="WW8Num3"/>
    <w:rsid w:val="004A1E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F3DF-BB92-4A28-9160-1865CD74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4992</Words>
  <Characters>29957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64</cp:revision>
  <cp:lastPrinted>2023-09-18T05:40:00Z</cp:lastPrinted>
  <dcterms:created xsi:type="dcterms:W3CDTF">2012-10-31T11:50:00Z</dcterms:created>
  <dcterms:modified xsi:type="dcterms:W3CDTF">2023-09-18T06:45:00Z</dcterms:modified>
</cp:coreProperties>
</file>