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08" w:rsidRDefault="003B3208" w:rsidP="00E05AF2">
      <w:pPr>
        <w:pStyle w:val="WW-Tytu"/>
        <w:spacing w:before="0" w:after="0" w:line="380" w:lineRule="exact"/>
        <w:jc w:val="center"/>
        <w:rPr>
          <w:rFonts w:ascii="Times New Roman" w:hAnsi="Times New Roman" w:cs="Times New Roman"/>
          <w:b/>
          <w:sz w:val="22"/>
          <w:szCs w:val="22"/>
        </w:rPr>
      </w:pPr>
    </w:p>
    <w:p w:rsidR="003B3208" w:rsidRDefault="003B3208" w:rsidP="00E05AF2">
      <w:pPr>
        <w:pStyle w:val="WW-Tytu"/>
        <w:spacing w:before="0" w:after="0" w:line="380" w:lineRule="exact"/>
        <w:jc w:val="center"/>
        <w:rPr>
          <w:rFonts w:ascii="Times New Roman" w:hAnsi="Times New Roman" w:cs="Times New Roman"/>
          <w:b/>
          <w:sz w:val="22"/>
          <w:szCs w:val="22"/>
        </w:rPr>
      </w:pPr>
      <w:r>
        <w:rPr>
          <w:rFonts w:ascii="Times New Roman" w:hAnsi="Times New Roman" w:cs="Times New Roman"/>
          <w:b/>
          <w:sz w:val="22"/>
          <w:szCs w:val="22"/>
        </w:rPr>
        <w:t>OGŁOSZENIE O PRZETARGU</w:t>
      </w:r>
    </w:p>
    <w:p w:rsidR="00E05AF2" w:rsidRPr="007F02BC" w:rsidRDefault="00BA684B" w:rsidP="00E05AF2">
      <w:pPr>
        <w:pStyle w:val="WW-Tytu"/>
        <w:spacing w:before="0" w:after="0" w:line="380" w:lineRule="exact"/>
        <w:jc w:val="center"/>
        <w:rPr>
          <w:rFonts w:ascii="Times New Roman" w:hAnsi="Times New Roman" w:cs="Times New Roman"/>
          <w:b/>
          <w:sz w:val="22"/>
          <w:szCs w:val="22"/>
        </w:rPr>
      </w:pPr>
      <w:r w:rsidRPr="007F02BC">
        <w:rPr>
          <w:rFonts w:ascii="Times New Roman" w:hAnsi="Times New Roman" w:cs="Times New Roman"/>
          <w:b/>
          <w:sz w:val="22"/>
          <w:szCs w:val="22"/>
        </w:rPr>
        <w:t>Prezydent Miasta Torunia</w:t>
      </w:r>
    </w:p>
    <w:p w:rsidR="00BA684B" w:rsidRPr="007F02BC" w:rsidRDefault="00B144D9" w:rsidP="00BA684B">
      <w:pPr>
        <w:pStyle w:val="Tekstpodstawowy"/>
        <w:spacing w:after="0"/>
        <w:jc w:val="center"/>
        <w:rPr>
          <w:sz w:val="22"/>
          <w:szCs w:val="22"/>
        </w:rPr>
      </w:pPr>
      <w:r w:rsidRPr="00970FC7">
        <w:rPr>
          <w:sz w:val="22"/>
          <w:szCs w:val="22"/>
        </w:rPr>
        <w:t xml:space="preserve">ogłasza </w:t>
      </w:r>
      <w:r w:rsidRPr="007F02BC">
        <w:rPr>
          <w:sz w:val="22"/>
          <w:szCs w:val="22"/>
        </w:rPr>
        <w:t>I</w:t>
      </w:r>
      <w:r w:rsidR="00272B8D" w:rsidRPr="007F02BC">
        <w:rPr>
          <w:sz w:val="22"/>
          <w:szCs w:val="22"/>
        </w:rPr>
        <w:t xml:space="preserve"> </w:t>
      </w:r>
      <w:r w:rsidRPr="007F02BC">
        <w:rPr>
          <w:sz w:val="22"/>
          <w:szCs w:val="22"/>
        </w:rPr>
        <w:t>ustn</w:t>
      </w:r>
      <w:r w:rsidR="00E05AF2" w:rsidRPr="007F02BC">
        <w:rPr>
          <w:sz w:val="22"/>
          <w:szCs w:val="22"/>
        </w:rPr>
        <w:t>y</w:t>
      </w:r>
      <w:r w:rsidR="00BA684B" w:rsidRPr="007F02BC">
        <w:rPr>
          <w:sz w:val="22"/>
          <w:szCs w:val="22"/>
        </w:rPr>
        <w:t xml:space="preserve"> przetarg</w:t>
      </w:r>
      <w:r w:rsidRPr="007F02BC">
        <w:rPr>
          <w:sz w:val="22"/>
          <w:szCs w:val="22"/>
        </w:rPr>
        <w:t xml:space="preserve"> ograniczon</w:t>
      </w:r>
      <w:r w:rsidR="00E05AF2" w:rsidRPr="007F02BC">
        <w:rPr>
          <w:sz w:val="22"/>
          <w:szCs w:val="22"/>
        </w:rPr>
        <w:t>y</w:t>
      </w:r>
      <w:r w:rsidR="00BA684B" w:rsidRPr="007F02BC">
        <w:rPr>
          <w:sz w:val="22"/>
          <w:szCs w:val="22"/>
        </w:rPr>
        <w:t xml:space="preserve"> na </w:t>
      </w:r>
      <w:r w:rsidR="0000186A" w:rsidRPr="007F02BC">
        <w:rPr>
          <w:sz w:val="22"/>
          <w:szCs w:val="22"/>
        </w:rPr>
        <w:t>sprzedaż nieruchomości gruntow</w:t>
      </w:r>
      <w:r w:rsidR="00E05AF2" w:rsidRPr="007F02BC">
        <w:rPr>
          <w:sz w:val="22"/>
          <w:szCs w:val="22"/>
        </w:rPr>
        <w:t>ej</w:t>
      </w:r>
      <w:r w:rsidR="00192A17" w:rsidRPr="007F02BC">
        <w:rPr>
          <w:sz w:val="22"/>
          <w:szCs w:val="22"/>
        </w:rPr>
        <w:t>,</w:t>
      </w:r>
      <w:r w:rsidR="00BA684B" w:rsidRPr="007F02BC">
        <w:rPr>
          <w:sz w:val="22"/>
          <w:szCs w:val="22"/>
        </w:rPr>
        <w:t xml:space="preserve"> </w:t>
      </w:r>
      <w:r w:rsidR="00272B8D" w:rsidRPr="007F02BC">
        <w:rPr>
          <w:sz w:val="22"/>
          <w:szCs w:val="22"/>
        </w:rPr>
        <w:t>stanowiąc</w:t>
      </w:r>
      <w:r w:rsidR="00E05AF2" w:rsidRPr="007F02BC">
        <w:rPr>
          <w:sz w:val="22"/>
          <w:szCs w:val="22"/>
        </w:rPr>
        <w:t>ej</w:t>
      </w:r>
      <w:r w:rsidR="00272B8D" w:rsidRPr="007F02BC">
        <w:rPr>
          <w:sz w:val="22"/>
          <w:szCs w:val="22"/>
        </w:rPr>
        <w:t xml:space="preserve"> własność </w:t>
      </w:r>
      <w:r w:rsidR="00BA684B" w:rsidRPr="007F02BC">
        <w:rPr>
          <w:sz w:val="22"/>
          <w:szCs w:val="22"/>
        </w:rPr>
        <w:t xml:space="preserve">Gminy Miasta Toruń </w:t>
      </w:r>
    </w:p>
    <w:p w:rsidR="00E05AF2" w:rsidRPr="007F02BC" w:rsidRDefault="0000186A" w:rsidP="00272B8D">
      <w:pPr>
        <w:pStyle w:val="Tekstpodstawowy"/>
        <w:spacing w:after="0"/>
        <w:jc w:val="center"/>
        <w:rPr>
          <w:rFonts w:eastAsia="Times New Roman"/>
          <w:b/>
          <w:sz w:val="22"/>
          <w:szCs w:val="22"/>
        </w:rPr>
      </w:pPr>
      <w:r w:rsidRPr="007F02BC">
        <w:rPr>
          <w:sz w:val="22"/>
          <w:szCs w:val="22"/>
        </w:rPr>
        <w:t>położon</w:t>
      </w:r>
      <w:r w:rsidR="00E05AF2" w:rsidRPr="007F02BC">
        <w:rPr>
          <w:sz w:val="22"/>
          <w:szCs w:val="22"/>
        </w:rPr>
        <w:t xml:space="preserve">ej </w:t>
      </w:r>
      <w:r w:rsidR="00BA684B" w:rsidRPr="007F02BC">
        <w:rPr>
          <w:b/>
          <w:sz w:val="22"/>
          <w:szCs w:val="22"/>
        </w:rPr>
        <w:t>w Toruniu</w:t>
      </w:r>
      <w:r w:rsidR="00BA684B" w:rsidRPr="007F02BC">
        <w:rPr>
          <w:sz w:val="22"/>
          <w:szCs w:val="22"/>
        </w:rPr>
        <w:t xml:space="preserve"> </w:t>
      </w:r>
      <w:r w:rsidR="00BA684B" w:rsidRPr="007F02BC">
        <w:rPr>
          <w:b/>
          <w:sz w:val="22"/>
          <w:szCs w:val="22"/>
        </w:rPr>
        <w:t>przy</w:t>
      </w:r>
      <w:r w:rsidR="00BA684B" w:rsidRPr="007F02BC">
        <w:rPr>
          <w:sz w:val="22"/>
          <w:szCs w:val="22"/>
        </w:rPr>
        <w:t xml:space="preserve"> </w:t>
      </w:r>
      <w:r w:rsidR="00BA684B" w:rsidRPr="007F02BC">
        <w:rPr>
          <w:rFonts w:eastAsia="Times New Roman"/>
          <w:b/>
          <w:sz w:val="22"/>
          <w:szCs w:val="22"/>
        </w:rPr>
        <w:t xml:space="preserve">ul. </w:t>
      </w:r>
      <w:r w:rsidR="00FD7668" w:rsidRPr="007F02BC">
        <w:rPr>
          <w:rFonts w:eastAsia="Times New Roman"/>
          <w:b/>
          <w:sz w:val="22"/>
          <w:szCs w:val="22"/>
        </w:rPr>
        <w:t>Szosa Chełmińska 39 i 41</w:t>
      </w:r>
    </w:p>
    <w:p w:rsidR="00FD7668" w:rsidRPr="007F02BC" w:rsidRDefault="00FD7668" w:rsidP="00272B8D">
      <w:pPr>
        <w:pStyle w:val="Tekstpodstawowy"/>
        <w:spacing w:after="0"/>
        <w:jc w:val="center"/>
        <w:rPr>
          <w:color w:val="000000"/>
          <w:sz w:val="22"/>
          <w:szCs w:val="2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701"/>
        <w:gridCol w:w="1418"/>
        <w:gridCol w:w="8221"/>
      </w:tblGrid>
      <w:tr w:rsidR="00FD7668" w:rsidRPr="007F02BC" w:rsidTr="00FD7668">
        <w:trPr>
          <w:trHeight w:val="802"/>
        </w:trPr>
        <w:tc>
          <w:tcPr>
            <w:tcW w:w="3260" w:type="dxa"/>
            <w:shd w:val="clear" w:color="auto" w:fill="D9D9D9"/>
            <w:vAlign w:val="center"/>
          </w:tcPr>
          <w:p w:rsidR="00FD7668" w:rsidRPr="007F02BC" w:rsidRDefault="00FD7668" w:rsidP="00FD418A">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lang w:eastAsia="pl-PL"/>
              </w:rPr>
              <w:t xml:space="preserve">Położenie </w:t>
            </w:r>
          </w:p>
          <w:p w:rsidR="00FD7668" w:rsidRPr="007F02BC" w:rsidRDefault="00FD7668" w:rsidP="00FD418A">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lang w:eastAsia="pl-PL"/>
              </w:rPr>
              <w:t>i oznaczenie</w:t>
            </w:r>
          </w:p>
          <w:p w:rsidR="00FD7668" w:rsidRPr="007F02BC" w:rsidRDefault="00FD7668" w:rsidP="00FD418A">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lang w:eastAsia="pl-PL"/>
              </w:rPr>
              <w:t>nieruchomości</w:t>
            </w:r>
          </w:p>
        </w:tc>
        <w:tc>
          <w:tcPr>
            <w:tcW w:w="1701" w:type="dxa"/>
            <w:shd w:val="clear" w:color="auto" w:fill="D9D9D9"/>
            <w:vAlign w:val="center"/>
          </w:tcPr>
          <w:p w:rsidR="00FD7668" w:rsidRPr="007F02BC" w:rsidRDefault="00FD7668" w:rsidP="00FD418A">
            <w:pPr>
              <w:pStyle w:val="Tekstpodstawowy"/>
              <w:spacing w:after="0"/>
              <w:jc w:val="center"/>
              <w:rPr>
                <w:rFonts w:eastAsia="Times New Roman"/>
                <w:b/>
                <w:color w:val="000000"/>
                <w:sz w:val="22"/>
                <w:szCs w:val="22"/>
              </w:rPr>
            </w:pPr>
            <w:r w:rsidRPr="007F02BC">
              <w:rPr>
                <w:rFonts w:eastAsia="Times New Roman"/>
                <w:b/>
                <w:color w:val="000000"/>
                <w:sz w:val="22"/>
                <w:szCs w:val="22"/>
              </w:rPr>
              <w:t>Cena</w:t>
            </w:r>
          </w:p>
          <w:p w:rsidR="00FD7668" w:rsidRPr="007F02BC" w:rsidRDefault="00FD7668" w:rsidP="00FD418A">
            <w:pPr>
              <w:pStyle w:val="Tekstpodstawowy"/>
              <w:spacing w:after="0"/>
              <w:jc w:val="center"/>
              <w:rPr>
                <w:rFonts w:eastAsia="Times New Roman"/>
                <w:b/>
                <w:color w:val="000000"/>
                <w:sz w:val="22"/>
                <w:szCs w:val="22"/>
              </w:rPr>
            </w:pPr>
            <w:r w:rsidRPr="007F02BC">
              <w:rPr>
                <w:rFonts w:eastAsia="Times New Roman"/>
                <w:b/>
                <w:color w:val="000000"/>
                <w:sz w:val="22"/>
                <w:szCs w:val="22"/>
              </w:rPr>
              <w:t xml:space="preserve">wywoławcza </w:t>
            </w:r>
          </w:p>
          <w:p w:rsidR="00FD7668" w:rsidRPr="007F02BC" w:rsidRDefault="00FD7668" w:rsidP="00E05AF2">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rPr>
              <w:t>brutto (obejmuje podatek VAT)</w:t>
            </w:r>
          </w:p>
        </w:tc>
        <w:tc>
          <w:tcPr>
            <w:tcW w:w="1418" w:type="dxa"/>
            <w:shd w:val="clear" w:color="auto" w:fill="D9D9D9"/>
            <w:vAlign w:val="center"/>
          </w:tcPr>
          <w:p w:rsidR="00FD7668" w:rsidRPr="007F02BC" w:rsidRDefault="00FD7668" w:rsidP="00FD418A">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rPr>
              <w:t>Wadium</w:t>
            </w:r>
          </w:p>
        </w:tc>
        <w:tc>
          <w:tcPr>
            <w:tcW w:w="8221" w:type="dxa"/>
            <w:shd w:val="clear" w:color="auto" w:fill="D9D9D9"/>
          </w:tcPr>
          <w:p w:rsidR="00FD7668" w:rsidRPr="007F02BC" w:rsidRDefault="00FD7668" w:rsidP="00E05AF2">
            <w:pPr>
              <w:pStyle w:val="Tekstpodstawowy"/>
              <w:spacing w:after="0"/>
              <w:jc w:val="center"/>
              <w:rPr>
                <w:rFonts w:eastAsia="Times New Roman"/>
                <w:b/>
                <w:color w:val="000000"/>
                <w:sz w:val="22"/>
                <w:szCs w:val="22"/>
              </w:rPr>
            </w:pPr>
            <w:r w:rsidRPr="007F02BC">
              <w:rPr>
                <w:rFonts w:eastAsia="Times New Roman"/>
                <w:b/>
                <w:color w:val="000000"/>
                <w:sz w:val="22"/>
                <w:szCs w:val="22"/>
              </w:rPr>
              <w:t>Przeznaczenie w planie miejscowym</w:t>
            </w:r>
          </w:p>
          <w:p w:rsidR="00FD7668" w:rsidRPr="007F02BC" w:rsidRDefault="00FD7668" w:rsidP="00E05AF2">
            <w:pPr>
              <w:pStyle w:val="Tekstpodstawowy"/>
              <w:spacing w:after="0"/>
              <w:jc w:val="center"/>
              <w:rPr>
                <w:rFonts w:eastAsia="Times New Roman"/>
                <w:b/>
                <w:color w:val="000000"/>
                <w:sz w:val="22"/>
                <w:szCs w:val="22"/>
                <w:lang w:eastAsia="pl-PL"/>
              </w:rPr>
            </w:pPr>
            <w:r w:rsidRPr="007F02BC">
              <w:rPr>
                <w:rFonts w:eastAsia="Times New Roman"/>
                <w:b/>
                <w:color w:val="000000"/>
                <w:sz w:val="22"/>
                <w:szCs w:val="22"/>
              </w:rPr>
              <w:t>Sposób zagospodarowania</w:t>
            </w:r>
            <w:r w:rsidRPr="007F02BC">
              <w:rPr>
                <w:rFonts w:eastAsia="Times New Roman"/>
                <w:b/>
                <w:color w:val="000000"/>
                <w:sz w:val="22"/>
                <w:szCs w:val="22"/>
                <w:lang w:eastAsia="pl-PL"/>
              </w:rPr>
              <w:t xml:space="preserve"> </w:t>
            </w:r>
          </w:p>
          <w:p w:rsidR="00FD7668" w:rsidRPr="007F02BC" w:rsidRDefault="00FD7668" w:rsidP="00E05AF2">
            <w:pPr>
              <w:pStyle w:val="Tekstpodstawowy"/>
              <w:spacing w:after="0"/>
              <w:jc w:val="center"/>
              <w:rPr>
                <w:rFonts w:eastAsia="Times New Roman"/>
                <w:b/>
                <w:color w:val="000000"/>
                <w:sz w:val="22"/>
                <w:szCs w:val="22"/>
              </w:rPr>
            </w:pPr>
            <w:r w:rsidRPr="007F02BC">
              <w:rPr>
                <w:rFonts w:eastAsia="Times New Roman"/>
                <w:b/>
                <w:color w:val="000000"/>
                <w:sz w:val="22"/>
                <w:szCs w:val="22"/>
                <w:lang w:eastAsia="pl-PL"/>
              </w:rPr>
              <w:t>Opis nieruchomości</w:t>
            </w:r>
          </w:p>
        </w:tc>
      </w:tr>
      <w:tr w:rsidR="00FD7668" w:rsidRPr="007F02BC" w:rsidTr="00FD7668">
        <w:trPr>
          <w:trHeight w:val="841"/>
        </w:trPr>
        <w:tc>
          <w:tcPr>
            <w:tcW w:w="3260" w:type="dxa"/>
            <w:shd w:val="clear" w:color="auto" w:fill="auto"/>
            <w:vAlign w:val="center"/>
          </w:tcPr>
          <w:p w:rsidR="00FD7668" w:rsidRPr="007F02BC" w:rsidRDefault="00FD7668" w:rsidP="00FD7668">
            <w:pPr>
              <w:jc w:val="center"/>
              <w:rPr>
                <w:rFonts w:eastAsia="Times New Roman"/>
                <w:sz w:val="22"/>
                <w:szCs w:val="22"/>
              </w:rPr>
            </w:pPr>
            <w:r w:rsidRPr="007F02BC">
              <w:rPr>
                <w:rFonts w:eastAsia="Times New Roman"/>
                <w:sz w:val="22"/>
                <w:szCs w:val="22"/>
              </w:rPr>
              <w:t>Toruń,</w:t>
            </w:r>
          </w:p>
          <w:p w:rsidR="00FD7668" w:rsidRPr="007F02BC" w:rsidRDefault="00FD7668" w:rsidP="00FD7668">
            <w:pPr>
              <w:jc w:val="center"/>
              <w:rPr>
                <w:rFonts w:eastAsia="Times New Roman"/>
                <w:b/>
                <w:sz w:val="22"/>
                <w:szCs w:val="22"/>
              </w:rPr>
            </w:pPr>
            <w:r w:rsidRPr="007F02BC">
              <w:rPr>
                <w:rFonts w:eastAsia="Times New Roman"/>
                <w:sz w:val="22"/>
                <w:szCs w:val="22"/>
              </w:rPr>
              <w:t xml:space="preserve">ul. </w:t>
            </w:r>
            <w:r w:rsidRPr="007F02BC">
              <w:rPr>
                <w:rFonts w:eastAsia="Times New Roman"/>
                <w:b/>
                <w:sz w:val="22"/>
                <w:szCs w:val="22"/>
              </w:rPr>
              <w:t xml:space="preserve">Szosa Chełmińska </w:t>
            </w:r>
          </w:p>
          <w:p w:rsidR="00FD7668" w:rsidRPr="007F02BC" w:rsidRDefault="00FD7668" w:rsidP="00FD7668">
            <w:pPr>
              <w:jc w:val="center"/>
              <w:rPr>
                <w:rFonts w:eastAsia="Times New Roman"/>
                <w:sz w:val="22"/>
                <w:szCs w:val="22"/>
              </w:rPr>
            </w:pPr>
            <w:r w:rsidRPr="007F02BC">
              <w:rPr>
                <w:rFonts w:eastAsia="Times New Roman"/>
                <w:b/>
                <w:sz w:val="22"/>
                <w:szCs w:val="22"/>
              </w:rPr>
              <w:t>39 i 41</w:t>
            </w:r>
            <w:r w:rsidRPr="007F02BC">
              <w:rPr>
                <w:rFonts w:eastAsia="Times New Roman"/>
                <w:sz w:val="22"/>
                <w:szCs w:val="22"/>
              </w:rPr>
              <w:t xml:space="preserve">, </w:t>
            </w:r>
          </w:p>
          <w:p w:rsidR="00FD7668" w:rsidRPr="007F02BC" w:rsidRDefault="00FD7668" w:rsidP="00FD7668">
            <w:pPr>
              <w:jc w:val="center"/>
              <w:rPr>
                <w:rFonts w:eastAsia="Times New Roman"/>
                <w:sz w:val="22"/>
                <w:szCs w:val="22"/>
              </w:rPr>
            </w:pPr>
            <w:r w:rsidRPr="007F02BC">
              <w:rPr>
                <w:rFonts w:eastAsia="Times New Roman"/>
                <w:sz w:val="22"/>
                <w:szCs w:val="22"/>
              </w:rPr>
              <w:t xml:space="preserve">obręb 9 </w:t>
            </w:r>
          </w:p>
          <w:p w:rsidR="00FD7668" w:rsidRPr="007F02BC" w:rsidRDefault="00FD7668" w:rsidP="00FD7668">
            <w:pPr>
              <w:widowControl/>
              <w:suppressAutoHyphens w:val="0"/>
              <w:autoSpaceDE w:val="0"/>
              <w:autoSpaceDN w:val="0"/>
              <w:adjustRightInd w:val="0"/>
              <w:jc w:val="center"/>
              <w:rPr>
                <w:sz w:val="22"/>
                <w:szCs w:val="22"/>
              </w:rPr>
            </w:pPr>
          </w:p>
          <w:p w:rsidR="00FD7668" w:rsidRPr="007F02BC" w:rsidRDefault="00FD7668" w:rsidP="00FD7668">
            <w:pPr>
              <w:widowControl/>
              <w:suppressAutoHyphens w:val="0"/>
              <w:autoSpaceDE w:val="0"/>
              <w:autoSpaceDN w:val="0"/>
              <w:adjustRightInd w:val="0"/>
              <w:jc w:val="center"/>
              <w:rPr>
                <w:sz w:val="22"/>
                <w:szCs w:val="22"/>
              </w:rPr>
            </w:pPr>
            <w:r w:rsidRPr="007F02BC">
              <w:rPr>
                <w:sz w:val="22"/>
                <w:szCs w:val="22"/>
              </w:rPr>
              <w:t xml:space="preserve">dz. nr </w:t>
            </w:r>
            <w:r w:rsidRPr="007F02BC">
              <w:rPr>
                <w:b/>
                <w:sz w:val="22"/>
                <w:szCs w:val="22"/>
              </w:rPr>
              <w:t>100/1</w:t>
            </w:r>
            <w:r w:rsidRPr="007F02BC">
              <w:rPr>
                <w:sz w:val="22"/>
                <w:szCs w:val="22"/>
              </w:rPr>
              <w:t xml:space="preserve"> o pow. 0,0014 ha  i dz. nr </w:t>
            </w:r>
            <w:r w:rsidRPr="007F02BC">
              <w:rPr>
                <w:b/>
                <w:sz w:val="22"/>
                <w:szCs w:val="22"/>
              </w:rPr>
              <w:t>101/5</w:t>
            </w:r>
            <w:r w:rsidRPr="007F02BC">
              <w:rPr>
                <w:sz w:val="22"/>
                <w:szCs w:val="22"/>
              </w:rPr>
              <w:t xml:space="preserve"> o pow. 0,0148 ha, </w:t>
            </w:r>
          </w:p>
          <w:p w:rsidR="00FD7668" w:rsidRPr="007F02BC" w:rsidRDefault="00FD7668" w:rsidP="00FD7668">
            <w:pPr>
              <w:widowControl/>
              <w:suppressAutoHyphens w:val="0"/>
              <w:autoSpaceDE w:val="0"/>
              <w:autoSpaceDN w:val="0"/>
              <w:adjustRightInd w:val="0"/>
              <w:jc w:val="center"/>
              <w:rPr>
                <w:rFonts w:eastAsiaTheme="minorHAnsi"/>
                <w:color w:val="000000"/>
                <w:sz w:val="22"/>
                <w:szCs w:val="22"/>
              </w:rPr>
            </w:pPr>
            <w:r w:rsidRPr="007F02BC">
              <w:rPr>
                <w:sz w:val="22"/>
                <w:szCs w:val="22"/>
              </w:rPr>
              <w:t xml:space="preserve">o łącznej pow. </w:t>
            </w:r>
            <w:r w:rsidRPr="007F02BC">
              <w:rPr>
                <w:b/>
                <w:sz w:val="22"/>
                <w:szCs w:val="22"/>
              </w:rPr>
              <w:t>0,0162 ha</w:t>
            </w:r>
            <w:r w:rsidRPr="007F02BC">
              <w:rPr>
                <w:sz w:val="22"/>
                <w:szCs w:val="22"/>
              </w:rPr>
              <w:t>,</w:t>
            </w:r>
          </w:p>
          <w:p w:rsidR="00FD7668" w:rsidRPr="007F02BC" w:rsidRDefault="00FD7668" w:rsidP="00FD7668">
            <w:pPr>
              <w:tabs>
                <w:tab w:val="left" w:pos="60"/>
              </w:tabs>
              <w:snapToGrid w:val="0"/>
              <w:ind w:left="170" w:hanging="340"/>
              <w:jc w:val="center"/>
              <w:rPr>
                <w:sz w:val="22"/>
                <w:szCs w:val="22"/>
              </w:rPr>
            </w:pPr>
          </w:p>
          <w:p w:rsidR="00FD7668" w:rsidRPr="007F02BC" w:rsidRDefault="00FD7668" w:rsidP="00FD7668">
            <w:pPr>
              <w:tabs>
                <w:tab w:val="left" w:pos="60"/>
              </w:tabs>
              <w:snapToGrid w:val="0"/>
              <w:ind w:left="170" w:hanging="340"/>
              <w:jc w:val="center"/>
              <w:rPr>
                <w:rFonts w:eastAsia="Times New Roman"/>
                <w:sz w:val="22"/>
                <w:szCs w:val="22"/>
              </w:rPr>
            </w:pPr>
            <w:r w:rsidRPr="007F02BC">
              <w:rPr>
                <w:sz w:val="22"/>
                <w:szCs w:val="22"/>
              </w:rPr>
              <w:t>użytek Bp – zurbanizowane tereny niezabudowane lub w trakcie zabudowy</w:t>
            </w:r>
          </w:p>
          <w:p w:rsidR="00FD7668" w:rsidRPr="007F02BC" w:rsidRDefault="00FD7668" w:rsidP="00FD7668">
            <w:pPr>
              <w:jc w:val="center"/>
              <w:rPr>
                <w:rFonts w:eastAsia="Times New Roman"/>
                <w:sz w:val="22"/>
                <w:szCs w:val="22"/>
              </w:rPr>
            </w:pPr>
          </w:p>
          <w:p w:rsidR="00FD7668" w:rsidRPr="007F02BC" w:rsidRDefault="00FD7668" w:rsidP="00FD7668">
            <w:pPr>
              <w:pStyle w:val="Tekstpodstawowy"/>
              <w:spacing w:after="0"/>
              <w:rPr>
                <w:color w:val="000000"/>
                <w:sz w:val="22"/>
                <w:szCs w:val="22"/>
              </w:rPr>
            </w:pPr>
            <w:r w:rsidRPr="007F02BC">
              <w:rPr>
                <w:color w:val="000000"/>
                <w:sz w:val="22"/>
                <w:szCs w:val="22"/>
              </w:rPr>
              <w:t xml:space="preserve">KW nr </w:t>
            </w:r>
            <w:r w:rsidRPr="007F02BC">
              <w:rPr>
                <w:sz w:val="22"/>
                <w:szCs w:val="22"/>
              </w:rPr>
              <w:t>TO1T/00037741/4,</w:t>
            </w:r>
            <w:r w:rsidRPr="007F02BC">
              <w:rPr>
                <w:color w:val="000000"/>
                <w:sz w:val="22"/>
                <w:szCs w:val="22"/>
              </w:rPr>
              <w:t xml:space="preserve"> </w:t>
            </w:r>
          </w:p>
          <w:p w:rsidR="00FD7668" w:rsidRPr="007F02BC" w:rsidRDefault="00FD7668" w:rsidP="00FD7668">
            <w:pPr>
              <w:pStyle w:val="Tekstpodstawowy"/>
              <w:spacing w:after="0"/>
              <w:rPr>
                <w:sz w:val="22"/>
                <w:szCs w:val="22"/>
              </w:rPr>
            </w:pPr>
            <w:r w:rsidRPr="007F02BC">
              <w:rPr>
                <w:sz w:val="22"/>
                <w:szCs w:val="22"/>
              </w:rPr>
              <w:t>w działach III i IV księgi wpisów brak</w:t>
            </w:r>
          </w:p>
          <w:p w:rsidR="00FD7668" w:rsidRPr="007F02BC" w:rsidRDefault="00FD7668" w:rsidP="00CA5445">
            <w:pPr>
              <w:pStyle w:val="Tekstpodstawowy"/>
              <w:spacing w:after="0"/>
              <w:rPr>
                <w:rFonts w:eastAsia="Times New Roman"/>
                <w:b/>
                <w:color w:val="000000"/>
                <w:sz w:val="22"/>
                <w:szCs w:val="22"/>
                <w:lang w:eastAsia="pl-PL"/>
              </w:rPr>
            </w:pPr>
          </w:p>
        </w:tc>
        <w:tc>
          <w:tcPr>
            <w:tcW w:w="1701" w:type="dxa"/>
            <w:shd w:val="clear" w:color="auto" w:fill="auto"/>
            <w:vAlign w:val="center"/>
          </w:tcPr>
          <w:p w:rsidR="00FD7668" w:rsidRPr="007F02BC" w:rsidRDefault="00FD7668" w:rsidP="007B5B20">
            <w:pPr>
              <w:jc w:val="center"/>
              <w:rPr>
                <w:b/>
                <w:sz w:val="22"/>
                <w:szCs w:val="22"/>
              </w:rPr>
            </w:pPr>
            <w:r w:rsidRPr="007F02BC">
              <w:rPr>
                <w:b/>
                <w:bCs/>
                <w:color w:val="000000"/>
                <w:sz w:val="22"/>
                <w:szCs w:val="22"/>
              </w:rPr>
              <w:t xml:space="preserve">160 000,00 </w:t>
            </w:r>
            <w:r w:rsidRPr="007F02BC">
              <w:rPr>
                <w:b/>
                <w:sz w:val="22"/>
                <w:szCs w:val="22"/>
              </w:rPr>
              <w:t>zł</w:t>
            </w:r>
          </w:p>
          <w:p w:rsidR="00FD7668" w:rsidRPr="007F02BC" w:rsidRDefault="00FD7668" w:rsidP="00FD418A">
            <w:pPr>
              <w:pStyle w:val="Tekstpodstawowy"/>
              <w:spacing w:after="0"/>
              <w:jc w:val="center"/>
              <w:rPr>
                <w:rFonts w:eastAsia="Times New Roman"/>
                <w:b/>
                <w:color w:val="000000"/>
                <w:sz w:val="22"/>
                <w:szCs w:val="22"/>
                <w:lang w:eastAsia="pl-PL"/>
              </w:rPr>
            </w:pPr>
          </w:p>
        </w:tc>
        <w:tc>
          <w:tcPr>
            <w:tcW w:w="1418" w:type="dxa"/>
            <w:shd w:val="clear" w:color="auto" w:fill="auto"/>
            <w:vAlign w:val="center"/>
          </w:tcPr>
          <w:p w:rsidR="00FD7668" w:rsidRPr="007F02BC" w:rsidRDefault="00FD7668" w:rsidP="00CE519C">
            <w:pPr>
              <w:pStyle w:val="Tekstpodstawowy"/>
              <w:spacing w:after="0"/>
              <w:jc w:val="center"/>
              <w:rPr>
                <w:b/>
                <w:sz w:val="22"/>
                <w:szCs w:val="22"/>
              </w:rPr>
            </w:pPr>
            <w:r w:rsidRPr="007F02BC">
              <w:rPr>
                <w:b/>
                <w:sz w:val="22"/>
                <w:szCs w:val="22"/>
              </w:rPr>
              <w:t>16 000,00 zł</w:t>
            </w:r>
          </w:p>
          <w:p w:rsidR="00FD7668" w:rsidRPr="007F02BC" w:rsidRDefault="00FD7668" w:rsidP="00CE519C">
            <w:pPr>
              <w:pStyle w:val="Tekstpodstawowy"/>
              <w:spacing w:after="0"/>
              <w:jc w:val="center"/>
              <w:rPr>
                <w:rFonts w:eastAsia="Times New Roman"/>
                <w:b/>
                <w:color w:val="000000"/>
                <w:sz w:val="22"/>
                <w:szCs w:val="22"/>
                <w:lang w:eastAsia="pl-PL"/>
              </w:rPr>
            </w:pPr>
          </w:p>
        </w:tc>
        <w:tc>
          <w:tcPr>
            <w:tcW w:w="8221" w:type="dxa"/>
          </w:tcPr>
          <w:p w:rsidR="00FD7668" w:rsidRPr="007F02BC" w:rsidRDefault="00FD7668" w:rsidP="00FD7668">
            <w:pPr>
              <w:pStyle w:val="Akapitzlist"/>
              <w:ind w:left="0"/>
              <w:jc w:val="both"/>
              <w:rPr>
                <w:sz w:val="22"/>
                <w:szCs w:val="22"/>
              </w:rPr>
            </w:pPr>
            <w:r w:rsidRPr="007F02BC">
              <w:rPr>
                <w:sz w:val="22"/>
                <w:szCs w:val="22"/>
              </w:rPr>
              <w:t>Nieruchomość położona jest w dzielnicy Chełmińskie Przedmieście, przy ul. Szosa Chełmińska w nowym przebiegu wraz z linią tramwajową. W sąsiedztwie działek znajdują się nieruchomość zabudowana budynkiem biurowo-usługowym, nieruchomość niezabudowana, zabudowa mieszkaniowa jednorodzinna, wielorodzinna, cmentarz św. Jerzego i targowisko miejskie. Nieruchomość tworzy kształt nieregularnego wieloboku i położna jest poniżej poziomu przyległej od strony wschodniej ul. Szosa Chełmińska. Nieruchomość jest niezabudowana i nieuzbrojona. Zachodnia część terenu będącego przedmiotem przetargu znajduje się w strefie sanitarnej cmentarza, w obrębie której obowiązują ograniczenia określone w przepisach odrębnych.</w:t>
            </w:r>
          </w:p>
          <w:p w:rsidR="00FD7668" w:rsidRPr="007F02BC" w:rsidRDefault="00FD7668" w:rsidP="00FD7668">
            <w:pPr>
              <w:pStyle w:val="Akapitzlist"/>
              <w:ind w:left="0"/>
              <w:jc w:val="both"/>
              <w:rPr>
                <w:sz w:val="22"/>
                <w:szCs w:val="22"/>
              </w:rPr>
            </w:pPr>
            <w:r w:rsidRPr="007F02BC">
              <w:rPr>
                <w:sz w:val="22"/>
                <w:szCs w:val="22"/>
              </w:rPr>
              <w:t>Zgodnie z uchwałą Rady Miasta Torunia nr 555/17 z dnia 23.03.2017 r. zatwierdzającą miejscowy plan zagospodarowania przestrzennego „Nowe Centrum” dla terenu ograniczonego ulicami: Szosa Chełmińska, Czerwona Droga, Aleja 700-lecia Torunia, Sportowa, Morcinka i Bema w Toruniu nieruchomość położona jest w obszarze oznaczonym symbolem: 104.07-U1 o przeznaczeniu podstawowym: „</w:t>
            </w:r>
            <w:r w:rsidRPr="007F02BC">
              <w:rPr>
                <w:i/>
                <w:sz w:val="22"/>
                <w:szCs w:val="22"/>
              </w:rPr>
              <w:t>tereny zabudowy usługowej</w:t>
            </w:r>
            <w:r w:rsidRPr="007F02BC">
              <w:rPr>
                <w:sz w:val="22"/>
                <w:szCs w:val="22"/>
              </w:rPr>
              <w:t xml:space="preserve">” oraz przeznaczeniu dopuszczalnym:  </w:t>
            </w:r>
            <w:r w:rsidRPr="007F02BC">
              <w:rPr>
                <w:i/>
                <w:sz w:val="22"/>
                <w:szCs w:val="22"/>
              </w:rPr>
              <w:t xml:space="preserve">„infrastruktura techniczna”. </w:t>
            </w:r>
            <w:r w:rsidRPr="007F02BC">
              <w:rPr>
                <w:sz w:val="22"/>
                <w:szCs w:val="22"/>
              </w:rPr>
              <w:t>Plan nakazuje ochronę istniejącej zieleni wysokiej i zakazuje lokalizacji wolnostojących budynków gospodarczych, garaży indywidualnych oraz przedsięwzięć mogących zawsze znacząco oddziaływać na środowisko.</w:t>
            </w:r>
          </w:p>
          <w:p w:rsidR="00FD7668" w:rsidRPr="007F02BC" w:rsidRDefault="00FD7668" w:rsidP="00FD7668">
            <w:pPr>
              <w:pStyle w:val="Akapitzlist"/>
              <w:ind w:left="0"/>
              <w:jc w:val="both"/>
              <w:rPr>
                <w:sz w:val="22"/>
                <w:szCs w:val="22"/>
              </w:rPr>
            </w:pPr>
            <w:r w:rsidRPr="007F02BC">
              <w:rPr>
                <w:rFonts w:eastAsia="Times New Roman"/>
                <w:color w:val="000000"/>
                <w:sz w:val="22"/>
                <w:szCs w:val="22"/>
              </w:rPr>
              <w:t xml:space="preserve">Szczegółowe ustalenia planu miejscowego zawarte są w treści powołanej uchwały Rady Miasta Torunia. Przed przystąpieniem do przetargu jego uczestnik powinien we własnym zakresie i na własną odpowiedzialność zapoznać się ze stanem prawnym i faktycznym przedmiotu przetargu i ustalić możliwość realizacji na nieruchomości planowanych przedsięwzięć oraz ich zgodność z przepisami odrębnymi i uwarunkowaniami planistycznymi. W wyniku </w:t>
            </w:r>
            <w:r w:rsidRPr="007F02BC">
              <w:rPr>
                <w:color w:val="000000"/>
                <w:sz w:val="22"/>
                <w:szCs w:val="22"/>
              </w:rPr>
              <w:t xml:space="preserve">funkcjonowania terenu jako ogólnodostępnego dla osób trzecich, mogą wystąpić dzikie wysypiska śmieci. </w:t>
            </w:r>
          </w:p>
        </w:tc>
      </w:tr>
    </w:tbl>
    <w:p w:rsidR="00525FF9" w:rsidRPr="007F02BC" w:rsidRDefault="00525FF9" w:rsidP="00BA684B">
      <w:pPr>
        <w:spacing w:line="200" w:lineRule="atLeast"/>
        <w:jc w:val="center"/>
        <w:rPr>
          <w:b/>
          <w:sz w:val="22"/>
          <w:szCs w:val="22"/>
        </w:rPr>
      </w:pPr>
    </w:p>
    <w:p w:rsidR="00BA684B" w:rsidRPr="007F02BC" w:rsidRDefault="00BA684B" w:rsidP="00BA684B">
      <w:pPr>
        <w:spacing w:line="200" w:lineRule="atLeast"/>
        <w:jc w:val="center"/>
        <w:rPr>
          <w:sz w:val="22"/>
          <w:szCs w:val="22"/>
        </w:rPr>
      </w:pPr>
      <w:r w:rsidRPr="007F02BC">
        <w:rPr>
          <w:b/>
          <w:sz w:val="22"/>
          <w:szCs w:val="22"/>
        </w:rPr>
        <w:t>Przetarg odbęd</w:t>
      </w:r>
      <w:r w:rsidR="004804A8" w:rsidRPr="007F02BC">
        <w:rPr>
          <w:b/>
          <w:sz w:val="22"/>
          <w:szCs w:val="22"/>
        </w:rPr>
        <w:t>zie</w:t>
      </w:r>
      <w:r w:rsidRPr="007F02BC">
        <w:rPr>
          <w:b/>
          <w:sz w:val="22"/>
          <w:szCs w:val="22"/>
        </w:rPr>
        <w:t xml:space="preserve"> się w dniu </w:t>
      </w:r>
      <w:r w:rsidR="00FD7668" w:rsidRPr="007F02BC">
        <w:rPr>
          <w:b/>
          <w:sz w:val="22"/>
          <w:szCs w:val="22"/>
        </w:rPr>
        <w:t>17</w:t>
      </w:r>
      <w:r w:rsidR="004804A8" w:rsidRPr="007F02BC">
        <w:rPr>
          <w:b/>
          <w:sz w:val="22"/>
          <w:szCs w:val="22"/>
        </w:rPr>
        <w:t xml:space="preserve"> października</w:t>
      </w:r>
      <w:r w:rsidR="00E6540B" w:rsidRPr="007F02BC">
        <w:rPr>
          <w:b/>
          <w:sz w:val="22"/>
          <w:szCs w:val="22"/>
        </w:rPr>
        <w:t xml:space="preserve"> </w:t>
      </w:r>
      <w:r w:rsidRPr="007F02BC">
        <w:rPr>
          <w:b/>
          <w:bCs/>
          <w:sz w:val="22"/>
          <w:szCs w:val="22"/>
        </w:rPr>
        <w:t>20</w:t>
      </w:r>
      <w:r w:rsidR="00A954AD" w:rsidRPr="007F02BC">
        <w:rPr>
          <w:b/>
          <w:bCs/>
          <w:sz w:val="22"/>
          <w:szCs w:val="22"/>
        </w:rPr>
        <w:t>2</w:t>
      </w:r>
      <w:r w:rsidR="00525FF9" w:rsidRPr="007F02BC">
        <w:rPr>
          <w:b/>
          <w:bCs/>
          <w:sz w:val="22"/>
          <w:szCs w:val="22"/>
        </w:rPr>
        <w:t>3</w:t>
      </w:r>
      <w:r w:rsidRPr="007F02BC">
        <w:rPr>
          <w:b/>
          <w:bCs/>
          <w:sz w:val="22"/>
          <w:szCs w:val="22"/>
        </w:rPr>
        <w:t xml:space="preserve"> r.</w:t>
      </w:r>
      <w:r w:rsidRPr="007F02BC">
        <w:rPr>
          <w:sz w:val="22"/>
          <w:szCs w:val="22"/>
        </w:rPr>
        <w:t xml:space="preserve"> </w:t>
      </w:r>
      <w:r w:rsidRPr="007F02BC">
        <w:rPr>
          <w:b/>
          <w:sz w:val="22"/>
          <w:szCs w:val="22"/>
        </w:rPr>
        <w:t xml:space="preserve">o godz. </w:t>
      </w:r>
      <w:r w:rsidR="004804A8" w:rsidRPr="007F02BC">
        <w:rPr>
          <w:b/>
          <w:sz w:val="22"/>
          <w:szCs w:val="22"/>
        </w:rPr>
        <w:t>10</w:t>
      </w:r>
      <w:r w:rsidR="008E3A48" w:rsidRPr="007F02BC">
        <w:rPr>
          <w:b/>
          <w:bCs/>
          <w:sz w:val="22"/>
          <w:szCs w:val="22"/>
        </w:rPr>
        <w:t>.00</w:t>
      </w:r>
    </w:p>
    <w:p w:rsidR="00BA684B" w:rsidRPr="007F02BC" w:rsidRDefault="00E6540B" w:rsidP="00BA684B">
      <w:pPr>
        <w:spacing w:line="200" w:lineRule="atLeast"/>
        <w:jc w:val="center"/>
        <w:rPr>
          <w:sz w:val="22"/>
          <w:szCs w:val="22"/>
        </w:rPr>
      </w:pPr>
      <w:r w:rsidRPr="007F02BC">
        <w:rPr>
          <w:sz w:val="22"/>
          <w:szCs w:val="22"/>
        </w:rPr>
        <w:t>w Urzędzie</w:t>
      </w:r>
      <w:r w:rsidR="00BA684B" w:rsidRPr="007F02BC">
        <w:rPr>
          <w:sz w:val="22"/>
          <w:szCs w:val="22"/>
        </w:rPr>
        <w:t xml:space="preserve"> Miasta Torunia</w:t>
      </w:r>
      <w:r w:rsidRPr="007F02BC">
        <w:rPr>
          <w:sz w:val="22"/>
          <w:szCs w:val="22"/>
        </w:rPr>
        <w:t xml:space="preserve"> Wydział Gospodarki Nieruchomościami</w:t>
      </w:r>
      <w:r w:rsidR="00A954AD" w:rsidRPr="007F02BC">
        <w:rPr>
          <w:sz w:val="22"/>
          <w:szCs w:val="22"/>
        </w:rPr>
        <w:t xml:space="preserve"> </w:t>
      </w:r>
      <w:r w:rsidRPr="007F02BC">
        <w:rPr>
          <w:sz w:val="22"/>
          <w:szCs w:val="22"/>
        </w:rPr>
        <w:t xml:space="preserve">w Toruniu, przy </w:t>
      </w:r>
      <w:r w:rsidR="00BA684B" w:rsidRPr="007F02BC">
        <w:rPr>
          <w:sz w:val="22"/>
          <w:szCs w:val="22"/>
        </w:rPr>
        <w:t>ul. Grudziądzk</w:t>
      </w:r>
      <w:r w:rsidRPr="007F02BC">
        <w:rPr>
          <w:sz w:val="22"/>
          <w:szCs w:val="22"/>
        </w:rPr>
        <w:t>iej</w:t>
      </w:r>
      <w:r w:rsidR="00BA684B" w:rsidRPr="007F02BC">
        <w:rPr>
          <w:sz w:val="22"/>
          <w:szCs w:val="22"/>
        </w:rPr>
        <w:t xml:space="preserve"> 1</w:t>
      </w:r>
      <w:r w:rsidR="00A954AD" w:rsidRPr="007F02BC">
        <w:rPr>
          <w:sz w:val="22"/>
          <w:szCs w:val="22"/>
        </w:rPr>
        <w:t>26B, w sali konferencyjnej na I</w:t>
      </w:r>
      <w:r w:rsidR="00BA684B" w:rsidRPr="007F02BC">
        <w:rPr>
          <w:sz w:val="22"/>
          <w:szCs w:val="22"/>
        </w:rPr>
        <w:t xml:space="preserve"> piętrze - pokój nr </w:t>
      </w:r>
      <w:r w:rsidR="00A954AD" w:rsidRPr="007F02BC">
        <w:rPr>
          <w:sz w:val="22"/>
          <w:szCs w:val="22"/>
        </w:rPr>
        <w:t>115</w:t>
      </w:r>
      <w:r w:rsidR="00BA684B" w:rsidRPr="007F02BC">
        <w:rPr>
          <w:sz w:val="22"/>
          <w:szCs w:val="22"/>
        </w:rPr>
        <w:t>.</w:t>
      </w:r>
    </w:p>
    <w:p w:rsidR="00A954AD" w:rsidRPr="007F02BC" w:rsidRDefault="00A954AD" w:rsidP="00BA684B">
      <w:pPr>
        <w:spacing w:line="200" w:lineRule="atLeast"/>
        <w:jc w:val="both"/>
        <w:rPr>
          <w:sz w:val="22"/>
          <w:szCs w:val="22"/>
          <w:lang w:eastAsia="pl-PL" w:bidi="pl-PL"/>
        </w:rPr>
      </w:pPr>
    </w:p>
    <w:p w:rsidR="00E07BB2" w:rsidRPr="00E07BB2" w:rsidRDefault="007F02BC" w:rsidP="0087234A">
      <w:pPr>
        <w:pStyle w:val="Akapitzlist"/>
        <w:numPr>
          <w:ilvl w:val="0"/>
          <w:numId w:val="1"/>
        </w:numPr>
        <w:jc w:val="both"/>
        <w:rPr>
          <w:color w:val="000000"/>
          <w:sz w:val="22"/>
          <w:szCs w:val="22"/>
        </w:rPr>
      </w:pPr>
      <w:r w:rsidRPr="00E07BB2">
        <w:rPr>
          <w:sz w:val="22"/>
          <w:szCs w:val="22"/>
        </w:rPr>
        <w:lastRenderedPageBreak/>
        <w:t xml:space="preserve">Grunt nie stanowi działki budowlanej w rozumieniu przepisów ustawy z dnia 27.03.2003 r. o planowaniu i zagospodarowaniu przestrzennym, a wyznaczone w planie miejscowym linie zabudowy uniemożliwiają racjonalne, samodzielne jego zagospodarowanie. </w:t>
      </w:r>
      <w:r w:rsidR="003E0ECB" w:rsidRPr="00E07BB2">
        <w:rPr>
          <w:sz w:val="22"/>
          <w:szCs w:val="22"/>
        </w:rPr>
        <w:t xml:space="preserve">Nieruchomość będąca przedmiotem przetargu zbywana jest w celu poprawy warunków zagospodarowania nieruchomości przyległych. </w:t>
      </w:r>
      <w:r w:rsidRPr="00E07BB2">
        <w:rPr>
          <w:sz w:val="22"/>
          <w:szCs w:val="22"/>
        </w:rPr>
        <w:t>Przetarg jest og</w:t>
      </w:r>
      <w:r w:rsidR="001C59EC" w:rsidRPr="00E07BB2">
        <w:rPr>
          <w:sz w:val="22"/>
          <w:szCs w:val="22"/>
        </w:rPr>
        <w:t>raniczony do podmiotów będących</w:t>
      </w:r>
      <w:r w:rsidRPr="00E07BB2">
        <w:rPr>
          <w:sz w:val="22"/>
          <w:szCs w:val="22"/>
        </w:rPr>
        <w:t xml:space="preserve"> współwłaścicielami dz. nr 101/4 i nr 92/1, obręb 9 oraz właścicielem dz. nr 99/4, nr 98/2 i nr 97/4, obręb 9</w:t>
      </w:r>
      <w:r w:rsidR="00E07BB2">
        <w:rPr>
          <w:sz w:val="22"/>
          <w:szCs w:val="22"/>
        </w:rPr>
        <w:t>.</w:t>
      </w:r>
      <w:r w:rsidR="001C59EC" w:rsidRPr="00E07BB2">
        <w:rPr>
          <w:sz w:val="22"/>
          <w:szCs w:val="22"/>
        </w:rPr>
        <w:t xml:space="preserve"> </w:t>
      </w:r>
    </w:p>
    <w:p w:rsidR="007F02BC" w:rsidRPr="00E07BB2" w:rsidRDefault="007F02BC" w:rsidP="0087234A">
      <w:pPr>
        <w:pStyle w:val="Akapitzlist"/>
        <w:numPr>
          <w:ilvl w:val="0"/>
          <w:numId w:val="1"/>
        </w:numPr>
        <w:jc w:val="both"/>
        <w:rPr>
          <w:color w:val="000000"/>
          <w:sz w:val="22"/>
          <w:szCs w:val="22"/>
        </w:rPr>
      </w:pPr>
      <w:r w:rsidRPr="00E07BB2">
        <w:rPr>
          <w:color w:val="000000"/>
          <w:sz w:val="22"/>
          <w:szCs w:val="22"/>
        </w:rPr>
        <w:t>W przetargu mogą wziąć udział podmioty, które:</w:t>
      </w:r>
    </w:p>
    <w:p w:rsidR="007F02BC" w:rsidRDefault="007F02BC" w:rsidP="007F02BC">
      <w:pPr>
        <w:pStyle w:val="Akapitzlist"/>
        <w:numPr>
          <w:ilvl w:val="0"/>
          <w:numId w:val="6"/>
        </w:numPr>
        <w:jc w:val="both"/>
        <w:rPr>
          <w:sz w:val="22"/>
          <w:szCs w:val="22"/>
        </w:rPr>
      </w:pPr>
      <w:r w:rsidRPr="007F02BC">
        <w:rPr>
          <w:sz w:val="22"/>
          <w:szCs w:val="22"/>
          <w:u w:val="single"/>
        </w:rPr>
        <w:t>są właścicielami</w:t>
      </w:r>
      <w:r w:rsidRPr="007F02BC">
        <w:rPr>
          <w:sz w:val="22"/>
          <w:szCs w:val="22"/>
        </w:rPr>
        <w:t xml:space="preserve"> nieruchomości przyległych do nieruchomości będącej przedmiotem przetargu, tj. współwłaścicielami  dz. nr 101/4 i nr 92/1, obręb 9 oraz właścicielem dz. nr 99/4, nr 98/2 i nr 97/4, obręb 9, i </w:t>
      </w:r>
      <w:r w:rsidRPr="007F02BC">
        <w:rPr>
          <w:sz w:val="22"/>
          <w:szCs w:val="22"/>
          <w:u w:val="single"/>
        </w:rPr>
        <w:t>złożą oświadczenie</w:t>
      </w:r>
      <w:r w:rsidRPr="007F02BC">
        <w:rPr>
          <w:sz w:val="22"/>
          <w:szCs w:val="22"/>
        </w:rPr>
        <w:t xml:space="preserve"> potwierdzające ten fakt,</w:t>
      </w:r>
    </w:p>
    <w:p w:rsidR="007F02BC" w:rsidRPr="007F02BC" w:rsidRDefault="007F02BC" w:rsidP="003E0ECB">
      <w:pPr>
        <w:pStyle w:val="Akapitzlist"/>
        <w:numPr>
          <w:ilvl w:val="0"/>
          <w:numId w:val="6"/>
        </w:numPr>
        <w:jc w:val="both"/>
        <w:rPr>
          <w:sz w:val="22"/>
          <w:szCs w:val="22"/>
        </w:rPr>
      </w:pPr>
      <w:r w:rsidRPr="007F02BC">
        <w:rPr>
          <w:color w:val="000000"/>
          <w:sz w:val="22"/>
          <w:szCs w:val="22"/>
          <w:u w:val="single"/>
        </w:rPr>
        <w:t xml:space="preserve">wpłacą wadium </w:t>
      </w:r>
      <w:r w:rsidRPr="007F02BC">
        <w:rPr>
          <w:color w:val="000000"/>
          <w:sz w:val="22"/>
          <w:szCs w:val="22"/>
        </w:rPr>
        <w:t xml:space="preserve">w pieniądzu w drodze jednorazowego przelewu na konto Urzędu Miasta Torunia - BANK MILLENNIUM S.A. Oddział Toruń </w:t>
      </w:r>
      <w:r w:rsidRPr="007F02BC">
        <w:rPr>
          <w:b/>
          <w:bCs/>
          <w:color w:val="000000"/>
          <w:sz w:val="22"/>
          <w:szCs w:val="22"/>
        </w:rPr>
        <w:t>nr 62 1160 2202 0000 0003 3943 1400</w:t>
      </w:r>
      <w:r w:rsidRPr="007F02BC">
        <w:rPr>
          <w:color w:val="000000"/>
          <w:sz w:val="22"/>
          <w:szCs w:val="22"/>
        </w:rPr>
        <w:t xml:space="preserve"> w terminie </w:t>
      </w:r>
      <w:r w:rsidRPr="007F02BC">
        <w:rPr>
          <w:b/>
          <w:color w:val="000000"/>
          <w:sz w:val="22"/>
          <w:szCs w:val="22"/>
        </w:rPr>
        <w:t>do dnia 11 października 2023 r. włącz</w:t>
      </w:r>
      <w:r w:rsidRPr="007F02BC">
        <w:rPr>
          <w:b/>
          <w:color w:val="000000"/>
          <w:sz w:val="22"/>
          <w:szCs w:val="22"/>
        </w:rPr>
        <w:softHyphen/>
        <w:t>nie</w:t>
      </w:r>
      <w:r w:rsidRPr="007F02BC">
        <w:rPr>
          <w:color w:val="000000"/>
          <w:sz w:val="22"/>
          <w:szCs w:val="22"/>
        </w:rPr>
        <w:t xml:space="preserve">. </w:t>
      </w:r>
    </w:p>
    <w:p w:rsidR="007F02BC" w:rsidRPr="007F02BC" w:rsidRDefault="007F02BC" w:rsidP="003E0ECB">
      <w:pPr>
        <w:pStyle w:val="Akapitzlist"/>
        <w:numPr>
          <w:ilvl w:val="0"/>
          <w:numId w:val="6"/>
        </w:numPr>
        <w:jc w:val="both"/>
        <w:rPr>
          <w:sz w:val="22"/>
          <w:szCs w:val="22"/>
        </w:rPr>
      </w:pPr>
      <w:r w:rsidRPr="007F02BC">
        <w:rPr>
          <w:sz w:val="22"/>
          <w:szCs w:val="22"/>
          <w:u w:val="single"/>
        </w:rPr>
        <w:t>zgłoszą uczestnictwo w przetargu</w:t>
      </w:r>
      <w:r w:rsidRPr="007F02BC">
        <w:rPr>
          <w:sz w:val="22"/>
          <w:szCs w:val="22"/>
        </w:rPr>
        <w:t xml:space="preserve"> wraz z oświadczeniem</w:t>
      </w:r>
      <w:r w:rsidR="00E07BB2">
        <w:rPr>
          <w:sz w:val="22"/>
          <w:szCs w:val="22"/>
        </w:rPr>
        <w:t xml:space="preserve"> opisanym w p</w:t>
      </w:r>
      <w:r w:rsidRPr="007F02BC">
        <w:rPr>
          <w:sz w:val="22"/>
          <w:szCs w:val="22"/>
        </w:rPr>
        <w:t xml:space="preserve">kt </w:t>
      </w:r>
      <w:r w:rsidR="00E07BB2">
        <w:rPr>
          <w:sz w:val="22"/>
          <w:szCs w:val="22"/>
        </w:rPr>
        <w:t>2</w:t>
      </w:r>
      <w:r w:rsidRPr="007F02BC">
        <w:rPr>
          <w:sz w:val="22"/>
          <w:szCs w:val="22"/>
        </w:rPr>
        <w:t xml:space="preserve"> </w:t>
      </w:r>
      <w:r w:rsidR="00E07BB2">
        <w:rPr>
          <w:sz w:val="22"/>
          <w:szCs w:val="22"/>
        </w:rPr>
        <w:t xml:space="preserve">lit. a) </w:t>
      </w:r>
      <w:r w:rsidRPr="007F02BC">
        <w:rPr>
          <w:sz w:val="22"/>
          <w:szCs w:val="22"/>
        </w:rPr>
        <w:t xml:space="preserve">w terminie </w:t>
      </w:r>
      <w:r w:rsidRPr="007F02BC">
        <w:rPr>
          <w:b/>
          <w:sz w:val="22"/>
          <w:szCs w:val="22"/>
        </w:rPr>
        <w:t>do dnia 11 października 2023 r. do godz. 15.00,</w:t>
      </w:r>
      <w:r w:rsidRPr="007F02BC">
        <w:rPr>
          <w:sz w:val="22"/>
          <w:szCs w:val="22"/>
        </w:rPr>
        <w:t xml:space="preserve"> bezpośrednio w sekretariacie Wydziału Gospodarki Nieruchomościami Urzędu Miasta Torunia przy ul. Grudziądzkiej 126B, w pokoju nr 222, na II piętrze.</w:t>
      </w:r>
    </w:p>
    <w:p w:rsidR="004804A8" w:rsidRPr="007F02BC" w:rsidRDefault="007F02BC" w:rsidP="007F02BC">
      <w:pPr>
        <w:pStyle w:val="Tekstpodstawowy"/>
        <w:numPr>
          <w:ilvl w:val="0"/>
          <w:numId w:val="1"/>
        </w:numPr>
        <w:tabs>
          <w:tab w:val="left" w:pos="134"/>
          <w:tab w:val="left" w:pos="417"/>
        </w:tabs>
        <w:spacing w:after="0"/>
        <w:jc w:val="both"/>
        <w:rPr>
          <w:sz w:val="22"/>
          <w:szCs w:val="22"/>
          <w:lang w:eastAsia="pl-PL" w:bidi="pl-PL"/>
        </w:rPr>
      </w:pPr>
      <w:r w:rsidRPr="007F02BC">
        <w:rPr>
          <w:color w:val="000000"/>
          <w:sz w:val="22"/>
          <w:szCs w:val="22"/>
        </w:rPr>
        <w:t xml:space="preserve">Za termin wpłaty wadium uznaje się dzień wpływu środków pieniężnych na rachunek bankowy Gminy. Na dowodzie wpłaty należy umieścić dopisek wskazujący oznaczenie nieruchomości (adres), do licytacji której uczestnik zamierza przystąpić. Wpłacone wadium uprawnia do uczestnictwa wyłącznie w przetargu, którego dotyczy. </w:t>
      </w:r>
      <w:r w:rsidR="004804A8" w:rsidRPr="007F02BC">
        <w:rPr>
          <w:rFonts w:eastAsia="HG Mincho Light J"/>
          <w:color w:val="000000"/>
          <w:sz w:val="22"/>
          <w:szCs w:val="22"/>
        </w:rPr>
        <w:t>Wadium wpłacone przez uczestnika, który przetarg wygrał zalicza się na poczet ceny sprzedaży nieruchomości. Pozostałym uczestnikom przetargu wadium zostanie niezwłocznie, nie później niż przed upływem 3 dni od dnia odwołania, unieważnienia lub rozstrzygnięcia przetargu, zwrócone przelewem na wskazane przez nich konto.</w:t>
      </w:r>
    </w:p>
    <w:p w:rsidR="003E0ECB" w:rsidRPr="003E0ECB" w:rsidRDefault="003E0ECB" w:rsidP="007F02BC">
      <w:pPr>
        <w:pStyle w:val="Tekstpodstawowy"/>
        <w:numPr>
          <w:ilvl w:val="0"/>
          <w:numId w:val="1"/>
        </w:numPr>
        <w:tabs>
          <w:tab w:val="left" w:pos="134"/>
          <w:tab w:val="left" w:pos="417"/>
        </w:tabs>
        <w:spacing w:after="0"/>
        <w:jc w:val="both"/>
        <w:rPr>
          <w:sz w:val="22"/>
          <w:szCs w:val="22"/>
          <w:lang w:eastAsia="pl-PL" w:bidi="pl-PL"/>
        </w:rPr>
      </w:pPr>
      <w:r>
        <w:rPr>
          <w:sz w:val="22"/>
          <w:szCs w:val="22"/>
          <w:lang w:eastAsia="pl-PL" w:bidi="pl-PL"/>
        </w:rPr>
        <w:t xml:space="preserve">Lista osób zakwalifikowanych do uczestnictwa w przetargu </w:t>
      </w:r>
      <w:r w:rsidRPr="00FA52B8">
        <w:rPr>
          <w:sz w:val="22"/>
          <w:szCs w:val="22"/>
        </w:rPr>
        <w:t>zamie</w:t>
      </w:r>
      <w:r>
        <w:rPr>
          <w:sz w:val="22"/>
          <w:szCs w:val="22"/>
        </w:rPr>
        <w:t>szczona zostanie</w:t>
      </w:r>
      <w:r w:rsidRPr="00FA52B8">
        <w:rPr>
          <w:sz w:val="22"/>
          <w:szCs w:val="22"/>
        </w:rPr>
        <w:t xml:space="preserve"> w Biuletynie Informacji Publicznej na stronie </w:t>
      </w:r>
      <w:hyperlink r:id="rId5" w:history="1">
        <w:r w:rsidRPr="00FA52B8">
          <w:rPr>
            <w:rStyle w:val="Hipercze"/>
            <w:color w:val="auto"/>
            <w:sz w:val="22"/>
            <w:szCs w:val="22"/>
            <w:u w:val="none"/>
          </w:rPr>
          <w:t>www.bip.torun.pl</w:t>
        </w:r>
      </w:hyperlink>
      <w:r w:rsidRPr="00FA52B8">
        <w:rPr>
          <w:sz w:val="22"/>
          <w:szCs w:val="22"/>
        </w:rPr>
        <w:t xml:space="preserve"> oraz wywies</w:t>
      </w:r>
      <w:r>
        <w:rPr>
          <w:sz w:val="22"/>
          <w:szCs w:val="22"/>
        </w:rPr>
        <w:t xml:space="preserve">zona na tablicy ogłoszeń </w:t>
      </w:r>
      <w:r w:rsidRPr="00FA52B8">
        <w:rPr>
          <w:sz w:val="22"/>
          <w:szCs w:val="22"/>
        </w:rPr>
        <w:t xml:space="preserve">w siedzibie Urzędu Miasta Torunia Wydział Gospodarki Nieruchomościami przy ul. Grudziądzkiej 126B, nie później niż dzień przed wyznaczonym terminem przetargu.  </w:t>
      </w:r>
    </w:p>
    <w:p w:rsidR="00BD4B5A" w:rsidRPr="007F02BC" w:rsidRDefault="004804A8" w:rsidP="007F02BC">
      <w:pPr>
        <w:pStyle w:val="Tekstpodstawowy"/>
        <w:numPr>
          <w:ilvl w:val="0"/>
          <w:numId w:val="1"/>
        </w:numPr>
        <w:tabs>
          <w:tab w:val="left" w:pos="134"/>
          <w:tab w:val="left" w:pos="417"/>
        </w:tabs>
        <w:spacing w:after="0"/>
        <w:jc w:val="both"/>
        <w:rPr>
          <w:sz w:val="22"/>
          <w:szCs w:val="22"/>
          <w:lang w:eastAsia="pl-PL" w:bidi="pl-PL"/>
        </w:rPr>
      </w:pPr>
      <w:r w:rsidRPr="007F02BC">
        <w:rPr>
          <w:rFonts w:eastAsia="Times New Roman"/>
          <w:sz w:val="22"/>
          <w:szCs w:val="22"/>
        </w:rPr>
        <w:t>Umowa sprzedaży nieruchomości winna być zawarta w terminie dwóch miesięcy od dnia rozstrzygnięcia przetargu. Jeżeli osoba ustalona jako nabywca nieruchomości nie przystąpi bez usprawiedliwienia do zawarcia umowy w terminie i miejscu podanym w zawiadomieniu, Prezydent Miasta może odstąpić od zawarcia umowy. W tym wypadku wpłacone wadium nie podlega zwrotowi. Prezydent Miasta Torunia może z w</w:t>
      </w:r>
      <w:r w:rsidR="00BD4B5A" w:rsidRPr="007F02BC">
        <w:rPr>
          <w:rFonts w:eastAsia="Times New Roman"/>
          <w:sz w:val="22"/>
          <w:szCs w:val="22"/>
        </w:rPr>
        <w:t xml:space="preserve">ażnych powodów odwołać przetarg. </w:t>
      </w:r>
    </w:p>
    <w:p w:rsidR="00BD4B5A" w:rsidRPr="007F02BC" w:rsidRDefault="004804A8" w:rsidP="007F02BC">
      <w:pPr>
        <w:pStyle w:val="Tekstpodstawowy"/>
        <w:numPr>
          <w:ilvl w:val="0"/>
          <w:numId w:val="1"/>
        </w:numPr>
        <w:tabs>
          <w:tab w:val="left" w:pos="134"/>
          <w:tab w:val="left" w:pos="417"/>
        </w:tabs>
        <w:spacing w:after="0"/>
        <w:jc w:val="both"/>
        <w:rPr>
          <w:sz w:val="22"/>
          <w:szCs w:val="22"/>
          <w:lang w:eastAsia="pl-PL" w:bidi="pl-PL"/>
        </w:rPr>
      </w:pPr>
      <w:r w:rsidRPr="007F02BC">
        <w:rPr>
          <w:rFonts w:eastAsia="Times New Roman"/>
          <w:sz w:val="22"/>
          <w:szCs w:val="22"/>
        </w:rPr>
        <w:t>Osoby przystępujące do przetargu winny zapoznać się z Regulaminem przetargu</w:t>
      </w:r>
      <w:r w:rsidR="00153D4F">
        <w:rPr>
          <w:rFonts w:eastAsia="Times New Roman"/>
          <w:sz w:val="22"/>
          <w:szCs w:val="22"/>
        </w:rPr>
        <w:t>.</w:t>
      </w:r>
      <w:r w:rsidR="00BD4B5A" w:rsidRPr="007F02BC">
        <w:rPr>
          <w:rFonts w:eastAsia="Times New Roman"/>
          <w:sz w:val="22"/>
          <w:szCs w:val="22"/>
        </w:rPr>
        <w:t xml:space="preserve"> </w:t>
      </w:r>
    </w:p>
    <w:p w:rsidR="00BD4B5A" w:rsidRPr="007F02BC" w:rsidRDefault="004804A8" w:rsidP="007F02BC">
      <w:pPr>
        <w:pStyle w:val="Tekstpodstawowy"/>
        <w:numPr>
          <w:ilvl w:val="0"/>
          <w:numId w:val="1"/>
        </w:numPr>
        <w:tabs>
          <w:tab w:val="left" w:pos="134"/>
          <w:tab w:val="left" w:pos="417"/>
        </w:tabs>
        <w:spacing w:after="0"/>
        <w:jc w:val="both"/>
        <w:rPr>
          <w:sz w:val="22"/>
          <w:szCs w:val="22"/>
          <w:lang w:eastAsia="pl-PL" w:bidi="pl-PL"/>
        </w:rPr>
      </w:pPr>
      <w:r w:rsidRPr="007F02BC">
        <w:rPr>
          <w:sz w:val="22"/>
          <w:szCs w:val="22"/>
        </w:rPr>
        <w:t xml:space="preserve">Ogłoszenie o </w:t>
      </w:r>
      <w:r w:rsidR="00BD4B5A" w:rsidRPr="007F02BC">
        <w:rPr>
          <w:sz w:val="22"/>
          <w:szCs w:val="22"/>
        </w:rPr>
        <w:t>przetargu</w:t>
      </w:r>
      <w:r w:rsidRPr="007F02BC">
        <w:rPr>
          <w:sz w:val="22"/>
          <w:szCs w:val="22"/>
        </w:rPr>
        <w:t xml:space="preserve"> </w:t>
      </w:r>
      <w:r w:rsidRPr="007F02BC">
        <w:rPr>
          <w:bCs/>
          <w:kern w:val="1"/>
          <w:sz w:val="22"/>
          <w:szCs w:val="22"/>
        </w:rPr>
        <w:t xml:space="preserve">zostało wywieszone na tablicy ogłoszeń w Urzędzie Miasta Torunia Wydział Gospodarki Nieruchomościami, ul. Grudziądzka 126b, II piętro oraz opublikowane na stronie internetowej </w:t>
      </w:r>
      <w:hyperlink r:id="rId6" w:history="1">
        <w:r w:rsidRPr="007F02BC">
          <w:rPr>
            <w:rStyle w:val="Hipercze"/>
            <w:bCs/>
            <w:color w:val="auto"/>
            <w:kern w:val="1"/>
            <w:sz w:val="22"/>
            <w:szCs w:val="22"/>
            <w:u w:val="none"/>
          </w:rPr>
          <w:t>www.bip.torun.pl</w:t>
        </w:r>
      </w:hyperlink>
      <w:r w:rsidRPr="007F02BC">
        <w:rPr>
          <w:bCs/>
          <w:kern w:val="1"/>
          <w:sz w:val="22"/>
          <w:szCs w:val="22"/>
        </w:rPr>
        <w:t xml:space="preserve"> – Nieruchomości.</w:t>
      </w:r>
    </w:p>
    <w:p w:rsidR="004804A8" w:rsidRPr="007F02BC" w:rsidRDefault="004804A8" w:rsidP="007F02BC">
      <w:pPr>
        <w:pStyle w:val="Tekstpodstawowy"/>
        <w:numPr>
          <w:ilvl w:val="0"/>
          <w:numId w:val="1"/>
        </w:numPr>
        <w:tabs>
          <w:tab w:val="left" w:pos="134"/>
          <w:tab w:val="left" w:pos="417"/>
        </w:tabs>
        <w:spacing w:after="0"/>
        <w:jc w:val="both"/>
        <w:rPr>
          <w:sz w:val="22"/>
          <w:szCs w:val="22"/>
          <w:lang w:eastAsia="pl-PL" w:bidi="pl-PL"/>
        </w:rPr>
      </w:pPr>
      <w:r w:rsidRPr="007F02BC">
        <w:rPr>
          <w:sz w:val="22"/>
          <w:szCs w:val="22"/>
          <w:lang w:eastAsia="pl-PL" w:bidi="pl-PL"/>
        </w:rPr>
        <w:t>Szczegółowe informacje można otrzymać pod adresem Wydział Gospodarki Nieruchomościami Urzędu Miasta Torunia, ul. Grud</w:t>
      </w:r>
      <w:r w:rsidR="007F02BC" w:rsidRPr="007F02BC">
        <w:rPr>
          <w:sz w:val="22"/>
          <w:szCs w:val="22"/>
          <w:lang w:eastAsia="pl-PL" w:bidi="pl-PL"/>
        </w:rPr>
        <w:t xml:space="preserve">ziądzka 126B, tel. (56) 611 85 90, email </w:t>
      </w:r>
      <w:hyperlink r:id="rId7" w:history="1">
        <w:r w:rsidR="006C787D" w:rsidRPr="001A4597">
          <w:rPr>
            <w:rStyle w:val="Hipercze"/>
            <w:sz w:val="22"/>
            <w:szCs w:val="22"/>
            <w:lang w:eastAsia="pl-PL" w:bidi="pl-PL"/>
          </w:rPr>
          <w:t>wgn@um.torun.pl</w:t>
        </w:r>
      </w:hyperlink>
      <w:r w:rsidR="00E07BB2">
        <w:rPr>
          <w:sz w:val="22"/>
          <w:szCs w:val="22"/>
          <w:lang w:eastAsia="pl-PL" w:bidi="pl-PL"/>
        </w:rPr>
        <w:t xml:space="preserve"> oraz na stronie </w:t>
      </w:r>
      <w:r w:rsidR="00E07BB2" w:rsidRPr="007F02BC">
        <w:rPr>
          <w:bCs/>
          <w:kern w:val="1"/>
          <w:sz w:val="22"/>
          <w:szCs w:val="22"/>
        </w:rPr>
        <w:t xml:space="preserve">internetowej </w:t>
      </w:r>
      <w:hyperlink r:id="rId8" w:history="1">
        <w:r w:rsidR="00E07BB2" w:rsidRPr="007F02BC">
          <w:rPr>
            <w:rStyle w:val="Hipercze"/>
            <w:bCs/>
            <w:color w:val="auto"/>
            <w:kern w:val="1"/>
            <w:sz w:val="22"/>
            <w:szCs w:val="22"/>
            <w:u w:val="none"/>
          </w:rPr>
          <w:t>www.bip.torun.pl</w:t>
        </w:r>
      </w:hyperlink>
      <w:r w:rsidR="00E07BB2" w:rsidRPr="007F02BC">
        <w:rPr>
          <w:bCs/>
          <w:kern w:val="1"/>
          <w:sz w:val="22"/>
          <w:szCs w:val="22"/>
        </w:rPr>
        <w:t xml:space="preserve"> – Nieruchomości.</w:t>
      </w:r>
      <w:r w:rsidR="006C787D">
        <w:rPr>
          <w:sz w:val="22"/>
          <w:szCs w:val="22"/>
          <w:lang w:eastAsia="pl-PL" w:bidi="pl-PL"/>
        </w:rPr>
        <w:t xml:space="preserve"> </w:t>
      </w:r>
    </w:p>
    <w:p w:rsidR="008F7D74" w:rsidRPr="007F02BC" w:rsidRDefault="008F7D74" w:rsidP="007F02BC">
      <w:pPr>
        <w:pStyle w:val="Tekstpodstawowy"/>
        <w:tabs>
          <w:tab w:val="left" w:pos="134"/>
          <w:tab w:val="left" w:pos="417"/>
        </w:tabs>
        <w:spacing w:after="0"/>
        <w:jc w:val="both"/>
        <w:rPr>
          <w:rFonts w:ascii="Arial" w:hAnsi="Arial" w:cs="Arial"/>
          <w:sz w:val="22"/>
          <w:szCs w:val="22"/>
          <w:lang w:eastAsia="pl-PL" w:bidi="pl-PL"/>
        </w:rPr>
      </w:pPr>
    </w:p>
    <w:p w:rsidR="007F02BC" w:rsidRPr="007F02BC" w:rsidRDefault="007F02BC" w:rsidP="008F7D74">
      <w:pPr>
        <w:pStyle w:val="Tekstpodstawowy"/>
        <w:tabs>
          <w:tab w:val="left" w:pos="134"/>
          <w:tab w:val="left" w:pos="417"/>
        </w:tabs>
        <w:spacing w:after="0" w:line="200" w:lineRule="atLeast"/>
        <w:jc w:val="both"/>
        <w:rPr>
          <w:rFonts w:ascii="Arial" w:hAnsi="Arial" w:cs="Arial"/>
          <w:sz w:val="22"/>
          <w:szCs w:val="22"/>
          <w:lang w:eastAsia="pl-PL" w:bidi="pl-PL"/>
        </w:rPr>
      </w:pPr>
    </w:p>
    <w:p w:rsidR="007F02BC" w:rsidRPr="007F02BC" w:rsidRDefault="007F02BC" w:rsidP="008F7D74">
      <w:pPr>
        <w:pStyle w:val="Tekstpodstawowy"/>
        <w:tabs>
          <w:tab w:val="left" w:pos="134"/>
          <w:tab w:val="left" w:pos="417"/>
        </w:tabs>
        <w:spacing w:after="0" w:line="200" w:lineRule="atLeast"/>
        <w:jc w:val="both"/>
        <w:rPr>
          <w:rFonts w:ascii="Arial" w:hAnsi="Arial" w:cs="Arial"/>
          <w:sz w:val="22"/>
          <w:szCs w:val="22"/>
          <w:lang w:eastAsia="pl-PL" w:bidi="pl-PL"/>
        </w:rPr>
      </w:pPr>
    </w:p>
    <w:p w:rsidR="00796DEF" w:rsidRPr="004416FD" w:rsidRDefault="00796DEF" w:rsidP="00957339">
      <w:pPr>
        <w:ind w:left="5443"/>
        <w:jc w:val="center"/>
        <w:rPr>
          <w:rFonts w:ascii="Arial" w:hAnsi="Arial" w:cs="Arial"/>
          <w:b/>
          <w:sz w:val="20"/>
          <w:lang w:eastAsia="pl-PL" w:bidi="pl-PL"/>
        </w:rPr>
      </w:pP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r w:rsidRPr="00796DEF">
        <w:rPr>
          <w:rFonts w:ascii="Arial" w:hAnsi="Arial" w:cs="Arial"/>
          <w:b/>
          <w:sz w:val="20"/>
          <w:lang w:eastAsia="pl-PL" w:bidi="pl-PL"/>
        </w:rPr>
        <w:tab/>
      </w:r>
    </w:p>
    <w:p w:rsidR="00630949" w:rsidRPr="004416FD" w:rsidRDefault="00630949" w:rsidP="00630949">
      <w:pPr>
        <w:ind w:left="5443"/>
        <w:jc w:val="center"/>
        <w:rPr>
          <w:rFonts w:ascii="Arial" w:hAnsi="Arial" w:cs="Arial"/>
          <w:i/>
          <w:sz w:val="18"/>
          <w:szCs w:val="18"/>
        </w:rPr>
      </w:pPr>
      <w:r w:rsidRPr="004416FD">
        <w:rPr>
          <w:rFonts w:ascii="Arial" w:hAnsi="Arial" w:cs="Arial"/>
          <w:i/>
          <w:sz w:val="18"/>
          <w:szCs w:val="18"/>
          <w:lang w:eastAsia="pl-PL" w:bidi="pl-PL"/>
        </w:rPr>
        <w:t xml:space="preserve">            (-) </w:t>
      </w:r>
      <w:r w:rsidR="00F92206">
        <w:rPr>
          <w:rFonts w:ascii="Arial" w:hAnsi="Arial" w:cs="Arial"/>
          <w:i/>
          <w:sz w:val="18"/>
          <w:szCs w:val="18"/>
          <w:lang w:eastAsia="pl-PL" w:bidi="pl-PL"/>
        </w:rPr>
        <w:t xml:space="preserve">Elżbieta Kowalska </w:t>
      </w:r>
    </w:p>
    <w:p w:rsidR="00630949" w:rsidRPr="004416FD" w:rsidRDefault="00630949" w:rsidP="00630949">
      <w:pPr>
        <w:ind w:left="5443"/>
        <w:jc w:val="center"/>
        <w:rPr>
          <w:rFonts w:ascii="Arial" w:hAnsi="Arial" w:cs="Arial"/>
          <w:i/>
          <w:sz w:val="18"/>
          <w:szCs w:val="18"/>
        </w:rPr>
      </w:pPr>
      <w:r w:rsidRPr="004416FD">
        <w:rPr>
          <w:rFonts w:ascii="Arial" w:hAnsi="Arial" w:cs="Arial"/>
          <w:i/>
          <w:sz w:val="18"/>
          <w:szCs w:val="18"/>
        </w:rPr>
        <w:tab/>
      </w:r>
      <w:r w:rsidRPr="004416FD">
        <w:rPr>
          <w:rFonts w:ascii="Arial" w:hAnsi="Arial" w:cs="Arial"/>
          <w:i/>
          <w:sz w:val="18"/>
          <w:szCs w:val="18"/>
        </w:rPr>
        <w:tab/>
      </w:r>
      <w:r w:rsidR="00F92206">
        <w:rPr>
          <w:rFonts w:ascii="Arial" w:hAnsi="Arial" w:cs="Arial"/>
          <w:i/>
          <w:sz w:val="18"/>
          <w:szCs w:val="18"/>
        </w:rPr>
        <w:t>Z-ca</w:t>
      </w:r>
      <w:bookmarkStart w:id="0" w:name="_GoBack"/>
      <w:bookmarkEnd w:id="0"/>
      <w:r w:rsidR="00F92206">
        <w:rPr>
          <w:rFonts w:ascii="Arial" w:hAnsi="Arial" w:cs="Arial"/>
          <w:i/>
          <w:sz w:val="18"/>
          <w:szCs w:val="18"/>
        </w:rPr>
        <w:t xml:space="preserve"> </w:t>
      </w:r>
      <w:r w:rsidRPr="004416FD">
        <w:rPr>
          <w:rFonts w:ascii="Arial" w:hAnsi="Arial" w:cs="Arial"/>
          <w:i/>
          <w:sz w:val="18"/>
          <w:szCs w:val="18"/>
        </w:rPr>
        <w:t>Dyrektor</w:t>
      </w:r>
      <w:r w:rsidR="00F92206">
        <w:rPr>
          <w:rFonts w:ascii="Arial" w:hAnsi="Arial" w:cs="Arial"/>
          <w:i/>
          <w:sz w:val="18"/>
          <w:szCs w:val="18"/>
        </w:rPr>
        <w:t>a</w:t>
      </w:r>
      <w:r w:rsidRPr="004416FD">
        <w:rPr>
          <w:rFonts w:ascii="Arial" w:hAnsi="Arial" w:cs="Arial"/>
          <w:i/>
          <w:sz w:val="18"/>
          <w:szCs w:val="18"/>
        </w:rPr>
        <w:t xml:space="preserve"> Wydziału Gospodarki Nieruchomościami </w:t>
      </w:r>
    </w:p>
    <w:p w:rsidR="00796DEF" w:rsidRPr="00E57365" w:rsidRDefault="00630949" w:rsidP="00E57365">
      <w:pPr>
        <w:ind w:left="5443"/>
        <w:jc w:val="center"/>
        <w:rPr>
          <w:rFonts w:ascii="Arial" w:eastAsia="Times New Roman" w:hAnsi="Arial" w:cs="Arial"/>
          <w:b/>
          <w:i/>
          <w:kern w:val="1"/>
          <w:sz w:val="18"/>
          <w:szCs w:val="18"/>
        </w:rPr>
      </w:pPr>
      <w:r w:rsidRPr="004416FD">
        <w:rPr>
          <w:rFonts w:ascii="Arial" w:hAnsi="Arial" w:cs="Arial"/>
          <w:i/>
          <w:sz w:val="18"/>
          <w:szCs w:val="18"/>
        </w:rPr>
        <w:tab/>
      </w:r>
      <w:r w:rsidRPr="004416FD">
        <w:rPr>
          <w:rFonts w:ascii="Arial" w:hAnsi="Arial" w:cs="Arial"/>
          <w:i/>
          <w:sz w:val="18"/>
          <w:szCs w:val="18"/>
        </w:rPr>
        <w:tab/>
        <w:t>Urzędu Miasta Torunia</w:t>
      </w:r>
    </w:p>
    <w:sectPr w:rsidR="00796DEF" w:rsidRPr="00E57365" w:rsidSect="005923F6">
      <w:pgSz w:w="16838" w:h="11906" w:orient="landscape"/>
      <w:pgMar w:top="510"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swiss"/>
    <w:pitch w:val="variable"/>
  </w:font>
  <w:font w:name="HG Mincho Light J">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F04C2A0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F1A0AAA"/>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B32B3"/>
    <w:multiLevelType w:val="hybridMultilevel"/>
    <w:tmpl w:val="847C0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92647D"/>
    <w:multiLevelType w:val="hybridMultilevel"/>
    <w:tmpl w:val="DC4C10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BF0001"/>
    <w:multiLevelType w:val="hybridMultilevel"/>
    <w:tmpl w:val="847C0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13D4BB1"/>
    <w:multiLevelType w:val="hybridMultilevel"/>
    <w:tmpl w:val="847C0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4B"/>
    <w:rsid w:val="0000186A"/>
    <w:rsid w:val="00093B7B"/>
    <w:rsid w:val="000A08CF"/>
    <w:rsid w:val="000E0A39"/>
    <w:rsid w:val="00153D4F"/>
    <w:rsid w:val="00192A17"/>
    <w:rsid w:val="001B2922"/>
    <w:rsid w:val="001C59EC"/>
    <w:rsid w:val="001D4C73"/>
    <w:rsid w:val="00232A70"/>
    <w:rsid w:val="0024108D"/>
    <w:rsid w:val="00246414"/>
    <w:rsid w:val="002549DD"/>
    <w:rsid w:val="002630E9"/>
    <w:rsid w:val="00272B8D"/>
    <w:rsid w:val="0028125C"/>
    <w:rsid w:val="002B4426"/>
    <w:rsid w:val="00313669"/>
    <w:rsid w:val="00325D31"/>
    <w:rsid w:val="00331108"/>
    <w:rsid w:val="00344282"/>
    <w:rsid w:val="003B3208"/>
    <w:rsid w:val="003E0ECB"/>
    <w:rsid w:val="003F72C6"/>
    <w:rsid w:val="0041306A"/>
    <w:rsid w:val="00437DBA"/>
    <w:rsid w:val="004416FD"/>
    <w:rsid w:val="00450593"/>
    <w:rsid w:val="004713D0"/>
    <w:rsid w:val="004804A8"/>
    <w:rsid w:val="00482731"/>
    <w:rsid w:val="004B6CC7"/>
    <w:rsid w:val="00525FF9"/>
    <w:rsid w:val="00526033"/>
    <w:rsid w:val="005658C5"/>
    <w:rsid w:val="00594E99"/>
    <w:rsid w:val="00607138"/>
    <w:rsid w:val="00630949"/>
    <w:rsid w:val="006362FB"/>
    <w:rsid w:val="00646ED7"/>
    <w:rsid w:val="006741A8"/>
    <w:rsid w:val="006A2722"/>
    <w:rsid w:val="006B5375"/>
    <w:rsid w:val="006C787D"/>
    <w:rsid w:val="006E405E"/>
    <w:rsid w:val="006E4F33"/>
    <w:rsid w:val="007955FF"/>
    <w:rsid w:val="00796DEF"/>
    <w:rsid w:val="007B5B20"/>
    <w:rsid w:val="007F02BC"/>
    <w:rsid w:val="007F0F85"/>
    <w:rsid w:val="007F3E6E"/>
    <w:rsid w:val="00831807"/>
    <w:rsid w:val="0084401A"/>
    <w:rsid w:val="0085031F"/>
    <w:rsid w:val="0085669E"/>
    <w:rsid w:val="00890F8E"/>
    <w:rsid w:val="008A1B50"/>
    <w:rsid w:val="008C129A"/>
    <w:rsid w:val="008D5055"/>
    <w:rsid w:val="008E3A48"/>
    <w:rsid w:val="008F7D74"/>
    <w:rsid w:val="009162A7"/>
    <w:rsid w:val="009341C9"/>
    <w:rsid w:val="00957339"/>
    <w:rsid w:val="00960BE0"/>
    <w:rsid w:val="00970FC7"/>
    <w:rsid w:val="009713AF"/>
    <w:rsid w:val="009D594D"/>
    <w:rsid w:val="009E2AE0"/>
    <w:rsid w:val="00A954AD"/>
    <w:rsid w:val="00AE3968"/>
    <w:rsid w:val="00AF3EC7"/>
    <w:rsid w:val="00B144D9"/>
    <w:rsid w:val="00B25957"/>
    <w:rsid w:val="00B86BB0"/>
    <w:rsid w:val="00B873ED"/>
    <w:rsid w:val="00BA684B"/>
    <w:rsid w:val="00BA7695"/>
    <w:rsid w:val="00BD4B5A"/>
    <w:rsid w:val="00C27E17"/>
    <w:rsid w:val="00C518F6"/>
    <w:rsid w:val="00CA5445"/>
    <w:rsid w:val="00CC090A"/>
    <w:rsid w:val="00CC1A1A"/>
    <w:rsid w:val="00CE519C"/>
    <w:rsid w:val="00D62737"/>
    <w:rsid w:val="00D730A7"/>
    <w:rsid w:val="00D7532A"/>
    <w:rsid w:val="00E05AF2"/>
    <w:rsid w:val="00E07BB2"/>
    <w:rsid w:val="00E57365"/>
    <w:rsid w:val="00E6540B"/>
    <w:rsid w:val="00EB3889"/>
    <w:rsid w:val="00F3251E"/>
    <w:rsid w:val="00F92206"/>
    <w:rsid w:val="00FA6623"/>
    <w:rsid w:val="00FA761A"/>
    <w:rsid w:val="00FB0588"/>
    <w:rsid w:val="00FD7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DB6E1-F208-4094-9273-82A92329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84B"/>
    <w:pPr>
      <w:widowControl w:val="0"/>
      <w:suppressAutoHyphens/>
      <w:spacing w:line="240" w:lineRule="auto"/>
      <w:jc w:val="left"/>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A684B"/>
    <w:rPr>
      <w:color w:val="000080"/>
      <w:u w:val="single"/>
    </w:rPr>
  </w:style>
  <w:style w:type="paragraph" w:styleId="Tekstpodstawowy">
    <w:name w:val="Body Text"/>
    <w:basedOn w:val="Normalny"/>
    <w:link w:val="TekstpodstawowyZnak"/>
    <w:rsid w:val="00BA684B"/>
    <w:pPr>
      <w:spacing w:after="120"/>
    </w:pPr>
  </w:style>
  <w:style w:type="character" w:customStyle="1" w:styleId="TekstpodstawowyZnak">
    <w:name w:val="Tekst podstawowy Znak"/>
    <w:basedOn w:val="Domylnaczcionkaakapitu"/>
    <w:link w:val="Tekstpodstawowy"/>
    <w:rsid w:val="00BA684B"/>
    <w:rPr>
      <w:rFonts w:ascii="Times New Roman" w:eastAsia="Lucida Sans Unicode" w:hAnsi="Times New Roman" w:cs="Times New Roman"/>
      <w:sz w:val="24"/>
      <w:szCs w:val="20"/>
    </w:rPr>
  </w:style>
  <w:style w:type="paragraph" w:customStyle="1" w:styleId="WW-Tytu">
    <w:name w:val="WW-Tytuł"/>
    <w:basedOn w:val="Normalny"/>
    <w:next w:val="Tekstpodstawowy"/>
    <w:rsid w:val="00BA684B"/>
    <w:pPr>
      <w:keepNext/>
      <w:spacing w:before="240" w:after="120"/>
    </w:pPr>
    <w:rPr>
      <w:rFonts w:ascii="Albany" w:eastAsia="HG Mincho Light J" w:hAnsi="Albany" w:cs="Albany"/>
      <w:sz w:val="28"/>
    </w:rPr>
  </w:style>
  <w:style w:type="paragraph" w:styleId="Akapitzlist">
    <w:name w:val="List Paragraph"/>
    <w:basedOn w:val="Normalny"/>
    <w:uiPriority w:val="34"/>
    <w:qFormat/>
    <w:rsid w:val="00232A70"/>
    <w:pPr>
      <w:ind w:left="720"/>
      <w:contextualSpacing/>
    </w:pPr>
  </w:style>
  <w:style w:type="paragraph" w:styleId="Tekstdymka">
    <w:name w:val="Balloon Text"/>
    <w:basedOn w:val="Normalny"/>
    <w:link w:val="TekstdymkaZnak"/>
    <w:uiPriority w:val="99"/>
    <w:semiHidden/>
    <w:unhideWhenUsed/>
    <w:rsid w:val="00607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138"/>
    <w:rPr>
      <w:rFonts w:ascii="Segoe UI" w:eastAsia="Lucida Sans Unicode" w:hAnsi="Segoe UI" w:cs="Segoe UI"/>
      <w:sz w:val="18"/>
      <w:szCs w:val="18"/>
    </w:rPr>
  </w:style>
  <w:style w:type="character" w:customStyle="1" w:styleId="Absatz-Standardschriftart">
    <w:name w:val="Absatz-Standardschriftart"/>
    <w:rsid w:val="007B5B20"/>
  </w:style>
  <w:style w:type="paragraph" w:customStyle="1" w:styleId="Zawartotabeli">
    <w:name w:val="Zawartość tabeli"/>
    <w:basedOn w:val="Tekstpodstawowy"/>
    <w:rsid w:val="00890F8E"/>
    <w:pPr>
      <w:widowControl/>
      <w:suppressLineNumbers/>
      <w:spacing w:after="0" w:line="360" w:lineRule="auto"/>
      <w:jc w:val="center"/>
    </w:pPr>
    <w:rPr>
      <w:rFonts w:eastAsia="Times New Roman"/>
      <w:b/>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torun.pl/" TargetMode="External"/><Relationship Id="rId3" Type="http://schemas.openxmlformats.org/officeDocument/2006/relationships/settings" Target="settings.xml"/><Relationship Id="rId7" Type="http://schemas.openxmlformats.org/officeDocument/2006/relationships/hyperlink" Target="mailto:wgn@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torun.pl/" TargetMode="External"/><Relationship Id="rId5" Type="http://schemas.openxmlformats.org/officeDocument/2006/relationships/hyperlink" Target="http://www.bip.toru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914</Words>
  <Characters>5485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k.wesolowska</dc:creator>
  <cp:lastModifiedBy>Katarzyna Wesołowska</cp:lastModifiedBy>
  <cp:revision>8</cp:revision>
  <cp:lastPrinted>2023-09-11T07:06:00Z</cp:lastPrinted>
  <dcterms:created xsi:type="dcterms:W3CDTF">2023-08-25T11:05:00Z</dcterms:created>
  <dcterms:modified xsi:type="dcterms:W3CDTF">2023-09-13T10:51:00Z</dcterms:modified>
</cp:coreProperties>
</file>