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6E32" w14:textId="77777777" w:rsidR="00747236" w:rsidRDefault="00FF7260">
      <w:pPr>
        <w:pStyle w:val="Tekstpodstawowy"/>
        <w:jc w:val="center"/>
      </w:pPr>
      <w:r>
        <w:t>Zarządzenie Nr MZD.DO.120.1.5</w:t>
      </w:r>
      <w:r w:rsidR="005B5681">
        <w:t>7</w:t>
      </w:r>
      <w:r>
        <w:t>.20</w:t>
      </w:r>
      <w:r w:rsidR="005B5681">
        <w:t>23</w:t>
      </w:r>
      <w:r>
        <w:br/>
        <w:t>Dyrektora Miejskiego Zarządu Dróg w Toruniu</w:t>
      </w:r>
      <w:r>
        <w:br/>
        <w:t xml:space="preserve">z dnia </w:t>
      </w:r>
      <w:r w:rsidR="005B5681">
        <w:t>10</w:t>
      </w:r>
      <w:r>
        <w:t>.0</w:t>
      </w:r>
      <w:r w:rsidR="005B5681">
        <w:t>8</w:t>
      </w:r>
      <w:r>
        <w:t>.20</w:t>
      </w:r>
      <w:r w:rsidR="005B5681">
        <w:t>23</w:t>
      </w:r>
      <w:r>
        <w:t xml:space="preserve"> r.</w:t>
      </w:r>
    </w:p>
    <w:p w14:paraId="34246741" w14:textId="77777777" w:rsidR="00747236" w:rsidRDefault="00FF7260">
      <w:pPr>
        <w:pStyle w:val="Tekstpodstawowy"/>
        <w:spacing w:after="440"/>
        <w:jc w:val="center"/>
      </w:pPr>
      <w:r>
        <w:t>w sprawie ustalenia zasad i procedur umieszczania materiałów wyborczych w pasie dróg</w:t>
      </w:r>
      <w:r>
        <w:br/>
        <w:t>publicznych na terenie miasta Torunia</w:t>
      </w:r>
    </w:p>
    <w:p w14:paraId="739A0273" w14:textId="77777777" w:rsidR="00747236" w:rsidRDefault="00FF7260">
      <w:pPr>
        <w:pStyle w:val="Tekstpodstawowy"/>
        <w:spacing w:after="80" w:line="240" w:lineRule="auto"/>
        <w:jc w:val="center"/>
      </w:pPr>
      <w:r>
        <w:t>§1</w:t>
      </w:r>
    </w:p>
    <w:p w14:paraId="765CEDCF" w14:textId="77777777" w:rsidR="00747236" w:rsidRDefault="00FF7260">
      <w:pPr>
        <w:pStyle w:val="Tekstpodstawowy"/>
        <w:ind w:firstLine="720"/>
        <w:jc w:val="both"/>
      </w:pPr>
      <w:r>
        <w:t>Na umieszczenie plakatów wyborczych w pasie drogowym dróg publicznych w mieście Toruniu należy przed zaplanowanym zajęciem pasa drogowego uzyskać zezwolenie zarządcy drogi poprzez Miejski Zarząd Dróg w Toruniu.</w:t>
      </w:r>
    </w:p>
    <w:p w14:paraId="661C1E1A" w14:textId="77777777" w:rsidR="00747236" w:rsidRDefault="00FF7260" w:rsidP="00EE73AB">
      <w:pPr>
        <w:pStyle w:val="Tekstpodstawowy"/>
        <w:ind w:firstLine="720"/>
        <w:jc w:val="both"/>
      </w:pPr>
      <w:r>
        <w:t>W celu uzyskania zezwolenia należy złożyć w siedzibie MZD wniosek o zajęcie pasa drogowego pod reklamę wraz z planem sytuacyjnym w skali 1:500 lub 1:1000 z wrysowanym miejscem jej umieszczenie. Dodatkowo należy załączyć projekt nośnika. Wnioski muszą być podpisane przez osobę uprawnioną do reprezentacji wnioskodawcy, a w przypadku pełnomocników wymagana jest opłata skarbowa w wysokości 17 zł płatne na konto</w:t>
      </w:r>
      <w:r w:rsidR="00EE73AB">
        <w:t xml:space="preserve"> bankowe</w:t>
      </w:r>
      <w:r>
        <w:t xml:space="preserve"> UMT nr 37 1160 2202 0000 0000 8344 0799 tytułem ”od pełnomocnictwa do wniosku o zajęcie pasa drogowego". Wnioski będą rozpatrywane wg kolejności ich składania, a zgodnie z Kodeksem Postępowania Administracyjnego termin ich rozpatrzenia jest określony na "bez zbędnej zwłoki" nie później niż w terminie miesiąca od dnia wszczęcia postępowania.</w:t>
      </w:r>
    </w:p>
    <w:p w14:paraId="5FBBA7AE" w14:textId="77777777" w:rsidR="00EE73AB" w:rsidRDefault="00EE73AB" w:rsidP="00EE73AB">
      <w:pPr>
        <w:pStyle w:val="Tekstpodstawowy"/>
        <w:ind w:firstLine="720"/>
        <w:jc w:val="both"/>
      </w:pPr>
      <w:r>
        <w:t xml:space="preserve">Wysokość opłaty reguluje </w:t>
      </w:r>
      <w:r w:rsidRPr="00EE73AB">
        <w:t>UCHWAŁA NR 496/20 RADY MIASTA TORUNIA z dnia 22 października 2020 r. w sprawie ustalenia dla dróg publicznych wysokości stawek opłat za zajęcie 1 m² pasa drogowego w mieście Toruniu</w:t>
      </w:r>
      <w:r>
        <w:t>:</w:t>
      </w:r>
    </w:p>
    <w:p w14:paraId="3D1CAF0E" w14:textId="33DA0E81" w:rsidR="00EE73AB" w:rsidRDefault="00EE73AB" w:rsidP="00EE73AB">
      <w:pPr>
        <w:pStyle w:val="Tekstpodstawowy"/>
        <w:ind w:firstLine="720"/>
        <w:jc w:val="both"/>
      </w:pPr>
      <w:r>
        <w:t>-</w:t>
      </w:r>
      <w:r w:rsidRPr="00EE73AB">
        <w:t xml:space="preserve"> 1,00 zł</w:t>
      </w:r>
      <w:r>
        <w:t xml:space="preserve"> m</w:t>
      </w:r>
      <w:r w:rsidRPr="00EE73AB">
        <w:rPr>
          <w:vertAlign w:val="superscript"/>
        </w:rPr>
        <w:t>2</w:t>
      </w:r>
      <w:r>
        <w:t>/dziennie powierzchni reklamy:</w:t>
      </w:r>
      <w:r w:rsidRPr="00EE73AB">
        <w:t xml:space="preserve"> </w:t>
      </w:r>
      <w:r>
        <w:t>u</w:t>
      </w:r>
      <w:r w:rsidRPr="00EE73AB">
        <w:t>lice Zespołu Staromiejskiego (z</w:t>
      </w:r>
      <w:r w:rsidR="00725F85">
        <w:t> </w:t>
      </w:r>
      <w:r w:rsidRPr="00EE73AB">
        <w:t xml:space="preserve">wyłączeniem dróg wewnętrznych / Zespół Staromiejski </w:t>
      </w:r>
      <w:r w:rsidR="00FF7260">
        <w:t xml:space="preserve">to teren </w:t>
      </w:r>
      <w:r w:rsidRPr="00EE73AB">
        <w:t>ograniczony następującymi ulicami: al. św. Jana Pawła II, Wały gen. Sikorskiego, Szumana, plac św. Katarzyny (południowa jezdnia), Wola Zamkowa, Bulwar Filadelfijski (łącznie z wymienionymi ulicami))</w:t>
      </w:r>
      <w:r>
        <w:t>;</w:t>
      </w:r>
    </w:p>
    <w:p w14:paraId="107474B2" w14:textId="77777777" w:rsidR="00EE73AB" w:rsidRDefault="00EE73AB" w:rsidP="00EE73AB">
      <w:pPr>
        <w:pStyle w:val="Tekstpodstawowy"/>
        <w:ind w:firstLine="720"/>
        <w:jc w:val="both"/>
      </w:pPr>
      <w:r>
        <w:t xml:space="preserve">- </w:t>
      </w:r>
      <w:r w:rsidRPr="00EE73AB">
        <w:t xml:space="preserve">0,50 zł </w:t>
      </w:r>
      <w:r>
        <w:t>m</w:t>
      </w:r>
      <w:r w:rsidRPr="00EE73AB">
        <w:rPr>
          <w:vertAlign w:val="superscript"/>
        </w:rPr>
        <w:t>2</w:t>
      </w:r>
      <w:r>
        <w:t>/dziennie powierzchni reklamy: p</w:t>
      </w:r>
      <w:r w:rsidRPr="00EE73AB">
        <w:t>ozostałe ulice</w:t>
      </w:r>
      <w:r>
        <w:t>.</w:t>
      </w:r>
    </w:p>
    <w:p w14:paraId="5EAD8483" w14:textId="77777777" w:rsidR="00747236" w:rsidRDefault="00FF7260">
      <w:pPr>
        <w:pStyle w:val="Tekstpodstawowy"/>
        <w:jc w:val="center"/>
      </w:pPr>
      <w:r>
        <w:t>§2</w:t>
      </w:r>
    </w:p>
    <w:p w14:paraId="41C18A1B" w14:textId="77777777" w:rsidR="00747236" w:rsidRDefault="00FF7260">
      <w:pPr>
        <w:pStyle w:val="Tekstpodstawowy"/>
        <w:ind w:firstLine="700"/>
        <w:jc w:val="both"/>
      </w:pPr>
      <w:r>
        <w:t>Dla ekspozycji materiałów wyborczych zaleca się słupy oświetlenia ulicznego:</w:t>
      </w:r>
    </w:p>
    <w:p w14:paraId="38DBF298" w14:textId="77777777" w:rsidR="00747236" w:rsidRDefault="00FF7260">
      <w:pPr>
        <w:pStyle w:val="Tekstpodstawowy"/>
      </w:pPr>
      <w:r>
        <w:t>z wyłączeniem słupów:</w:t>
      </w:r>
    </w:p>
    <w:p w14:paraId="68F68151" w14:textId="77777777" w:rsidR="00747236" w:rsidRDefault="00FF7260">
      <w:pPr>
        <w:pStyle w:val="Tekstpodstawowy"/>
        <w:numPr>
          <w:ilvl w:val="0"/>
          <w:numId w:val="1"/>
        </w:numPr>
        <w:tabs>
          <w:tab w:val="left" w:pos="336"/>
        </w:tabs>
      </w:pPr>
      <w:bookmarkStart w:id="0" w:name="bookmark0"/>
      <w:bookmarkEnd w:id="0"/>
      <w:r>
        <w:t>oświetleniowych, na których znajdują się znaki drogowe,</w:t>
      </w:r>
    </w:p>
    <w:p w14:paraId="53CBE0EF" w14:textId="77777777" w:rsidR="00747236" w:rsidRDefault="00FF7260">
      <w:pPr>
        <w:pStyle w:val="Tekstpodstawowy"/>
        <w:numPr>
          <w:ilvl w:val="0"/>
          <w:numId w:val="1"/>
        </w:numPr>
        <w:tabs>
          <w:tab w:val="left" w:pos="358"/>
        </w:tabs>
        <w:jc w:val="both"/>
      </w:pPr>
      <w:bookmarkStart w:id="1" w:name="bookmark1"/>
      <w:bookmarkEnd w:id="1"/>
      <w:r>
        <w:t>w bezpośrednim obszarze skrzyżowań, przejść dla pieszych oraz w odległości mniejszej niż 10 m od tych miejsc w przypadku nie zachowania trójkątów widoczności,</w:t>
      </w:r>
    </w:p>
    <w:p w14:paraId="4F8108DD" w14:textId="77777777" w:rsidR="00747236" w:rsidRDefault="00FF7260">
      <w:pPr>
        <w:pStyle w:val="Tekstpodstawowy"/>
        <w:numPr>
          <w:ilvl w:val="0"/>
          <w:numId w:val="1"/>
        </w:numPr>
        <w:tabs>
          <w:tab w:val="left" w:pos="365"/>
        </w:tabs>
        <w:jc w:val="both"/>
      </w:pPr>
      <w:bookmarkStart w:id="2" w:name="bookmark2"/>
      <w:bookmarkEnd w:id="2"/>
      <w:r>
        <w:t xml:space="preserve">na terenach zabytkowych, na które wnioskodawca nie uzyskał zezwolenia Miejskiego </w:t>
      </w:r>
      <w:r>
        <w:lastRenderedPageBreak/>
        <w:t>Konserwatora Zabytków w Toruniu;</w:t>
      </w:r>
    </w:p>
    <w:p w14:paraId="243DF089" w14:textId="77777777" w:rsidR="00747236" w:rsidRDefault="00FF7260">
      <w:pPr>
        <w:pStyle w:val="Tekstpodstawowy"/>
        <w:jc w:val="both"/>
      </w:pPr>
      <w:r>
        <w:t>z zachowaniem:</w:t>
      </w:r>
    </w:p>
    <w:p w14:paraId="774180F9" w14:textId="77777777" w:rsidR="00747236" w:rsidRDefault="00FF7260">
      <w:pPr>
        <w:pStyle w:val="Tekstpodstawowy"/>
        <w:numPr>
          <w:ilvl w:val="0"/>
          <w:numId w:val="2"/>
        </w:numPr>
        <w:tabs>
          <w:tab w:val="left" w:pos="350"/>
        </w:tabs>
        <w:jc w:val="both"/>
      </w:pPr>
      <w:bookmarkStart w:id="3" w:name="bookmark3"/>
      <w:bookmarkEnd w:id="3"/>
      <w:r>
        <w:t>skrajni poziomej: co najmniej 0,50 m od krawężnika ograniczającego jezdnię, chodnik lub ścieżkę rowerową, mierzonej w rzucie pionowym najdalej wysuniętej krawędzi plakatu,</w:t>
      </w:r>
    </w:p>
    <w:p w14:paraId="26FDBC0E" w14:textId="77777777" w:rsidR="00747236" w:rsidRDefault="00FF7260">
      <w:pPr>
        <w:pStyle w:val="Tekstpodstawowy"/>
        <w:numPr>
          <w:ilvl w:val="0"/>
          <w:numId w:val="2"/>
        </w:numPr>
        <w:tabs>
          <w:tab w:val="left" w:pos="358"/>
        </w:tabs>
        <w:jc w:val="both"/>
      </w:pPr>
      <w:bookmarkStart w:id="4" w:name="bookmark4"/>
      <w:bookmarkEnd w:id="4"/>
      <w:r>
        <w:t>skrajni pionowej: tj. dolna krawędź plakatu winna znajdować się 2,2 m od poziomu chodnika, ścieżki rowerowej, a w przypadku jezdni ponad 5m od powierzchni ulicy,</w:t>
      </w:r>
    </w:p>
    <w:p w14:paraId="6F2438A1" w14:textId="77777777" w:rsidR="00747236" w:rsidRDefault="00FF7260">
      <w:pPr>
        <w:pStyle w:val="Tekstpodstawowy"/>
        <w:numPr>
          <w:ilvl w:val="0"/>
          <w:numId w:val="2"/>
        </w:numPr>
        <w:tabs>
          <w:tab w:val="left" w:pos="358"/>
        </w:tabs>
        <w:spacing w:after="160"/>
        <w:jc w:val="both"/>
      </w:pPr>
      <w:bookmarkStart w:id="5" w:name="bookmark5"/>
      <w:bookmarkEnd w:id="5"/>
      <w:r>
        <w:t>trójkąta widoczności skrzyżowań lub/i przejść dla pieszych i rowerzystów liczonego na wysokości 1-1,2m.</w:t>
      </w:r>
    </w:p>
    <w:p w14:paraId="5B9D66A2" w14:textId="77777777" w:rsidR="00747236" w:rsidRDefault="00FF7260">
      <w:pPr>
        <w:pStyle w:val="Tekstpodstawowy"/>
        <w:jc w:val="center"/>
      </w:pPr>
      <w:r>
        <w:t>§3</w:t>
      </w:r>
    </w:p>
    <w:p w14:paraId="40772F4A" w14:textId="77777777" w:rsidR="00747236" w:rsidRDefault="00FF7260">
      <w:pPr>
        <w:pStyle w:val="Tekstpodstawowy"/>
        <w:jc w:val="both"/>
      </w:pPr>
      <w:r>
        <w:t>Mocowanie plakatów powinno być dwustronne, stabilne, trwałe i nie może powodować uszkodzenia powierzchni słupa (zaleca się używanie plastikowych opasek).</w:t>
      </w:r>
    </w:p>
    <w:p w14:paraId="375E0CF0" w14:textId="5DD0863F" w:rsidR="00747236" w:rsidRDefault="00FF7260">
      <w:pPr>
        <w:pStyle w:val="Tekstpodstawowy"/>
        <w:jc w:val="both"/>
      </w:pPr>
      <w:r>
        <w:t xml:space="preserve">Dla słupów oświetleniowych, które znajdują się poza skrajnią drogową, np. na placach lub terenach zielonych wymaga się, aby umieszczać plakaty minimum </w:t>
      </w:r>
      <w:r w:rsidR="00F57906">
        <w:t>2</w:t>
      </w:r>
      <w:r>
        <w:t>,2 m od poziomu gruntu i</w:t>
      </w:r>
      <w:r w:rsidR="00725F85">
        <w:t> </w:t>
      </w:r>
      <w:r>
        <w:t>nie wyżej niż 3 m od poziomu gruntu.</w:t>
      </w:r>
    </w:p>
    <w:p w14:paraId="2E2331F9" w14:textId="77777777" w:rsidR="00747236" w:rsidRDefault="00FF7260">
      <w:pPr>
        <w:pStyle w:val="Tekstpodstawowy"/>
        <w:jc w:val="center"/>
      </w:pPr>
      <w:r>
        <w:t>§4</w:t>
      </w:r>
    </w:p>
    <w:p w14:paraId="1740EEAF" w14:textId="59FB45AD" w:rsidR="00747236" w:rsidRDefault="00FF7260">
      <w:pPr>
        <w:pStyle w:val="Tekstpodstawowy"/>
        <w:spacing w:after="420"/>
        <w:ind w:firstLine="700"/>
        <w:jc w:val="both"/>
      </w:pPr>
      <w:r>
        <w:t>Dla ekspozycji innych niż na słupach oświetlenia ulicznego, należy stosować w/w zasadę jak przy uzyskaniu zezwolenia na zajęcie pasa drogowego pod reklamę.</w:t>
      </w:r>
      <w:r w:rsidR="00EE73AB">
        <w:t xml:space="preserve"> Procedura (oraz wzór wniosku) jest opublikowana w Biuletynie Informacji Publicznej Miejskiego Zarządu Dróg w</w:t>
      </w:r>
      <w:r w:rsidR="00725F85">
        <w:t> </w:t>
      </w:r>
      <w:r w:rsidR="00EE73AB">
        <w:t xml:space="preserve">Toruniu pod adresem </w:t>
      </w:r>
      <w:hyperlink r:id="rId8" w:history="1">
        <w:r w:rsidR="00EE73AB" w:rsidRPr="004E77E6">
          <w:rPr>
            <w:rStyle w:val="Hipercze"/>
          </w:rPr>
          <w:t>https://bip.mzd.torun.pl/artykul/25/26/zajecie-pasa-drogowego-pod-reklame</w:t>
        </w:r>
      </w:hyperlink>
      <w:r w:rsidR="00EE73AB">
        <w:t xml:space="preserve"> .</w:t>
      </w:r>
    </w:p>
    <w:p w14:paraId="31115F28" w14:textId="77777777" w:rsidR="00747236" w:rsidRDefault="00FF7260">
      <w:pPr>
        <w:pStyle w:val="Tekstpodstawowy"/>
        <w:jc w:val="center"/>
      </w:pPr>
      <w:r>
        <w:t>§5</w:t>
      </w:r>
    </w:p>
    <w:p w14:paraId="027C4220" w14:textId="77777777" w:rsidR="00747236" w:rsidRDefault="00FF7260">
      <w:pPr>
        <w:pStyle w:val="Tekstpodstawowy"/>
        <w:jc w:val="both"/>
      </w:pPr>
      <w:r>
        <w:t>Ponadto zabrania się umieszczania materiałów wyborczych:</w:t>
      </w:r>
    </w:p>
    <w:p w14:paraId="740168C3" w14:textId="77777777" w:rsidR="00747236" w:rsidRDefault="00FF7260">
      <w:pPr>
        <w:pStyle w:val="Tekstpodstawowy"/>
        <w:numPr>
          <w:ilvl w:val="0"/>
          <w:numId w:val="3"/>
        </w:numPr>
        <w:tabs>
          <w:tab w:val="left" w:pos="718"/>
        </w:tabs>
        <w:ind w:left="700" w:hanging="340"/>
        <w:jc w:val="both"/>
      </w:pPr>
      <w:bookmarkStart w:id="6" w:name="bookmark6"/>
      <w:bookmarkEnd w:id="6"/>
      <w:r>
        <w:t>w bezpośrednim obszarze skrzyżowań, przejść dla pieszych bez zachowania skrajni drogowych i trójkąta widoczności;</w:t>
      </w:r>
    </w:p>
    <w:p w14:paraId="751D084F" w14:textId="77777777" w:rsidR="00747236" w:rsidRDefault="00FF7260">
      <w:pPr>
        <w:pStyle w:val="Tekstpodstawowy"/>
        <w:numPr>
          <w:ilvl w:val="0"/>
          <w:numId w:val="3"/>
        </w:numPr>
        <w:tabs>
          <w:tab w:val="left" w:pos="727"/>
        </w:tabs>
        <w:ind w:firstLine="340"/>
        <w:jc w:val="both"/>
      </w:pPr>
      <w:bookmarkStart w:id="7" w:name="bookmark7"/>
      <w:bookmarkEnd w:id="7"/>
      <w:r w:rsidRPr="00F57906">
        <w:rPr>
          <w:iCs/>
        </w:rPr>
        <w:t>na</w:t>
      </w:r>
      <w:r>
        <w:t xml:space="preserve"> znakach drogowych i w ich tle;</w:t>
      </w:r>
    </w:p>
    <w:p w14:paraId="75D4BF33" w14:textId="77777777" w:rsidR="00747236" w:rsidRDefault="00FF7260">
      <w:pPr>
        <w:pStyle w:val="Tekstpodstawowy"/>
        <w:numPr>
          <w:ilvl w:val="0"/>
          <w:numId w:val="3"/>
        </w:numPr>
        <w:tabs>
          <w:tab w:val="left" w:pos="727"/>
        </w:tabs>
        <w:ind w:firstLine="340"/>
        <w:jc w:val="both"/>
      </w:pPr>
      <w:bookmarkStart w:id="8" w:name="bookmark8"/>
      <w:bookmarkEnd w:id="8"/>
      <w:r>
        <w:t>na słupkach i masztach sygnalizacji świetlnej;</w:t>
      </w:r>
    </w:p>
    <w:p w14:paraId="7DB7F525" w14:textId="77777777" w:rsidR="00747236" w:rsidRDefault="00FF7260">
      <w:pPr>
        <w:pStyle w:val="Tekstpodstawowy"/>
        <w:numPr>
          <w:ilvl w:val="0"/>
          <w:numId w:val="3"/>
        </w:numPr>
        <w:tabs>
          <w:tab w:val="left" w:pos="727"/>
        </w:tabs>
        <w:ind w:firstLine="340"/>
        <w:jc w:val="both"/>
      </w:pPr>
      <w:bookmarkStart w:id="9" w:name="bookmark9"/>
      <w:bookmarkEnd w:id="9"/>
      <w:r>
        <w:t>na kratownicach i bramownicach;</w:t>
      </w:r>
    </w:p>
    <w:p w14:paraId="154482C2" w14:textId="77777777" w:rsidR="00747236" w:rsidRDefault="00FF7260">
      <w:pPr>
        <w:pStyle w:val="Tekstpodstawowy"/>
        <w:numPr>
          <w:ilvl w:val="0"/>
          <w:numId w:val="3"/>
        </w:numPr>
        <w:tabs>
          <w:tab w:val="left" w:pos="727"/>
        </w:tabs>
        <w:ind w:firstLine="340"/>
        <w:jc w:val="both"/>
      </w:pPr>
      <w:bookmarkStart w:id="10" w:name="bookmark10"/>
      <w:bookmarkEnd w:id="10"/>
      <w:r>
        <w:t>na barierach i płotkach ochronnych;</w:t>
      </w:r>
    </w:p>
    <w:p w14:paraId="0058F8C3" w14:textId="77777777" w:rsidR="00747236" w:rsidRDefault="00FF7260">
      <w:pPr>
        <w:pStyle w:val="Tekstpodstawowy"/>
        <w:numPr>
          <w:ilvl w:val="0"/>
          <w:numId w:val="3"/>
        </w:numPr>
        <w:tabs>
          <w:tab w:val="left" w:pos="747"/>
        </w:tabs>
        <w:spacing w:after="420"/>
        <w:ind w:left="700" w:hanging="340"/>
        <w:jc w:val="both"/>
      </w:pPr>
      <w:bookmarkStart w:id="11" w:name="bookmark11"/>
      <w:bookmarkEnd w:id="11"/>
      <w:r>
        <w:t xml:space="preserve">na obiektach inżynieryjnych związanych z zarządzeniem drogami, tj. np. mosty, kładki, estakady, wiadukty, wiaty przystankowe komunikacji miejskiej (z wyłączeniem gablot informacyjno-reklamowych), szafy oświetlenia drogowego, złączy energetycznych oraz sterowników sygnalizacji świetlnej, </w:t>
      </w:r>
      <w:r w:rsidR="00F57906">
        <w:t xml:space="preserve">ekranów akustycznych, </w:t>
      </w:r>
      <w:r>
        <w:t>itp.;</w:t>
      </w:r>
    </w:p>
    <w:p w14:paraId="704C11BA" w14:textId="77777777" w:rsidR="00747236" w:rsidRDefault="00FF7260">
      <w:pPr>
        <w:pStyle w:val="Tekstpodstawowy"/>
        <w:jc w:val="center"/>
      </w:pPr>
      <w:r>
        <w:lastRenderedPageBreak/>
        <w:t>§6</w:t>
      </w:r>
    </w:p>
    <w:p w14:paraId="3150F1F3" w14:textId="77777777" w:rsidR="00747236" w:rsidRDefault="00FF7260">
      <w:pPr>
        <w:pStyle w:val="Tekstpodstawowy"/>
        <w:jc w:val="both"/>
      </w:pPr>
      <w:r>
        <w:t>Dodatkowo informuje się, że:</w:t>
      </w:r>
    </w:p>
    <w:p w14:paraId="095ED65D" w14:textId="77777777" w:rsidR="00747236" w:rsidRDefault="00FF7260">
      <w:pPr>
        <w:pStyle w:val="Tekstpodstawowy"/>
        <w:numPr>
          <w:ilvl w:val="0"/>
          <w:numId w:val="4"/>
        </w:numPr>
        <w:tabs>
          <w:tab w:val="left" w:pos="734"/>
        </w:tabs>
        <w:ind w:left="340" w:firstLine="20"/>
        <w:jc w:val="both"/>
      </w:pPr>
      <w:bookmarkStart w:id="12" w:name="bookmark12"/>
      <w:bookmarkEnd w:id="12"/>
      <w:r>
        <w:t>W przypadku nie przestrzegania wymienionych w zarządzeniu zasad bezpieczeństwa ruchu drogowego, materiały wyborcze będą usunięte na koszt komitetu wyborczego zgodnie z art. 110 § 5 Kodeksu Wyborczego przez Policję lub Straż Miejską w Toruniu.</w:t>
      </w:r>
    </w:p>
    <w:p w14:paraId="16527485" w14:textId="77777777" w:rsidR="00747236" w:rsidRDefault="00FF7260">
      <w:pPr>
        <w:pStyle w:val="Tekstpodstawowy"/>
        <w:numPr>
          <w:ilvl w:val="0"/>
          <w:numId w:val="4"/>
        </w:numPr>
        <w:tabs>
          <w:tab w:val="left" w:pos="799"/>
        </w:tabs>
        <w:spacing w:after="820"/>
        <w:ind w:left="340" w:firstLine="20"/>
        <w:jc w:val="both"/>
      </w:pPr>
      <w:bookmarkStart w:id="13" w:name="bookmark13"/>
      <w:bookmarkEnd w:id="13"/>
      <w:r>
        <w:t xml:space="preserve">Zgodnie z art. 110 § 6 Kodeksu Wyborczego plakaty i hasła wyborcze oraz urządzenia ogłoszeniowe ustawione w celu prowadzenia agitacji wyborczej pełnomocnicy wyborczy obowiązani są usunąć w terminie 30 dni po dniu wyborów - </w:t>
      </w:r>
      <w:r w:rsidRPr="00DE762C">
        <w:rPr>
          <w:b/>
          <w:u w:val="single"/>
        </w:rPr>
        <w:t>dotyczy to tylko bezpłatnych miejsc</w:t>
      </w:r>
      <w:r>
        <w:t xml:space="preserve"> z wykazu określonego w Informacji Prezydenta Miasta Torunia w sprawie wskazania miejsc przeznaczonych na bezpłatne umieszczanie plakatów komitetów wyborczych na obszarze miasta Torunia. Pozostałe materiały wyborcze, na które wydano zezwolenie na zajęcie pasa drogowego, należy usunąć zgodnie z terminem określonym w przedmiotowym zezwoleniu. W przeciwnym wypadku, zgodnie z art. 40 ust. 12 pkt 2 ustawy o drogach publicznych, zostanie naliczona kara finansowa w wysokości 10- krotności stawek zasadniczych.</w:t>
      </w:r>
    </w:p>
    <w:p w14:paraId="744CD7C6" w14:textId="77777777" w:rsidR="00747236" w:rsidRDefault="00FF7260">
      <w:pPr>
        <w:pStyle w:val="Tekstpodstawowy"/>
        <w:spacing w:after="820"/>
        <w:jc w:val="both"/>
      </w:pPr>
      <w:r>
        <w:t>Zarządzenie Nr MZD.DO. 120.1.</w:t>
      </w:r>
      <w:r w:rsidR="00F57906">
        <w:t>59</w:t>
      </w:r>
      <w:r>
        <w:t xml:space="preserve">.2019 Dyrektora Miejskiego Zarządu Dróg w Toruniu z dnia </w:t>
      </w:r>
      <w:r w:rsidR="00F57906">
        <w:t>06</w:t>
      </w:r>
      <w:r>
        <w:t>.0</w:t>
      </w:r>
      <w:r w:rsidR="00F57906">
        <w:t>5</w:t>
      </w:r>
      <w:r>
        <w:t xml:space="preserve">.2019 r. w sprawie ustalenia zasad i procedur umieszczania materiałów wyborczych w pasie dróg publicznych na terenie miasta Torunia, traci moc z dniem </w:t>
      </w:r>
      <w:r w:rsidR="00F57906">
        <w:t>9</w:t>
      </w:r>
      <w:r>
        <w:t xml:space="preserve"> </w:t>
      </w:r>
      <w:r w:rsidR="00F57906">
        <w:t>sierpnia</w:t>
      </w:r>
      <w:r>
        <w:t xml:space="preserve"> 20</w:t>
      </w:r>
      <w:r w:rsidR="00F57906">
        <w:t>23</w:t>
      </w:r>
      <w:r>
        <w:t xml:space="preserve"> r..</w:t>
      </w:r>
    </w:p>
    <w:p w14:paraId="478AA2D6" w14:textId="064E7363" w:rsidR="002C0607" w:rsidRDefault="00FF7260">
      <w:pPr>
        <w:pStyle w:val="Tekstpodstawowy"/>
        <w:spacing w:after="1380"/>
        <w:jc w:val="both"/>
      </w:pPr>
      <w:r>
        <w:t>Zarządzenie Nr MZD.DO.120.1.5</w:t>
      </w:r>
      <w:r w:rsidR="00F57906">
        <w:t>7</w:t>
      </w:r>
      <w:r>
        <w:t>.20</w:t>
      </w:r>
      <w:r w:rsidR="00F57906">
        <w:t>23</w:t>
      </w:r>
      <w:r>
        <w:t xml:space="preserve"> Dyrektora Miejskiego Zarządu Dróg w Toruniu z dnia </w:t>
      </w:r>
      <w:r w:rsidR="00F57906">
        <w:t>10</w:t>
      </w:r>
      <w:r>
        <w:t>.0</w:t>
      </w:r>
      <w:r w:rsidR="00F57906">
        <w:t>8</w:t>
      </w:r>
      <w:r>
        <w:t>.20</w:t>
      </w:r>
      <w:r w:rsidR="00F57906">
        <w:t>23</w:t>
      </w:r>
      <w:r>
        <w:t xml:space="preserve"> r. w sprawie ustalenia zasad i procedur umieszczania materiałów wyborczych w pasie dróg publicznych na terenie miasta Torunia, wchodzi w życie z dniem podpisania.</w:t>
      </w:r>
    </w:p>
    <w:p w14:paraId="3F9AFE2B" w14:textId="17ACE8D9" w:rsidR="00747236" w:rsidRPr="00725F85" w:rsidRDefault="002C0607" w:rsidP="00725F85">
      <w:pPr>
        <w:pStyle w:val="Tekstpodstawowy"/>
        <w:spacing w:after="1380"/>
        <w:jc w:val="both"/>
        <w:rPr>
          <w:i/>
          <w:iCs/>
          <w:sz w:val="2"/>
          <w:szCs w:val="2"/>
        </w:rPr>
      </w:pPr>
      <w:r w:rsidRPr="00725F85">
        <w:rPr>
          <w:i/>
          <w:iCs/>
        </w:rPr>
        <w:t>/-/ Ireneusz Makowski</w:t>
      </w:r>
      <w:r w:rsidRPr="00725F85">
        <w:rPr>
          <w:i/>
          <w:iCs/>
        </w:rPr>
        <w:br/>
        <w:t>Dyrektor Miejskiego Zarządu Dróg w Toruniu</w:t>
      </w:r>
      <w:r w:rsidRPr="00725F85">
        <w:rPr>
          <w:i/>
          <w:iCs/>
        </w:rPr>
        <w:br/>
        <w:t>10.08.2023</w:t>
      </w:r>
    </w:p>
    <w:sectPr w:rsidR="00747236" w:rsidRPr="00725F85">
      <w:pgSz w:w="11900" w:h="16840"/>
      <w:pgMar w:top="1275" w:right="1350" w:bottom="1281" w:left="1341" w:header="847" w:footer="8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0D72" w14:textId="77777777" w:rsidR="00DE52F2" w:rsidRDefault="00DE52F2">
      <w:r>
        <w:separator/>
      </w:r>
    </w:p>
  </w:endnote>
  <w:endnote w:type="continuationSeparator" w:id="0">
    <w:p w14:paraId="5C32A4AD" w14:textId="77777777" w:rsidR="00DE52F2" w:rsidRDefault="00DE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DE3C" w14:textId="77777777" w:rsidR="00DE52F2" w:rsidRDefault="00DE52F2"/>
  </w:footnote>
  <w:footnote w:type="continuationSeparator" w:id="0">
    <w:p w14:paraId="29C20E7C" w14:textId="77777777" w:rsidR="00DE52F2" w:rsidRDefault="00DE52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78AD"/>
    <w:multiLevelType w:val="multilevel"/>
    <w:tmpl w:val="9F308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2A077E"/>
    <w:multiLevelType w:val="multilevel"/>
    <w:tmpl w:val="1C9E5B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8741FB"/>
    <w:multiLevelType w:val="multilevel"/>
    <w:tmpl w:val="E2CC2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BF00C1"/>
    <w:multiLevelType w:val="multilevel"/>
    <w:tmpl w:val="1D0E2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36"/>
    <w:rsid w:val="00193BF0"/>
    <w:rsid w:val="002C0607"/>
    <w:rsid w:val="005B5681"/>
    <w:rsid w:val="00725F85"/>
    <w:rsid w:val="0073134D"/>
    <w:rsid w:val="00747236"/>
    <w:rsid w:val="00DE52F2"/>
    <w:rsid w:val="00DE762C"/>
    <w:rsid w:val="00EE73AB"/>
    <w:rsid w:val="00F57906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1614"/>
  <w15:docId w15:val="{497DDD58-CECB-475C-B087-6F974A6F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Tekstpodstawowy">
    <w:name w:val="Body Text"/>
    <w:basedOn w:val="Normalny"/>
    <w:link w:val="TekstpodstawowyZnak"/>
    <w:qFormat/>
    <w:pPr>
      <w:spacing w:line="36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6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81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7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zd.torun.pl/artykul/25/26/zajecie-pasa-drogowego-pod-rekla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AAD4-D3A8-48A7-BC0F-630A5D52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Gajek</dc:creator>
  <cp:lastModifiedBy>Paweł Piotrowicz</cp:lastModifiedBy>
  <cp:revision>3</cp:revision>
  <cp:lastPrinted>2023-08-10T07:13:00Z</cp:lastPrinted>
  <dcterms:created xsi:type="dcterms:W3CDTF">2023-08-14T07:06:00Z</dcterms:created>
  <dcterms:modified xsi:type="dcterms:W3CDTF">2023-08-14T07:07:00Z</dcterms:modified>
</cp:coreProperties>
</file>