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48D" w:rsidRDefault="0066648D" w:rsidP="0066648D">
      <w:pPr>
        <w:jc w:val="center"/>
        <w:rPr>
          <w:rFonts w:ascii="Times New Roman" w:hAnsi="Times New Roman" w:cs="Times New Roman"/>
          <w:sz w:val="22"/>
          <w:szCs w:val="22"/>
        </w:rPr>
      </w:pPr>
      <w:r>
        <w:rPr>
          <w:rFonts w:ascii="Times New Roman" w:hAnsi="Times New Roman" w:cs="Times New Roman"/>
          <w:b/>
          <w:sz w:val="22"/>
          <w:szCs w:val="22"/>
        </w:rPr>
        <w:t>Obwieszczenie</w:t>
      </w:r>
    </w:p>
    <w:p w:rsidR="0066648D" w:rsidRDefault="0066648D" w:rsidP="0066648D">
      <w:pPr>
        <w:pStyle w:val="Nagwek1"/>
        <w:numPr>
          <w:ilvl w:val="0"/>
          <w:numId w:val="2"/>
        </w:numPr>
        <w:rPr>
          <w:rFonts w:ascii="Times New Roman" w:hAnsi="Times New Roman" w:cs="Times New Roman"/>
          <w:sz w:val="22"/>
          <w:szCs w:val="22"/>
        </w:rPr>
      </w:pPr>
      <w:r>
        <w:rPr>
          <w:rFonts w:ascii="Times New Roman" w:hAnsi="Times New Roman" w:cs="Times New Roman"/>
          <w:sz w:val="22"/>
          <w:szCs w:val="22"/>
        </w:rPr>
        <w:t>Nr WGN.6840.1.</w:t>
      </w:r>
      <w:r w:rsidR="00E23B6D">
        <w:rPr>
          <w:rFonts w:ascii="Times New Roman" w:hAnsi="Times New Roman" w:cs="Times New Roman"/>
          <w:sz w:val="22"/>
          <w:szCs w:val="22"/>
        </w:rPr>
        <w:t>4</w:t>
      </w:r>
      <w:r>
        <w:rPr>
          <w:rFonts w:ascii="Times New Roman" w:hAnsi="Times New Roman" w:cs="Times New Roman"/>
          <w:sz w:val="22"/>
          <w:szCs w:val="22"/>
        </w:rPr>
        <w:t>.</w:t>
      </w:r>
      <w:r w:rsidR="00E23B6D">
        <w:rPr>
          <w:rFonts w:ascii="Times New Roman" w:hAnsi="Times New Roman" w:cs="Times New Roman"/>
          <w:sz w:val="22"/>
          <w:szCs w:val="22"/>
        </w:rPr>
        <w:t>2022</w:t>
      </w:r>
      <w:r>
        <w:rPr>
          <w:rFonts w:ascii="Times New Roman" w:hAnsi="Times New Roman" w:cs="Times New Roman"/>
          <w:sz w:val="22"/>
          <w:szCs w:val="22"/>
        </w:rPr>
        <w:t>.IW</w:t>
      </w:r>
    </w:p>
    <w:p w:rsidR="0066648D" w:rsidRDefault="0066648D" w:rsidP="0066648D">
      <w:pPr>
        <w:pStyle w:val="Nagwek2"/>
        <w:numPr>
          <w:ilvl w:val="1"/>
          <w:numId w:val="2"/>
        </w:numPr>
        <w:rPr>
          <w:rFonts w:ascii="Times New Roman" w:hAnsi="Times New Roman" w:cs="Times New Roman"/>
          <w:sz w:val="22"/>
          <w:szCs w:val="22"/>
        </w:rPr>
      </w:pPr>
      <w:r>
        <w:rPr>
          <w:rFonts w:ascii="Times New Roman" w:hAnsi="Times New Roman" w:cs="Times New Roman"/>
          <w:sz w:val="22"/>
          <w:szCs w:val="22"/>
        </w:rPr>
        <w:t xml:space="preserve">Prezydenta Miasta Torunia z dnia </w:t>
      </w:r>
      <w:r w:rsidR="00CA3724">
        <w:rPr>
          <w:rFonts w:ascii="Times New Roman" w:hAnsi="Times New Roman" w:cs="Times New Roman"/>
          <w:sz w:val="22"/>
          <w:szCs w:val="22"/>
        </w:rPr>
        <w:t>21</w:t>
      </w:r>
      <w:r>
        <w:rPr>
          <w:rFonts w:ascii="Times New Roman" w:hAnsi="Times New Roman" w:cs="Times New Roman"/>
          <w:sz w:val="22"/>
          <w:szCs w:val="22"/>
        </w:rPr>
        <w:t xml:space="preserve"> </w:t>
      </w:r>
      <w:r w:rsidR="00CA3724">
        <w:rPr>
          <w:rFonts w:ascii="Times New Roman" w:hAnsi="Times New Roman" w:cs="Times New Roman"/>
          <w:sz w:val="22"/>
          <w:szCs w:val="22"/>
        </w:rPr>
        <w:t>lipca</w:t>
      </w:r>
      <w:r>
        <w:rPr>
          <w:rFonts w:ascii="Times New Roman" w:hAnsi="Times New Roman" w:cs="Times New Roman"/>
          <w:sz w:val="22"/>
          <w:szCs w:val="22"/>
        </w:rPr>
        <w:t xml:space="preserve"> 20</w:t>
      </w:r>
      <w:r w:rsidR="00E23B6D">
        <w:rPr>
          <w:rFonts w:ascii="Times New Roman" w:hAnsi="Times New Roman" w:cs="Times New Roman"/>
          <w:sz w:val="22"/>
          <w:szCs w:val="22"/>
        </w:rPr>
        <w:t>2</w:t>
      </w:r>
      <w:r w:rsidR="00CA3724">
        <w:rPr>
          <w:rFonts w:ascii="Times New Roman" w:hAnsi="Times New Roman" w:cs="Times New Roman"/>
          <w:sz w:val="22"/>
          <w:szCs w:val="22"/>
        </w:rPr>
        <w:t>3</w:t>
      </w:r>
      <w:r>
        <w:rPr>
          <w:rFonts w:ascii="Times New Roman" w:hAnsi="Times New Roman" w:cs="Times New Roman"/>
          <w:sz w:val="22"/>
          <w:szCs w:val="22"/>
        </w:rPr>
        <w:t xml:space="preserve"> roku</w:t>
      </w:r>
    </w:p>
    <w:p w:rsidR="0066648D" w:rsidRDefault="0066648D" w:rsidP="00801CE6">
      <w:pPr>
        <w:pStyle w:val="Tekstpodstawowy"/>
        <w:spacing w:line="240" w:lineRule="auto"/>
        <w:rPr>
          <w:rFonts w:ascii="Times New Roman" w:hAnsi="Times New Roman" w:cs="Times New Roman"/>
          <w:sz w:val="22"/>
          <w:szCs w:val="22"/>
        </w:rPr>
      </w:pPr>
      <w:r>
        <w:rPr>
          <w:rFonts w:ascii="Times New Roman" w:hAnsi="Times New Roman" w:cs="Times New Roman"/>
          <w:sz w:val="22"/>
          <w:szCs w:val="22"/>
        </w:rPr>
        <w:t>w sprawie podania do publicznej wiadomości wykazu nieruchomości stanowiących własność Gminy Miasta Toruń, przeznaczonych do sprzedaży.</w:t>
      </w:r>
    </w:p>
    <w:p w:rsidR="0066648D" w:rsidRDefault="0066648D" w:rsidP="00801CE6">
      <w:pPr>
        <w:pStyle w:val="Tekstpodstawowy21"/>
        <w:spacing w:line="240" w:lineRule="auto"/>
        <w:rPr>
          <w:rFonts w:ascii="Times New Roman" w:hAnsi="Times New Roman" w:cs="Times New Roman"/>
          <w:sz w:val="22"/>
          <w:szCs w:val="22"/>
        </w:rPr>
      </w:pPr>
    </w:p>
    <w:p w:rsidR="0066648D" w:rsidRDefault="0066648D" w:rsidP="00801CE6">
      <w:pPr>
        <w:pStyle w:val="Tekstpodstawowy21"/>
        <w:spacing w:line="240" w:lineRule="auto"/>
        <w:rPr>
          <w:rFonts w:ascii="Times New Roman" w:hAnsi="Times New Roman" w:cs="Times New Roman"/>
          <w:sz w:val="22"/>
          <w:szCs w:val="22"/>
          <w:u w:val="single"/>
        </w:rPr>
      </w:pPr>
      <w:r>
        <w:rPr>
          <w:rFonts w:ascii="Times New Roman" w:hAnsi="Times New Roman" w:cs="Times New Roman"/>
          <w:sz w:val="22"/>
          <w:szCs w:val="22"/>
          <w:u w:val="single"/>
        </w:rPr>
        <w:t>Na podstawie:</w:t>
      </w:r>
    </w:p>
    <w:p w:rsidR="0066648D" w:rsidRPr="00E23B6D" w:rsidRDefault="0066648D" w:rsidP="00801CE6">
      <w:pPr>
        <w:pStyle w:val="Tretekstu"/>
        <w:rPr>
          <w:rFonts w:ascii="Times New Roman" w:hAnsi="Times New Roman" w:cs="Times New Roman"/>
          <w:color w:val="000000"/>
          <w:sz w:val="20"/>
          <w:szCs w:val="20"/>
        </w:rPr>
      </w:pPr>
      <w:r>
        <w:rPr>
          <w:rFonts w:ascii="Times New Roman" w:hAnsi="Times New Roman" w:cs="Times New Roman"/>
          <w:sz w:val="22"/>
        </w:rPr>
        <w:t xml:space="preserve">art. 35 ust. 1 i 2 ustawy z dnia 21 sierpnia 1997 roku o gospodarce nieruchomościami </w:t>
      </w:r>
      <w:r w:rsidR="00E23B6D" w:rsidRPr="002F2AD0">
        <w:rPr>
          <w:rFonts w:ascii="Times New Roman" w:hAnsi="Times New Roman" w:cs="Times New Roman"/>
          <w:sz w:val="20"/>
          <w:szCs w:val="20"/>
        </w:rPr>
        <w:t xml:space="preserve">art. 35 ust. 1 i 2 ustawy z dnia 21 sierpnia 1997 roku o gospodarce nieruchomościami (Dz. U. z  </w:t>
      </w:r>
      <w:r w:rsidR="00CA3724">
        <w:rPr>
          <w:rFonts w:ascii="Times New Roman" w:hAnsi="Times New Roman" w:cs="Times New Roman"/>
          <w:sz w:val="20"/>
          <w:szCs w:val="20"/>
        </w:rPr>
        <w:t>2023</w:t>
      </w:r>
      <w:r w:rsidR="00E23B6D" w:rsidRPr="002F2AD0">
        <w:rPr>
          <w:rFonts w:ascii="Times New Roman" w:hAnsi="Times New Roman" w:cs="Times New Roman"/>
          <w:sz w:val="20"/>
          <w:szCs w:val="20"/>
        </w:rPr>
        <w:t xml:space="preserve"> r. poz. </w:t>
      </w:r>
      <w:r w:rsidR="00CA3724">
        <w:rPr>
          <w:rFonts w:ascii="Times New Roman" w:hAnsi="Times New Roman" w:cs="Times New Roman"/>
          <w:sz w:val="20"/>
          <w:szCs w:val="20"/>
        </w:rPr>
        <w:t>344 ze zm.</w:t>
      </w:r>
      <w:r w:rsidR="00E23B6D">
        <w:rPr>
          <w:rFonts w:ascii="Times New Roman" w:hAnsi="Times New Roman" w:cs="Times New Roman"/>
          <w:sz w:val="20"/>
          <w:szCs w:val="20"/>
        </w:rPr>
        <w:t>)</w:t>
      </w:r>
      <w:r w:rsidR="00E23B6D" w:rsidRPr="002F2AD0">
        <w:rPr>
          <w:rFonts w:ascii="Times New Roman" w:hAnsi="Times New Roman" w:cs="Times New Roman"/>
          <w:sz w:val="20"/>
          <w:szCs w:val="20"/>
        </w:rPr>
        <w:t xml:space="preserve">  </w:t>
      </w:r>
      <w:r>
        <w:rPr>
          <w:rFonts w:ascii="Times New Roman" w:hAnsi="Times New Roman" w:cs="Times New Roman"/>
          <w:sz w:val="22"/>
        </w:rPr>
        <w:t xml:space="preserve">oraz Uchwały Nr </w:t>
      </w:r>
      <w:r w:rsidR="00001A88">
        <w:rPr>
          <w:rFonts w:ascii="Times New Roman" w:hAnsi="Times New Roman" w:cs="Times New Roman"/>
          <w:sz w:val="22"/>
        </w:rPr>
        <w:t>877</w:t>
      </w:r>
      <w:r>
        <w:rPr>
          <w:rFonts w:ascii="Times New Roman" w:hAnsi="Times New Roman" w:cs="Times New Roman"/>
          <w:sz w:val="22"/>
        </w:rPr>
        <w:t>/</w:t>
      </w:r>
      <w:r w:rsidR="00001A88">
        <w:rPr>
          <w:rFonts w:ascii="Times New Roman" w:hAnsi="Times New Roman" w:cs="Times New Roman"/>
          <w:sz w:val="22"/>
        </w:rPr>
        <w:t>22</w:t>
      </w:r>
      <w:r>
        <w:rPr>
          <w:rFonts w:ascii="Times New Roman" w:hAnsi="Times New Roman" w:cs="Times New Roman"/>
          <w:sz w:val="22"/>
        </w:rPr>
        <w:t xml:space="preserve"> Rady Miasta Tor</w:t>
      </w:r>
      <w:r w:rsidR="00E23B6D">
        <w:rPr>
          <w:rFonts w:ascii="Times New Roman" w:hAnsi="Times New Roman" w:cs="Times New Roman"/>
          <w:sz w:val="22"/>
        </w:rPr>
        <w:t xml:space="preserve">unia z dnia  </w:t>
      </w:r>
      <w:r w:rsidR="00001A88">
        <w:rPr>
          <w:rFonts w:ascii="Times New Roman" w:hAnsi="Times New Roman" w:cs="Times New Roman"/>
          <w:sz w:val="22"/>
        </w:rPr>
        <w:t>9</w:t>
      </w:r>
      <w:r w:rsidR="00E23B6D">
        <w:rPr>
          <w:rFonts w:ascii="Times New Roman" w:hAnsi="Times New Roman" w:cs="Times New Roman"/>
          <w:sz w:val="22"/>
        </w:rPr>
        <w:t xml:space="preserve"> </w:t>
      </w:r>
      <w:r w:rsidR="00001A88">
        <w:rPr>
          <w:rFonts w:ascii="Times New Roman" w:hAnsi="Times New Roman" w:cs="Times New Roman"/>
          <w:sz w:val="22"/>
        </w:rPr>
        <w:t>czerwca</w:t>
      </w:r>
      <w:r w:rsidR="00E23B6D">
        <w:rPr>
          <w:rFonts w:ascii="Times New Roman" w:hAnsi="Times New Roman" w:cs="Times New Roman"/>
          <w:sz w:val="22"/>
        </w:rPr>
        <w:t xml:space="preserve"> </w:t>
      </w:r>
      <w:r w:rsidR="00001A88">
        <w:rPr>
          <w:rFonts w:ascii="Times New Roman" w:hAnsi="Times New Roman" w:cs="Times New Roman"/>
          <w:sz w:val="22"/>
        </w:rPr>
        <w:t>2022r</w:t>
      </w:r>
      <w:r w:rsidR="00E23B6D">
        <w:rPr>
          <w:rFonts w:ascii="Times New Roman" w:hAnsi="Times New Roman" w:cs="Times New Roman"/>
          <w:sz w:val="22"/>
        </w:rPr>
        <w:t xml:space="preserve">. </w:t>
      </w:r>
      <w:r>
        <w:rPr>
          <w:rFonts w:ascii="Times New Roman" w:hAnsi="Times New Roman" w:cs="Times New Roman"/>
          <w:sz w:val="22"/>
        </w:rPr>
        <w:t>w sprawie sprzedaży lokalu mieszkalnego</w:t>
      </w:r>
      <w:r w:rsidR="001559E8">
        <w:rPr>
          <w:rFonts w:ascii="Times New Roman" w:hAnsi="Times New Roman" w:cs="Times New Roman"/>
          <w:sz w:val="22"/>
        </w:rPr>
        <w:t xml:space="preserve"> </w:t>
      </w:r>
      <w:r>
        <w:rPr>
          <w:rFonts w:ascii="Times New Roman" w:hAnsi="Times New Roman" w:cs="Times New Roman"/>
          <w:sz w:val="22"/>
        </w:rPr>
        <w:t xml:space="preserve">nr </w:t>
      </w:r>
      <w:r w:rsidR="00001A88">
        <w:rPr>
          <w:rFonts w:ascii="Times New Roman" w:hAnsi="Times New Roman" w:cs="Times New Roman"/>
          <w:sz w:val="22"/>
        </w:rPr>
        <w:t>5</w:t>
      </w:r>
      <w:r>
        <w:rPr>
          <w:rFonts w:ascii="Times New Roman" w:hAnsi="Times New Roman" w:cs="Times New Roman"/>
          <w:sz w:val="22"/>
        </w:rPr>
        <w:t xml:space="preserve"> stanowiącego własność Gminy Miasta Toruń wchodzącego w skład budynku położonego</w:t>
      </w:r>
      <w:r w:rsidR="001559E8">
        <w:rPr>
          <w:rFonts w:ascii="Times New Roman" w:hAnsi="Times New Roman" w:cs="Times New Roman"/>
          <w:sz w:val="22"/>
        </w:rPr>
        <w:t xml:space="preserve"> </w:t>
      </w:r>
      <w:r>
        <w:rPr>
          <w:rFonts w:ascii="Times New Roman" w:hAnsi="Times New Roman" w:cs="Times New Roman"/>
          <w:sz w:val="22"/>
        </w:rPr>
        <w:t>w Toruniu przy ul. Poznańskiej 81.</w:t>
      </w:r>
    </w:p>
    <w:p w:rsidR="0066648D" w:rsidRDefault="0066648D" w:rsidP="0066648D">
      <w:pPr>
        <w:pStyle w:val="Tekstpodstawowy"/>
        <w:spacing w:line="240" w:lineRule="auto"/>
        <w:jc w:val="center"/>
        <w:rPr>
          <w:rFonts w:ascii="Times New Roman" w:eastAsia="Liberation Serif" w:hAnsi="Times New Roman" w:cs="Times New Roman"/>
          <w:sz w:val="22"/>
          <w:szCs w:val="22"/>
        </w:rPr>
      </w:pPr>
    </w:p>
    <w:p w:rsidR="0066648D" w:rsidRDefault="0066648D" w:rsidP="0066648D">
      <w:pPr>
        <w:pStyle w:val="Tekstpodstawowy"/>
        <w:spacing w:line="240" w:lineRule="auto"/>
        <w:jc w:val="center"/>
        <w:rPr>
          <w:rFonts w:ascii="Times New Roman" w:hAnsi="Times New Roman" w:cs="Times New Roman"/>
          <w:b/>
          <w:sz w:val="22"/>
          <w:szCs w:val="22"/>
        </w:rPr>
      </w:pPr>
      <w:r>
        <w:rPr>
          <w:rFonts w:ascii="Times New Roman" w:hAnsi="Times New Roman" w:cs="Times New Roman"/>
          <w:b/>
          <w:bCs/>
          <w:sz w:val="22"/>
          <w:szCs w:val="22"/>
        </w:rPr>
        <w:t>Prezydent Miasta Torunia</w:t>
      </w:r>
    </w:p>
    <w:p w:rsidR="0066648D" w:rsidRDefault="0066648D" w:rsidP="0066648D">
      <w:pPr>
        <w:jc w:val="center"/>
        <w:rPr>
          <w:rFonts w:ascii="Times New Roman" w:hAnsi="Times New Roman" w:cs="Times New Roman"/>
          <w:b/>
          <w:sz w:val="22"/>
          <w:szCs w:val="22"/>
        </w:rPr>
      </w:pPr>
      <w:r>
        <w:rPr>
          <w:rFonts w:ascii="Times New Roman" w:hAnsi="Times New Roman" w:cs="Times New Roman"/>
          <w:b/>
          <w:sz w:val="22"/>
          <w:szCs w:val="22"/>
        </w:rPr>
        <w:t>podaje do publicznej wiadomości wykaz nieruchomości stanowiących własność Gminy Miasta Toruń, przeznaczonych do sprzedaży</w:t>
      </w:r>
    </w:p>
    <w:p w:rsidR="0066648D" w:rsidRDefault="0066648D" w:rsidP="0066648D">
      <w:pPr>
        <w:jc w:val="center"/>
        <w:rPr>
          <w:rFonts w:ascii="Times New Roman" w:hAnsi="Times New Roman" w:cs="Times New Roman"/>
          <w:b/>
          <w:sz w:val="22"/>
          <w:szCs w:val="22"/>
        </w:rPr>
      </w:pPr>
    </w:p>
    <w:tbl>
      <w:tblPr>
        <w:tblW w:w="9720" w:type="dxa"/>
        <w:tblInd w:w="-5" w:type="dxa"/>
        <w:tblLayout w:type="fixed"/>
        <w:tblCellMar>
          <w:left w:w="75" w:type="dxa"/>
          <w:right w:w="70" w:type="dxa"/>
        </w:tblCellMar>
        <w:tblLook w:val="04A0" w:firstRow="1" w:lastRow="0" w:firstColumn="1" w:lastColumn="0" w:noHBand="0" w:noVBand="1"/>
      </w:tblPr>
      <w:tblGrid>
        <w:gridCol w:w="1701"/>
        <w:gridCol w:w="4395"/>
        <w:gridCol w:w="2409"/>
        <w:gridCol w:w="1215"/>
      </w:tblGrid>
      <w:tr w:rsidR="0066648D" w:rsidTr="0030283C">
        <w:trPr>
          <w:cantSplit/>
          <w:trHeight w:val="520"/>
        </w:trPr>
        <w:tc>
          <w:tcPr>
            <w:tcW w:w="1701" w:type="dxa"/>
            <w:tcBorders>
              <w:top w:val="single" w:sz="4" w:space="0" w:color="00000A"/>
              <w:left w:val="single" w:sz="4" w:space="0" w:color="00000A"/>
              <w:bottom w:val="single" w:sz="4" w:space="0" w:color="00000A"/>
              <w:right w:val="nil"/>
            </w:tcBorders>
            <w:hideMark/>
          </w:tcPr>
          <w:p w:rsidR="0066648D" w:rsidRPr="002763ED" w:rsidRDefault="0066648D" w:rsidP="003F2BA7">
            <w:pPr>
              <w:spacing w:line="260" w:lineRule="exact"/>
              <w:jc w:val="center"/>
              <w:rPr>
                <w:rFonts w:ascii="Times New Roman" w:hAnsi="Times New Roman" w:cs="Times New Roman"/>
                <w:sz w:val="18"/>
                <w:szCs w:val="18"/>
              </w:rPr>
            </w:pPr>
            <w:r w:rsidRPr="002763ED">
              <w:rPr>
                <w:rFonts w:ascii="Times New Roman" w:hAnsi="Times New Roman" w:cs="Times New Roman"/>
                <w:b/>
                <w:sz w:val="18"/>
                <w:szCs w:val="18"/>
              </w:rPr>
              <w:t xml:space="preserve">Oznaczenie nieruchomości </w:t>
            </w:r>
          </w:p>
        </w:tc>
        <w:tc>
          <w:tcPr>
            <w:tcW w:w="4395" w:type="dxa"/>
            <w:tcBorders>
              <w:top w:val="single" w:sz="4" w:space="0" w:color="00000A"/>
              <w:left w:val="single" w:sz="4" w:space="0" w:color="00000A"/>
              <w:bottom w:val="single" w:sz="4" w:space="0" w:color="00000A"/>
              <w:right w:val="nil"/>
            </w:tcBorders>
            <w:hideMark/>
          </w:tcPr>
          <w:p w:rsidR="0066648D" w:rsidRPr="002763ED" w:rsidRDefault="0066648D" w:rsidP="003F2BA7">
            <w:pPr>
              <w:spacing w:line="260" w:lineRule="exact"/>
              <w:jc w:val="center"/>
              <w:rPr>
                <w:rFonts w:ascii="Times New Roman" w:hAnsi="Times New Roman" w:cs="Times New Roman"/>
                <w:sz w:val="18"/>
                <w:szCs w:val="18"/>
              </w:rPr>
            </w:pPr>
            <w:r w:rsidRPr="002763ED">
              <w:rPr>
                <w:rFonts w:ascii="Times New Roman" w:hAnsi="Times New Roman" w:cs="Times New Roman"/>
                <w:b/>
                <w:sz w:val="18"/>
                <w:szCs w:val="18"/>
              </w:rPr>
              <w:t>Opis lokalu</w:t>
            </w:r>
          </w:p>
        </w:tc>
        <w:tc>
          <w:tcPr>
            <w:tcW w:w="2409" w:type="dxa"/>
            <w:tcBorders>
              <w:top w:val="single" w:sz="4" w:space="0" w:color="00000A"/>
              <w:left w:val="single" w:sz="4" w:space="0" w:color="00000A"/>
              <w:bottom w:val="single" w:sz="4" w:space="0" w:color="00000A"/>
              <w:right w:val="nil"/>
            </w:tcBorders>
            <w:hideMark/>
          </w:tcPr>
          <w:p w:rsidR="0066648D" w:rsidRPr="002763ED" w:rsidRDefault="0066648D" w:rsidP="003F2BA7">
            <w:pPr>
              <w:spacing w:line="260" w:lineRule="exact"/>
              <w:jc w:val="center"/>
              <w:rPr>
                <w:rFonts w:ascii="Times New Roman" w:hAnsi="Times New Roman" w:cs="Times New Roman"/>
                <w:sz w:val="18"/>
                <w:szCs w:val="18"/>
              </w:rPr>
            </w:pPr>
            <w:r w:rsidRPr="002763ED">
              <w:rPr>
                <w:rFonts w:ascii="Times New Roman" w:hAnsi="Times New Roman" w:cs="Times New Roman"/>
                <w:b/>
                <w:sz w:val="18"/>
                <w:szCs w:val="18"/>
              </w:rPr>
              <w:t xml:space="preserve">Przeznaczenie w </w:t>
            </w:r>
            <w:proofErr w:type="spellStart"/>
            <w:r w:rsidRPr="002763ED">
              <w:rPr>
                <w:rFonts w:ascii="Times New Roman" w:hAnsi="Times New Roman" w:cs="Times New Roman"/>
                <w:b/>
                <w:sz w:val="18"/>
                <w:szCs w:val="18"/>
              </w:rPr>
              <w:t>mpzp</w:t>
            </w:r>
            <w:proofErr w:type="spellEnd"/>
          </w:p>
        </w:tc>
        <w:tc>
          <w:tcPr>
            <w:tcW w:w="1215" w:type="dxa"/>
            <w:tcBorders>
              <w:top w:val="single" w:sz="4" w:space="0" w:color="00000A"/>
              <w:left w:val="single" w:sz="4" w:space="0" w:color="00000A"/>
              <w:bottom w:val="single" w:sz="4" w:space="0" w:color="00000A"/>
              <w:right w:val="single" w:sz="4" w:space="0" w:color="00000A"/>
            </w:tcBorders>
            <w:hideMark/>
          </w:tcPr>
          <w:p w:rsidR="0066648D" w:rsidRPr="002763ED" w:rsidRDefault="0066648D" w:rsidP="003F2BA7">
            <w:pPr>
              <w:spacing w:line="260" w:lineRule="exact"/>
              <w:jc w:val="center"/>
              <w:rPr>
                <w:rFonts w:ascii="Times New Roman" w:hAnsi="Times New Roman" w:cs="Times New Roman"/>
                <w:sz w:val="18"/>
                <w:szCs w:val="18"/>
              </w:rPr>
            </w:pPr>
            <w:r w:rsidRPr="002763ED">
              <w:rPr>
                <w:rFonts w:ascii="Times New Roman" w:hAnsi="Times New Roman" w:cs="Times New Roman"/>
                <w:b/>
                <w:sz w:val="18"/>
                <w:szCs w:val="18"/>
              </w:rPr>
              <w:t>Cena wywoławcza</w:t>
            </w:r>
          </w:p>
        </w:tc>
      </w:tr>
      <w:tr w:rsidR="0066648D" w:rsidTr="0030283C">
        <w:trPr>
          <w:cantSplit/>
          <w:trHeight w:val="1624"/>
        </w:trPr>
        <w:tc>
          <w:tcPr>
            <w:tcW w:w="1701" w:type="dxa"/>
            <w:tcBorders>
              <w:top w:val="single" w:sz="4" w:space="0" w:color="00000A"/>
              <w:left w:val="single" w:sz="4" w:space="0" w:color="00000A"/>
              <w:bottom w:val="single" w:sz="4" w:space="0" w:color="00000A"/>
              <w:right w:val="nil"/>
            </w:tcBorders>
          </w:tcPr>
          <w:p w:rsidR="0066648D" w:rsidRPr="002763ED" w:rsidRDefault="0066648D" w:rsidP="003F2BA7">
            <w:pPr>
              <w:spacing w:line="260" w:lineRule="exact"/>
              <w:jc w:val="center"/>
              <w:rPr>
                <w:rFonts w:ascii="Times New Roman" w:hAnsi="Times New Roman" w:cs="Times New Roman"/>
                <w:sz w:val="18"/>
                <w:szCs w:val="18"/>
              </w:rPr>
            </w:pPr>
            <w:r w:rsidRPr="002763ED">
              <w:rPr>
                <w:rFonts w:ascii="Times New Roman" w:hAnsi="Times New Roman" w:cs="Times New Roman"/>
                <w:sz w:val="18"/>
                <w:szCs w:val="18"/>
              </w:rPr>
              <w:t>ul. Poznańska 81</w:t>
            </w:r>
          </w:p>
          <w:p w:rsidR="0066648D" w:rsidRPr="002763ED" w:rsidRDefault="0066648D" w:rsidP="003F2BA7">
            <w:pPr>
              <w:spacing w:line="260" w:lineRule="exact"/>
              <w:jc w:val="center"/>
              <w:rPr>
                <w:rFonts w:ascii="Times New Roman" w:hAnsi="Times New Roman" w:cs="Times New Roman"/>
                <w:sz w:val="18"/>
                <w:szCs w:val="18"/>
              </w:rPr>
            </w:pPr>
            <w:r w:rsidRPr="002763ED">
              <w:rPr>
                <w:rFonts w:ascii="Times New Roman" w:hAnsi="Times New Roman" w:cs="Times New Roman"/>
                <w:sz w:val="18"/>
                <w:szCs w:val="18"/>
              </w:rPr>
              <w:t>działka geod. nr 414</w:t>
            </w:r>
            <w:r w:rsidRPr="002763ED">
              <w:rPr>
                <w:rFonts w:ascii="Times New Roman" w:hAnsi="Times New Roman" w:cs="Times New Roman"/>
                <w:sz w:val="18"/>
                <w:szCs w:val="18"/>
              </w:rPr>
              <w:br/>
              <w:t xml:space="preserve">o  pow. 0,0597 ha, obręb nr 70, </w:t>
            </w:r>
          </w:p>
          <w:p w:rsidR="0066648D" w:rsidRPr="002763ED" w:rsidRDefault="0066648D" w:rsidP="003F2BA7">
            <w:pPr>
              <w:spacing w:line="260" w:lineRule="exact"/>
              <w:jc w:val="center"/>
              <w:rPr>
                <w:rFonts w:ascii="Times New Roman" w:hAnsi="Times New Roman" w:cs="Times New Roman"/>
                <w:sz w:val="18"/>
                <w:szCs w:val="18"/>
              </w:rPr>
            </w:pPr>
            <w:r w:rsidRPr="002763ED">
              <w:rPr>
                <w:rFonts w:ascii="Times New Roman" w:hAnsi="Times New Roman" w:cs="Times New Roman"/>
                <w:sz w:val="18"/>
                <w:szCs w:val="18"/>
              </w:rPr>
              <w:t>użytek B</w:t>
            </w:r>
          </w:p>
          <w:p w:rsidR="0066648D" w:rsidRDefault="0066648D" w:rsidP="003F2BA7">
            <w:pPr>
              <w:spacing w:line="260" w:lineRule="exact"/>
              <w:jc w:val="center"/>
              <w:rPr>
                <w:rFonts w:ascii="Times New Roman" w:hAnsi="Times New Roman" w:cs="Times New Roman"/>
                <w:sz w:val="18"/>
                <w:szCs w:val="18"/>
              </w:rPr>
            </w:pPr>
            <w:r w:rsidRPr="002763ED">
              <w:rPr>
                <w:rFonts w:ascii="Times New Roman" w:hAnsi="Times New Roman" w:cs="Times New Roman"/>
                <w:sz w:val="18"/>
                <w:szCs w:val="18"/>
              </w:rPr>
              <w:t>KW Nr TO1T/00001227/4</w:t>
            </w:r>
          </w:p>
          <w:p w:rsidR="0030283C" w:rsidRDefault="0030283C" w:rsidP="003F2BA7">
            <w:pPr>
              <w:spacing w:line="260" w:lineRule="exact"/>
              <w:jc w:val="center"/>
              <w:rPr>
                <w:rFonts w:ascii="Times New Roman" w:hAnsi="Times New Roman" w:cs="Times New Roman"/>
                <w:sz w:val="18"/>
                <w:szCs w:val="18"/>
              </w:rPr>
            </w:pPr>
            <w:r>
              <w:rPr>
                <w:rFonts w:ascii="Times New Roman" w:hAnsi="Times New Roman" w:cs="Times New Roman"/>
                <w:sz w:val="18"/>
                <w:szCs w:val="18"/>
              </w:rPr>
              <w:t xml:space="preserve">Księga lokalowa </w:t>
            </w:r>
          </w:p>
          <w:p w:rsidR="0030283C" w:rsidRPr="002763ED" w:rsidRDefault="0030283C" w:rsidP="003F2BA7">
            <w:pPr>
              <w:spacing w:line="260" w:lineRule="exact"/>
              <w:jc w:val="center"/>
              <w:rPr>
                <w:rFonts w:ascii="Times New Roman" w:hAnsi="Times New Roman" w:cs="Times New Roman"/>
                <w:sz w:val="18"/>
                <w:szCs w:val="18"/>
              </w:rPr>
            </w:pPr>
            <w:r>
              <w:rPr>
                <w:rFonts w:ascii="Times New Roman" w:hAnsi="Times New Roman" w:cs="Times New Roman"/>
                <w:sz w:val="18"/>
                <w:szCs w:val="18"/>
              </w:rPr>
              <w:t>KW Nr TO1T/</w:t>
            </w:r>
            <w:r w:rsidR="00801CE6">
              <w:rPr>
                <w:rFonts w:ascii="Times New Roman" w:hAnsi="Times New Roman" w:cs="Times New Roman"/>
                <w:sz w:val="18"/>
                <w:szCs w:val="18"/>
              </w:rPr>
              <w:t>00128461/2</w:t>
            </w:r>
            <w:r>
              <w:rPr>
                <w:rFonts w:ascii="Times New Roman" w:hAnsi="Times New Roman" w:cs="Times New Roman"/>
                <w:sz w:val="18"/>
                <w:szCs w:val="18"/>
              </w:rPr>
              <w:t xml:space="preserve"> </w:t>
            </w:r>
          </w:p>
          <w:p w:rsidR="0066648D" w:rsidRPr="002763ED" w:rsidRDefault="0066648D" w:rsidP="003F2BA7">
            <w:pPr>
              <w:spacing w:line="260" w:lineRule="exact"/>
              <w:jc w:val="center"/>
              <w:rPr>
                <w:rFonts w:ascii="Times New Roman" w:hAnsi="Times New Roman" w:cs="Times New Roman"/>
                <w:sz w:val="18"/>
                <w:szCs w:val="18"/>
              </w:rPr>
            </w:pPr>
          </w:p>
          <w:p w:rsidR="0066648D" w:rsidRPr="002763ED" w:rsidRDefault="0066648D" w:rsidP="003F2BA7">
            <w:pPr>
              <w:spacing w:line="260" w:lineRule="exact"/>
              <w:jc w:val="center"/>
              <w:rPr>
                <w:rFonts w:ascii="Times New Roman" w:hAnsi="Times New Roman" w:cs="Times New Roman"/>
                <w:sz w:val="18"/>
                <w:szCs w:val="18"/>
              </w:rPr>
            </w:pPr>
          </w:p>
        </w:tc>
        <w:tc>
          <w:tcPr>
            <w:tcW w:w="4395" w:type="dxa"/>
            <w:tcBorders>
              <w:top w:val="single" w:sz="4" w:space="0" w:color="00000A"/>
              <w:left w:val="single" w:sz="4" w:space="0" w:color="00000A"/>
              <w:bottom w:val="single" w:sz="4" w:space="0" w:color="00000A"/>
              <w:right w:val="nil"/>
            </w:tcBorders>
            <w:hideMark/>
          </w:tcPr>
          <w:p w:rsidR="00801CE6" w:rsidRPr="00801CE6" w:rsidRDefault="00801CE6" w:rsidP="00801CE6">
            <w:pPr>
              <w:jc w:val="both"/>
              <w:rPr>
                <w:rFonts w:ascii="Times New Roman" w:hAnsi="Times New Roman" w:cs="Times New Roman"/>
                <w:sz w:val="18"/>
                <w:szCs w:val="18"/>
              </w:rPr>
            </w:pPr>
            <w:r w:rsidRPr="00801CE6">
              <w:rPr>
                <w:rFonts w:ascii="Times New Roman" w:hAnsi="Times New Roman" w:cs="Times New Roman"/>
                <w:sz w:val="18"/>
                <w:szCs w:val="18"/>
              </w:rPr>
              <w:t>Lokal mieszkalny nr 5 składa się: z trzech pokoi, kuchni</w:t>
            </w:r>
            <w:r>
              <w:rPr>
                <w:rFonts w:ascii="Times New Roman" w:hAnsi="Times New Roman" w:cs="Times New Roman"/>
                <w:sz w:val="18"/>
                <w:szCs w:val="18"/>
              </w:rPr>
              <w:br/>
            </w:r>
            <w:r w:rsidRPr="00801CE6">
              <w:rPr>
                <w:rFonts w:ascii="Times New Roman" w:hAnsi="Times New Roman" w:cs="Times New Roman"/>
                <w:sz w:val="18"/>
                <w:szCs w:val="18"/>
              </w:rPr>
              <w:t>i łazienki. Powierzchnia użytkowa lokalu wynosi 52,80 m</w:t>
            </w:r>
            <w:r w:rsidRPr="00801CE6">
              <w:rPr>
                <w:rFonts w:ascii="Times New Roman" w:hAnsi="Times New Roman" w:cs="Times New Roman"/>
                <w:sz w:val="18"/>
                <w:szCs w:val="18"/>
                <w:vertAlign w:val="superscript"/>
              </w:rPr>
              <w:t>2</w:t>
            </w:r>
            <w:r w:rsidRPr="00801CE6">
              <w:rPr>
                <w:rFonts w:ascii="Times New Roman" w:hAnsi="Times New Roman" w:cs="Times New Roman"/>
                <w:sz w:val="18"/>
                <w:szCs w:val="18"/>
              </w:rPr>
              <w:t xml:space="preserve">.  Do lokalu przynależy pomieszczenie </w:t>
            </w:r>
            <w:r>
              <w:rPr>
                <w:rFonts w:ascii="Times New Roman" w:hAnsi="Times New Roman" w:cs="Times New Roman"/>
                <w:sz w:val="18"/>
                <w:szCs w:val="18"/>
              </w:rPr>
              <w:t xml:space="preserve">gospodarcze nr 12 </w:t>
            </w:r>
            <w:r w:rsidRPr="00801CE6">
              <w:rPr>
                <w:rFonts w:ascii="Times New Roman" w:hAnsi="Times New Roman" w:cs="Times New Roman"/>
                <w:sz w:val="18"/>
                <w:szCs w:val="18"/>
              </w:rPr>
              <w:t>o pow. 6,30 m</w:t>
            </w:r>
            <w:r w:rsidRPr="00801CE6">
              <w:rPr>
                <w:rFonts w:ascii="Times New Roman" w:hAnsi="Times New Roman" w:cs="Times New Roman"/>
                <w:sz w:val="18"/>
                <w:szCs w:val="18"/>
                <w:vertAlign w:val="superscript"/>
              </w:rPr>
              <w:t>2</w:t>
            </w:r>
            <w:r w:rsidRPr="00801CE6">
              <w:rPr>
                <w:rFonts w:ascii="Times New Roman" w:hAnsi="Times New Roman" w:cs="Times New Roman"/>
                <w:sz w:val="18"/>
                <w:szCs w:val="18"/>
              </w:rPr>
              <w:t>, usytuowane w odrębnej zabudowie w podwórzu. Lokal jest przejściowy,</w:t>
            </w:r>
            <w:r>
              <w:rPr>
                <w:rFonts w:ascii="Times New Roman" w:hAnsi="Times New Roman" w:cs="Times New Roman"/>
                <w:sz w:val="18"/>
                <w:szCs w:val="18"/>
              </w:rPr>
              <w:t xml:space="preserve"> </w:t>
            </w:r>
            <w:r w:rsidRPr="00801CE6">
              <w:rPr>
                <w:rFonts w:ascii="Times New Roman" w:hAnsi="Times New Roman" w:cs="Times New Roman"/>
                <w:sz w:val="18"/>
                <w:szCs w:val="18"/>
              </w:rPr>
              <w:t>z klatki schodowej wejście bezpośrednio do pokoju, z którego przechodzi się do kuchni i dalej do łazienki (zaadaptowanej z dawnej spiżarni) oraz do kolejnych dwóch pokoi. Okna od strony wschodniej, wychodzące na wewnętrzną drogą dojazdową do zaplecza nieruchomości oraz od strony północnej na ulicę Poznańską. Lokal jest usytuowany na III, ostatniej kondygnacji.</w:t>
            </w:r>
          </w:p>
          <w:p w:rsidR="00801CE6" w:rsidRPr="00801CE6" w:rsidRDefault="00801CE6" w:rsidP="00801CE6">
            <w:pPr>
              <w:pStyle w:val="Tekstpodstawowywcity2"/>
              <w:tabs>
                <w:tab w:val="decimal" w:pos="4820"/>
                <w:tab w:val="decimal" w:pos="6096"/>
                <w:tab w:val="decimal" w:pos="8222"/>
              </w:tabs>
              <w:spacing w:line="240" w:lineRule="auto"/>
              <w:ind w:left="0"/>
              <w:jc w:val="both"/>
              <w:rPr>
                <w:rFonts w:ascii="Times New Roman" w:hAnsi="Times New Roman" w:cs="Times New Roman"/>
                <w:sz w:val="18"/>
                <w:szCs w:val="18"/>
              </w:rPr>
            </w:pPr>
            <w:r w:rsidRPr="00801CE6">
              <w:rPr>
                <w:rFonts w:ascii="Times New Roman" w:hAnsi="Times New Roman" w:cs="Times New Roman"/>
                <w:sz w:val="18"/>
                <w:szCs w:val="18"/>
              </w:rPr>
              <w:t>Stolarka okienna – okna drewniane, stare, stolarka drzwiowa – płytowa, stara. Lokal jest wyposażony w instalacje: elektryczną, wodno-kanalizacyjną (brak ciepłej wody użytkowej), ogrzewanie etażowe, 2 piece kaflowe</w:t>
            </w:r>
            <w:r>
              <w:rPr>
                <w:rFonts w:ascii="Times New Roman" w:hAnsi="Times New Roman" w:cs="Times New Roman"/>
                <w:sz w:val="18"/>
                <w:szCs w:val="18"/>
              </w:rPr>
              <w:br/>
            </w:r>
            <w:r w:rsidRPr="00801CE6">
              <w:rPr>
                <w:rFonts w:ascii="Times New Roman" w:hAnsi="Times New Roman" w:cs="Times New Roman"/>
                <w:sz w:val="18"/>
                <w:szCs w:val="18"/>
              </w:rPr>
              <w:t xml:space="preserve">i </w:t>
            </w:r>
            <w:proofErr w:type="spellStart"/>
            <w:r w:rsidRPr="00801CE6">
              <w:rPr>
                <w:rFonts w:ascii="Times New Roman" w:hAnsi="Times New Roman" w:cs="Times New Roman"/>
                <w:sz w:val="18"/>
                <w:szCs w:val="18"/>
              </w:rPr>
              <w:t>westfalka</w:t>
            </w:r>
            <w:proofErr w:type="spellEnd"/>
            <w:r w:rsidRPr="00801CE6">
              <w:rPr>
                <w:rFonts w:ascii="Times New Roman" w:hAnsi="Times New Roman" w:cs="Times New Roman"/>
                <w:sz w:val="18"/>
                <w:szCs w:val="18"/>
              </w:rPr>
              <w:t xml:space="preserve"> (wspólnota mieszkaniowa wyraziła zgodę na zmianę ogrzewania przez przyszłego właściciela na gazowe).W pokojach na podłodze deski, w pozostałych zaś pomieszczeniach wykładzina PVC. Ściany: tynk malowany, a w łazience dodatkowo płytki.</w:t>
            </w:r>
            <w:r>
              <w:rPr>
                <w:rFonts w:ascii="Times New Roman" w:hAnsi="Times New Roman" w:cs="Times New Roman"/>
                <w:sz w:val="18"/>
                <w:szCs w:val="18"/>
              </w:rPr>
              <w:t xml:space="preserve"> </w:t>
            </w:r>
            <w:r w:rsidRPr="00801CE6">
              <w:rPr>
                <w:rFonts w:ascii="Times New Roman" w:hAnsi="Times New Roman" w:cs="Times New Roman"/>
                <w:sz w:val="18"/>
                <w:szCs w:val="18"/>
              </w:rPr>
              <w:t xml:space="preserve">Rzeczoznawca ocenił standard i wyposażenie lokalu jako wymagający  remontu. </w:t>
            </w:r>
          </w:p>
          <w:p w:rsidR="00801CE6" w:rsidRPr="00801CE6" w:rsidRDefault="00801CE6" w:rsidP="00801CE6">
            <w:pPr>
              <w:pStyle w:val="Tekstpodstawowywcity2"/>
              <w:tabs>
                <w:tab w:val="decimal" w:pos="4820"/>
                <w:tab w:val="decimal" w:pos="6096"/>
                <w:tab w:val="decimal" w:pos="8222"/>
              </w:tabs>
              <w:spacing w:line="240" w:lineRule="auto"/>
              <w:ind w:left="0"/>
              <w:rPr>
                <w:rFonts w:ascii="Times New Roman" w:hAnsi="Times New Roman" w:cs="Times New Roman"/>
                <w:sz w:val="18"/>
                <w:szCs w:val="18"/>
              </w:rPr>
            </w:pPr>
            <w:r w:rsidRPr="00801CE6">
              <w:rPr>
                <w:rFonts w:ascii="Times New Roman" w:hAnsi="Times New Roman" w:cs="Times New Roman"/>
                <w:sz w:val="18"/>
                <w:szCs w:val="18"/>
              </w:rPr>
              <w:t xml:space="preserve">Pomieszczenie gospodarcze (powierzchnia przynależna do lokalu) to fragment zabudowy parterowej murowanej w głębi podwórza. </w:t>
            </w:r>
          </w:p>
          <w:p w:rsidR="00801CE6" w:rsidRPr="00801CE6" w:rsidRDefault="00801CE6" w:rsidP="00801CE6">
            <w:pPr>
              <w:jc w:val="both"/>
              <w:rPr>
                <w:rFonts w:ascii="Times New Roman" w:hAnsi="Times New Roman" w:cs="Times New Roman"/>
                <w:sz w:val="18"/>
                <w:szCs w:val="18"/>
              </w:rPr>
            </w:pPr>
            <w:r w:rsidRPr="00801CE6">
              <w:rPr>
                <w:rFonts w:ascii="Times New Roman" w:hAnsi="Times New Roman" w:cs="Times New Roman"/>
                <w:sz w:val="18"/>
                <w:szCs w:val="18"/>
              </w:rPr>
              <w:t xml:space="preserve">Wraz z lokalem zbyty zostanie udział w  nieruchomości wspólnej wynoszący  591/5077 części, którą stanowi grunt oraz części budynku i urządzenia, które nie służą wyłącznie do użytku właścicieli lokali. </w:t>
            </w:r>
          </w:p>
          <w:p w:rsidR="0066648D" w:rsidRPr="002763ED" w:rsidRDefault="0066648D" w:rsidP="00801CE6">
            <w:pPr>
              <w:pStyle w:val="Tekstpodstawowywcity2"/>
              <w:tabs>
                <w:tab w:val="decimal" w:pos="4820"/>
                <w:tab w:val="decimal" w:pos="6096"/>
                <w:tab w:val="decimal" w:pos="8222"/>
              </w:tabs>
              <w:spacing w:line="276" w:lineRule="auto"/>
              <w:ind w:left="0"/>
              <w:rPr>
                <w:rFonts w:ascii="Times New Roman" w:hAnsi="Times New Roman" w:cs="Times New Roman"/>
                <w:sz w:val="18"/>
                <w:szCs w:val="18"/>
              </w:rPr>
            </w:pPr>
          </w:p>
        </w:tc>
        <w:tc>
          <w:tcPr>
            <w:tcW w:w="2409" w:type="dxa"/>
            <w:tcBorders>
              <w:top w:val="single" w:sz="4" w:space="0" w:color="00000A"/>
              <w:left w:val="single" w:sz="4" w:space="0" w:color="00000A"/>
              <w:bottom w:val="single" w:sz="4" w:space="0" w:color="00000A"/>
              <w:right w:val="nil"/>
            </w:tcBorders>
            <w:hideMark/>
          </w:tcPr>
          <w:p w:rsidR="0066648D" w:rsidRPr="002763ED" w:rsidRDefault="002763ED" w:rsidP="00801CE6">
            <w:pPr>
              <w:pStyle w:val="Tekstpodstawowywcity2"/>
              <w:tabs>
                <w:tab w:val="decimal" w:pos="0"/>
              </w:tabs>
              <w:spacing w:line="240" w:lineRule="auto"/>
              <w:ind w:left="0"/>
              <w:rPr>
                <w:rFonts w:ascii="Times New Roman" w:hAnsi="Times New Roman" w:cs="Times New Roman"/>
                <w:sz w:val="18"/>
                <w:szCs w:val="18"/>
              </w:rPr>
            </w:pPr>
            <w:r w:rsidRPr="002763ED">
              <w:rPr>
                <w:rFonts w:ascii="Times New Roman" w:hAnsi="Times New Roman" w:cs="Times New Roman"/>
                <w:sz w:val="18"/>
                <w:szCs w:val="18"/>
              </w:rPr>
              <w:t>Nieruchomość położona przy ul. Poznańskiej 81 w Toruniu  jest usytuowana na terenie objętym miejscowym planem zagospodarowania przestrzennego  dla terenów położonych przy</w:t>
            </w:r>
            <w:r w:rsidRPr="002763ED">
              <w:rPr>
                <w:rFonts w:ascii="Times New Roman" w:hAnsi="Times New Roman" w:cs="Times New Roman"/>
                <w:sz w:val="18"/>
                <w:szCs w:val="18"/>
              </w:rPr>
              <w:br/>
              <w:t>ul. Poznańskiej, pomiędzy ul. Parkową, a ul. Środkową oraz pomiędzy terenami składowymi,</w:t>
            </w:r>
            <w:r w:rsidRPr="002763ED">
              <w:rPr>
                <w:rFonts w:ascii="Times New Roman" w:hAnsi="Times New Roman" w:cs="Times New Roman"/>
                <w:sz w:val="18"/>
                <w:szCs w:val="18"/>
              </w:rPr>
              <w:br/>
              <w:t>a ul. Młyńską w Toruniu, zatwierdzonym Uchwałą nr 449/12 Rady Miasta Torunia z  dnia 13 grudnia 2012r. na obszarze jednostki planistycznej oznaczonej symbolem 70.20-MW1, dla której ustalono przeznaczenie podstawowe: zabudowa mieszkaniowa wielorodzinna, przeznaczenie dopuszczalne: usługi wbudowane, drogi wewnętrzne, parkingi, obiekty małej architektury, obiekty i urządze</w:t>
            </w:r>
            <w:r w:rsidR="0030283C">
              <w:rPr>
                <w:rFonts w:ascii="Times New Roman" w:hAnsi="Times New Roman" w:cs="Times New Roman"/>
                <w:sz w:val="18"/>
                <w:szCs w:val="18"/>
              </w:rPr>
              <w:t>nia infrastruktury technicznej.</w:t>
            </w:r>
          </w:p>
        </w:tc>
        <w:tc>
          <w:tcPr>
            <w:tcW w:w="1215" w:type="dxa"/>
            <w:tcBorders>
              <w:top w:val="single" w:sz="4" w:space="0" w:color="00000A"/>
              <w:left w:val="single" w:sz="4" w:space="0" w:color="00000A"/>
              <w:bottom w:val="single" w:sz="4" w:space="0" w:color="00000A"/>
              <w:right w:val="single" w:sz="4" w:space="0" w:color="00000A"/>
            </w:tcBorders>
            <w:hideMark/>
          </w:tcPr>
          <w:p w:rsidR="0066648D" w:rsidRPr="002763ED" w:rsidRDefault="001559E8" w:rsidP="003F2BA7">
            <w:pPr>
              <w:pStyle w:val="Tekstpodstawowy"/>
              <w:tabs>
                <w:tab w:val="left" w:pos="567"/>
              </w:tabs>
              <w:spacing w:line="260" w:lineRule="exact"/>
              <w:jc w:val="center"/>
              <w:rPr>
                <w:rFonts w:ascii="Times New Roman" w:hAnsi="Times New Roman" w:cs="Times New Roman"/>
                <w:sz w:val="18"/>
                <w:szCs w:val="18"/>
              </w:rPr>
            </w:pPr>
            <w:r>
              <w:rPr>
                <w:rFonts w:ascii="Times New Roman" w:hAnsi="Times New Roman" w:cs="Times New Roman"/>
                <w:sz w:val="18"/>
                <w:szCs w:val="18"/>
              </w:rPr>
              <w:t>205</w:t>
            </w:r>
            <w:r w:rsidR="0066648D" w:rsidRPr="002763ED">
              <w:rPr>
                <w:rFonts w:ascii="Times New Roman" w:hAnsi="Times New Roman" w:cs="Times New Roman"/>
                <w:sz w:val="18"/>
                <w:szCs w:val="18"/>
              </w:rPr>
              <w:t>.000,-</w:t>
            </w:r>
          </w:p>
        </w:tc>
      </w:tr>
    </w:tbl>
    <w:p w:rsidR="00EA025A" w:rsidRDefault="00EA025A" w:rsidP="001559E8">
      <w:pPr>
        <w:pStyle w:val="Tekstpodstawowywcity2"/>
        <w:numPr>
          <w:ilvl w:val="0"/>
          <w:numId w:val="3"/>
        </w:numPr>
        <w:tabs>
          <w:tab w:val="decimal" w:pos="0"/>
        </w:tabs>
        <w:spacing w:line="240" w:lineRule="auto"/>
        <w:jc w:val="both"/>
        <w:rPr>
          <w:rFonts w:ascii="Times New Roman" w:hAnsi="Times New Roman" w:cs="Times New Roman"/>
          <w:sz w:val="22"/>
          <w:szCs w:val="22"/>
        </w:rPr>
      </w:pPr>
      <w:r w:rsidRPr="00EA025A">
        <w:rPr>
          <w:rFonts w:ascii="Times New Roman" w:hAnsi="Times New Roman" w:cs="Times New Roman"/>
          <w:sz w:val="22"/>
          <w:szCs w:val="22"/>
        </w:rPr>
        <w:t>Lokal mieszkalny będący przedmiotem niniejszej uchwały usytuowany jest</w:t>
      </w:r>
      <w:r w:rsidRPr="00EA025A">
        <w:rPr>
          <w:rFonts w:ascii="Times New Roman" w:hAnsi="Times New Roman" w:cs="Times New Roman"/>
          <w:sz w:val="22"/>
          <w:szCs w:val="22"/>
        </w:rPr>
        <w:br/>
        <w:t>na II piętrze budynku mieszkalnego wielorodzinnego położonego przy ul. Poznańskiej 81</w:t>
      </w:r>
      <w:r w:rsidRPr="00EA025A">
        <w:rPr>
          <w:rFonts w:ascii="Times New Roman" w:hAnsi="Times New Roman" w:cs="Times New Roman"/>
          <w:sz w:val="22"/>
          <w:szCs w:val="22"/>
        </w:rPr>
        <w:br/>
        <w:t xml:space="preserve">w Toruniu na osiedlu </w:t>
      </w:r>
      <w:proofErr w:type="spellStart"/>
      <w:r w:rsidRPr="00EA025A">
        <w:rPr>
          <w:rFonts w:ascii="Times New Roman" w:hAnsi="Times New Roman" w:cs="Times New Roman"/>
          <w:sz w:val="22"/>
          <w:szCs w:val="22"/>
        </w:rPr>
        <w:t>Podgórz</w:t>
      </w:r>
      <w:proofErr w:type="spellEnd"/>
      <w:r w:rsidRPr="00EA025A">
        <w:rPr>
          <w:rFonts w:ascii="Times New Roman" w:hAnsi="Times New Roman" w:cs="Times New Roman"/>
          <w:sz w:val="22"/>
          <w:szCs w:val="22"/>
        </w:rPr>
        <w:t>, w odległości ok. 3 km od Rynku Staromiejskiego. Sąsiedztwo stanowi zabudowa mieszkaniowa wielorodzinna.</w:t>
      </w:r>
      <w:r>
        <w:rPr>
          <w:rFonts w:ascii="Times New Roman" w:hAnsi="Times New Roman" w:cs="Times New Roman"/>
          <w:sz w:val="22"/>
          <w:szCs w:val="22"/>
        </w:rPr>
        <w:t xml:space="preserve"> </w:t>
      </w:r>
      <w:r w:rsidRPr="00EA025A">
        <w:rPr>
          <w:rFonts w:ascii="Times New Roman" w:hAnsi="Times New Roman" w:cs="Times New Roman"/>
          <w:sz w:val="22"/>
          <w:szCs w:val="22"/>
        </w:rPr>
        <w:t>Budynek (kamienica) to obiekt 3-kodygnacyjny, podpiwniczony, wzniesiony w 1906r.</w:t>
      </w:r>
      <w:r>
        <w:rPr>
          <w:rFonts w:ascii="Times New Roman" w:hAnsi="Times New Roman" w:cs="Times New Roman"/>
          <w:sz w:val="22"/>
          <w:szCs w:val="22"/>
        </w:rPr>
        <w:t xml:space="preserve"> </w:t>
      </w:r>
      <w:r w:rsidRPr="00EA025A">
        <w:rPr>
          <w:rFonts w:ascii="Times New Roman" w:hAnsi="Times New Roman" w:cs="Times New Roman"/>
          <w:sz w:val="22"/>
          <w:szCs w:val="22"/>
        </w:rPr>
        <w:t>w technologii tradycyjnej, murowanej</w:t>
      </w:r>
      <w:r>
        <w:rPr>
          <w:rFonts w:ascii="Times New Roman" w:hAnsi="Times New Roman" w:cs="Times New Roman"/>
          <w:sz w:val="22"/>
          <w:szCs w:val="22"/>
        </w:rPr>
        <w:br/>
      </w:r>
      <w:r w:rsidRPr="00EA025A">
        <w:rPr>
          <w:rFonts w:ascii="Times New Roman" w:hAnsi="Times New Roman" w:cs="Times New Roman"/>
          <w:sz w:val="22"/>
          <w:szCs w:val="22"/>
        </w:rPr>
        <w:t>z cegły, z dachem o konstrukcji drewnianej, kryty papą. Budynek  jest nieocieplony</w:t>
      </w:r>
      <w:r>
        <w:rPr>
          <w:rFonts w:ascii="Times New Roman" w:hAnsi="Times New Roman" w:cs="Times New Roman"/>
          <w:sz w:val="22"/>
          <w:szCs w:val="22"/>
        </w:rPr>
        <w:br/>
      </w:r>
      <w:r w:rsidRPr="00EA025A">
        <w:rPr>
          <w:rFonts w:ascii="Times New Roman" w:hAnsi="Times New Roman" w:cs="Times New Roman"/>
          <w:sz w:val="22"/>
          <w:szCs w:val="22"/>
        </w:rPr>
        <w:t xml:space="preserve">i częściowo otynkowany. Do budynku przylega oficyna, która mieści się w podwórzu i </w:t>
      </w:r>
      <w:r w:rsidRPr="00EA025A">
        <w:rPr>
          <w:rFonts w:ascii="Times New Roman" w:hAnsi="Times New Roman" w:cs="Times New Roman"/>
          <w:sz w:val="22"/>
          <w:szCs w:val="22"/>
        </w:rPr>
        <w:lastRenderedPageBreak/>
        <w:t>posiada odrębne wejście.</w:t>
      </w:r>
    </w:p>
    <w:p w:rsidR="00EA025A" w:rsidRPr="00EA025A" w:rsidRDefault="00EA025A" w:rsidP="001559E8">
      <w:pPr>
        <w:pStyle w:val="Tekstpodstawowywcity2"/>
        <w:numPr>
          <w:ilvl w:val="0"/>
          <w:numId w:val="3"/>
        </w:numPr>
        <w:tabs>
          <w:tab w:val="decimal" w:pos="4820"/>
          <w:tab w:val="decimal" w:pos="6096"/>
          <w:tab w:val="decimal" w:pos="8222"/>
        </w:tabs>
        <w:spacing w:line="240" w:lineRule="auto"/>
        <w:jc w:val="both"/>
        <w:rPr>
          <w:rFonts w:ascii="Times New Roman" w:hAnsi="Times New Roman" w:cs="Times New Roman"/>
          <w:sz w:val="22"/>
          <w:szCs w:val="22"/>
        </w:rPr>
      </w:pPr>
      <w:r w:rsidRPr="00EA025A">
        <w:rPr>
          <w:rFonts w:ascii="Times New Roman" w:hAnsi="Times New Roman" w:cs="Times New Roman"/>
          <w:sz w:val="22"/>
          <w:szCs w:val="22"/>
        </w:rPr>
        <w:t>Kamienica wpisana jest do gminnej ewidencji zabytków i podlega ochronie konserwatorskiej. Wszelkie działania dotyczące budynku - w tym: wymiana stolarki okiennej</w:t>
      </w:r>
      <w:r w:rsidRPr="00EA025A">
        <w:rPr>
          <w:rFonts w:ascii="Times New Roman" w:hAnsi="Times New Roman" w:cs="Times New Roman"/>
          <w:sz w:val="22"/>
          <w:szCs w:val="22"/>
        </w:rPr>
        <w:br/>
        <w:t>i drzwiowej, remonty i zmiany w elewacji, dachu, kolorystyka elewacji itp. należy uzgadniać</w:t>
      </w:r>
      <w:r w:rsidRPr="00EA025A">
        <w:rPr>
          <w:rFonts w:ascii="Times New Roman" w:hAnsi="Times New Roman" w:cs="Times New Roman"/>
          <w:sz w:val="22"/>
          <w:szCs w:val="22"/>
        </w:rPr>
        <w:br/>
        <w:t xml:space="preserve">z Miejskim Konserwatorem Zabytków. Kamienica nie jest wpisana do rejestru zabytków Województwa Kujawko-Pomorskiego. </w:t>
      </w:r>
    </w:p>
    <w:p w:rsidR="0066648D" w:rsidRPr="0030283C" w:rsidRDefault="0066648D" w:rsidP="001559E8">
      <w:pPr>
        <w:pStyle w:val="Akapitzlist"/>
        <w:numPr>
          <w:ilvl w:val="0"/>
          <w:numId w:val="3"/>
        </w:numPr>
        <w:jc w:val="both"/>
        <w:rPr>
          <w:rFonts w:ascii="Times New Roman" w:hAnsi="Times New Roman" w:cs="Times New Roman"/>
          <w:sz w:val="22"/>
          <w:szCs w:val="22"/>
        </w:rPr>
      </w:pPr>
      <w:r w:rsidRPr="0030283C">
        <w:rPr>
          <w:rFonts w:ascii="Times New Roman" w:hAnsi="Times New Roman" w:cs="Times New Roman"/>
          <w:sz w:val="22"/>
          <w:szCs w:val="22"/>
        </w:rPr>
        <w:t xml:space="preserve">Lokal uzyskał status lokalu samodzielnego. Wraz z lokalem zbyty zostanie udział w częściach wspólnych nieruchomości określony ułamkiem </w:t>
      </w:r>
      <w:r w:rsidR="00801CE6">
        <w:rPr>
          <w:rFonts w:ascii="Times New Roman" w:hAnsi="Times New Roman" w:cs="Times New Roman"/>
          <w:sz w:val="22"/>
          <w:szCs w:val="22"/>
        </w:rPr>
        <w:t>591</w:t>
      </w:r>
      <w:r w:rsidRPr="0030283C">
        <w:rPr>
          <w:rFonts w:ascii="Times New Roman" w:hAnsi="Times New Roman" w:cs="Times New Roman"/>
          <w:sz w:val="22"/>
          <w:szCs w:val="22"/>
        </w:rPr>
        <w:t>/</w:t>
      </w:r>
      <w:r w:rsidR="002763ED" w:rsidRPr="0030283C">
        <w:rPr>
          <w:rFonts w:ascii="Times New Roman" w:hAnsi="Times New Roman" w:cs="Times New Roman"/>
          <w:sz w:val="22"/>
          <w:szCs w:val="22"/>
        </w:rPr>
        <w:t>5077</w:t>
      </w:r>
      <w:r w:rsidRPr="0030283C">
        <w:rPr>
          <w:rFonts w:ascii="Times New Roman" w:hAnsi="Times New Roman" w:cs="Times New Roman"/>
          <w:sz w:val="22"/>
          <w:szCs w:val="22"/>
        </w:rPr>
        <w:t xml:space="preserve"> części w prawie własności gruntu oraz w częściach wspólnych budynku i urządzeń, które nie służą  wyłącznie do użytku właścicieli lokali. </w:t>
      </w:r>
    </w:p>
    <w:p w:rsidR="0066648D" w:rsidRDefault="0066648D" w:rsidP="001559E8">
      <w:pPr>
        <w:pStyle w:val="Tekstpodstawowywcity2"/>
        <w:numPr>
          <w:ilvl w:val="0"/>
          <w:numId w:val="3"/>
        </w:numPr>
        <w:tabs>
          <w:tab w:val="decimal" w:pos="0"/>
        </w:tabs>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Prezydent Miasta Torunia zawiadamia poprzednich właścicieli zbywanej nieruchomości przejętej przed 5 grudnia 1990 r. lub jej spadkobierców oraz osoby, którym przysługuje roszczenie  o nabycie nieruchomości na podstawie przepisów ustaw, o przysługującym im pierwszeństwie w nabyciu tej nieruchomości. Warunkiem jest złożenie wniosku o nabycie w terminie 6-ciu tygodni od dnia ogłoszenia niniejszego obwieszczenia, na adres Urzędu Miasta w Toruniu ul. Wały Gen. Sikorskiego 8 oraz oświadczenie o wyrażeniu zgody na cenę ustaloną w sposób określony w ustawie z dnia 21 sierpnia 1997 roku o gospodarce nieruchomościami, tj. podaną w niniejszym obwieszczeniu. </w:t>
      </w:r>
    </w:p>
    <w:p w:rsidR="0066648D" w:rsidRDefault="0066648D" w:rsidP="001559E8">
      <w:pPr>
        <w:pStyle w:val="Tekstpodstawowywcity2"/>
        <w:numPr>
          <w:ilvl w:val="0"/>
          <w:numId w:val="3"/>
        </w:numPr>
        <w:tabs>
          <w:tab w:val="decimal" w:pos="0"/>
        </w:tabs>
        <w:spacing w:line="240" w:lineRule="auto"/>
        <w:jc w:val="both"/>
        <w:rPr>
          <w:rFonts w:ascii="Times New Roman" w:hAnsi="Times New Roman" w:cs="Times New Roman"/>
          <w:sz w:val="22"/>
          <w:szCs w:val="22"/>
        </w:rPr>
      </w:pPr>
      <w:r>
        <w:rPr>
          <w:rFonts w:ascii="Times New Roman" w:hAnsi="Times New Roman" w:cs="Times New Roman"/>
          <w:sz w:val="22"/>
          <w:szCs w:val="22"/>
        </w:rPr>
        <w:t>Prawo to nie przysługuje w stosunku do nieruchomości, o których mowa w art. 216 a ustawy</w:t>
      </w:r>
      <w:r>
        <w:rPr>
          <w:rFonts w:ascii="Times New Roman" w:hAnsi="Times New Roman" w:cs="Times New Roman"/>
          <w:sz w:val="22"/>
          <w:szCs w:val="22"/>
        </w:rPr>
        <w:br/>
        <w:t>o gospodarce nieruchomościami.</w:t>
      </w:r>
    </w:p>
    <w:p w:rsidR="0066648D" w:rsidRDefault="0066648D" w:rsidP="001559E8">
      <w:pPr>
        <w:pStyle w:val="Tekstpodstawowywcity2"/>
        <w:numPr>
          <w:ilvl w:val="0"/>
          <w:numId w:val="3"/>
        </w:numPr>
        <w:tabs>
          <w:tab w:val="decimal" w:pos="0"/>
        </w:tabs>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Wykaz wywiesza się na okres 21 dni tj. od dnia </w:t>
      </w:r>
      <w:r w:rsidR="001559E8">
        <w:rPr>
          <w:rFonts w:ascii="Times New Roman" w:hAnsi="Times New Roman" w:cs="Times New Roman"/>
          <w:sz w:val="22"/>
          <w:szCs w:val="22"/>
        </w:rPr>
        <w:t>24</w:t>
      </w:r>
      <w:r>
        <w:rPr>
          <w:rFonts w:ascii="Times New Roman" w:hAnsi="Times New Roman" w:cs="Times New Roman"/>
          <w:sz w:val="22"/>
          <w:szCs w:val="22"/>
        </w:rPr>
        <w:t>.</w:t>
      </w:r>
      <w:r w:rsidR="001559E8">
        <w:rPr>
          <w:rFonts w:ascii="Times New Roman" w:hAnsi="Times New Roman" w:cs="Times New Roman"/>
          <w:sz w:val="22"/>
          <w:szCs w:val="22"/>
        </w:rPr>
        <w:t>07</w:t>
      </w:r>
      <w:r>
        <w:rPr>
          <w:rFonts w:ascii="Times New Roman" w:hAnsi="Times New Roman" w:cs="Times New Roman"/>
          <w:sz w:val="22"/>
          <w:szCs w:val="22"/>
        </w:rPr>
        <w:t>.</w:t>
      </w:r>
      <w:r w:rsidR="00EA025A">
        <w:rPr>
          <w:rFonts w:ascii="Times New Roman" w:hAnsi="Times New Roman" w:cs="Times New Roman"/>
          <w:sz w:val="22"/>
          <w:szCs w:val="22"/>
        </w:rPr>
        <w:t>202</w:t>
      </w:r>
      <w:r w:rsidR="001559E8">
        <w:rPr>
          <w:rFonts w:ascii="Times New Roman" w:hAnsi="Times New Roman" w:cs="Times New Roman"/>
          <w:sz w:val="22"/>
          <w:szCs w:val="22"/>
        </w:rPr>
        <w:t>3</w:t>
      </w:r>
      <w:r>
        <w:rPr>
          <w:rFonts w:ascii="Times New Roman" w:hAnsi="Times New Roman" w:cs="Times New Roman"/>
          <w:sz w:val="22"/>
          <w:szCs w:val="22"/>
        </w:rPr>
        <w:t xml:space="preserve"> roku do dnia </w:t>
      </w:r>
      <w:r w:rsidR="001559E8">
        <w:rPr>
          <w:rFonts w:ascii="Times New Roman" w:hAnsi="Times New Roman" w:cs="Times New Roman"/>
          <w:sz w:val="22"/>
          <w:szCs w:val="22"/>
        </w:rPr>
        <w:t>14</w:t>
      </w:r>
      <w:r>
        <w:rPr>
          <w:rFonts w:ascii="Times New Roman" w:hAnsi="Times New Roman" w:cs="Times New Roman"/>
          <w:sz w:val="22"/>
          <w:szCs w:val="22"/>
        </w:rPr>
        <w:t>.</w:t>
      </w:r>
      <w:r w:rsidR="00EA025A">
        <w:rPr>
          <w:rFonts w:ascii="Times New Roman" w:hAnsi="Times New Roman" w:cs="Times New Roman"/>
          <w:sz w:val="22"/>
          <w:szCs w:val="22"/>
        </w:rPr>
        <w:t>0</w:t>
      </w:r>
      <w:r w:rsidR="001559E8">
        <w:rPr>
          <w:rFonts w:ascii="Times New Roman" w:hAnsi="Times New Roman" w:cs="Times New Roman"/>
          <w:sz w:val="22"/>
          <w:szCs w:val="22"/>
        </w:rPr>
        <w:t>8</w:t>
      </w:r>
      <w:r>
        <w:rPr>
          <w:rFonts w:ascii="Times New Roman" w:hAnsi="Times New Roman" w:cs="Times New Roman"/>
          <w:sz w:val="22"/>
          <w:szCs w:val="22"/>
        </w:rPr>
        <w:t>.</w:t>
      </w:r>
      <w:r w:rsidR="00EA025A">
        <w:rPr>
          <w:rFonts w:ascii="Times New Roman" w:hAnsi="Times New Roman" w:cs="Times New Roman"/>
          <w:sz w:val="22"/>
          <w:szCs w:val="22"/>
        </w:rPr>
        <w:t>202</w:t>
      </w:r>
      <w:r w:rsidR="001559E8">
        <w:rPr>
          <w:rFonts w:ascii="Times New Roman" w:hAnsi="Times New Roman" w:cs="Times New Roman"/>
          <w:sz w:val="22"/>
          <w:szCs w:val="22"/>
        </w:rPr>
        <w:t>3</w:t>
      </w:r>
      <w:r>
        <w:rPr>
          <w:rFonts w:ascii="Times New Roman" w:hAnsi="Times New Roman" w:cs="Times New Roman"/>
          <w:sz w:val="22"/>
          <w:szCs w:val="22"/>
        </w:rPr>
        <w:t xml:space="preserve"> roku.</w:t>
      </w:r>
    </w:p>
    <w:p w:rsidR="0066648D" w:rsidRDefault="0066648D" w:rsidP="001559E8">
      <w:pPr>
        <w:pStyle w:val="Tekstpodstawowywcity2"/>
        <w:numPr>
          <w:ilvl w:val="0"/>
          <w:numId w:val="3"/>
        </w:numPr>
        <w:tabs>
          <w:tab w:val="decimal" w:pos="0"/>
        </w:tabs>
        <w:spacing w:line="240" w:lineRule="auto"/>
        <w:jc w:val="both"/>
        <w:rPr>
          <w:rFonts w:ascii="Times New Roman" w:hAnsi="Times New Roman" w:cs="Times New Roman"/>
          <w:sz w:val="22"/>
          <w:szCs w:val="22"/>
        </w:rPr>
      </w:pPr>
      <w:r>
        <w:rPr>
          <w:rFonts w:ascii="Times New Roman" w:hAnsi="Times New Roman" w:cs="Times New Roman"/>
          <w:sz w:val="22"/>
          <w:szCs w:val="22"/>
        </w:rPr>
        <w:t>Po upływie terminów, o których mowa w wykazie, ogłoszony zostanie przetarg na sprzedaż przedmiotowej nieruchomości.</w:t>
      </w:r>
    </w:p>
    <w:p w:rsidR="0066648D" w:rsidRDefault="0066648D" w:rsidP="001559E8">
      <w:pPr>
        <w:pStyle w:val="Tekstpodstawowywcity2"/>
        <w:numPr>
          <w:ilvl w:val="0"/>
          <w:numId w:val="3"/>
        </w:numPr>
        <w:tabs>
          <w:tab w:val="decimal" w:pos="0"/>
        </w:tabs>
        <w:spacing w:line="240" w:lineRule="auto"/>
        <w:jc w:val="both"/>
        <w:rPr>
          <w:rFonts w:ascii="Times New Roman" w:hAnsi="Times New Roman" w:cs="Times New Roman"/>
          <w:sz w:val="22"/>
          <w:szCs w:val="22"/>
        </w:rPr>
      </w:pPr>
      <w:r>
        <w:rPr>
          <w:rFonts w:ascii="Times New Roman" w:hAnsi="Times New Roman" w:cs="Times New Roman"/>
          <w:sz w:val="22"/>
          <w:szCs w:val="22"/>
        </w:rPr>
        <w:t>Obwieszczenie wchodzi w życie z dniem ogłoszenia.</w:t>
      </w:r>
    </w:p>
    <w:p w:rsidR="0066648D" w:rsidRDefault="0066648D" w:rsidP="001559E8">
      <w:pPr>
        <w:pStyle w:val="Tekstpodstawowy21"/>
        <w:spacing w:line="240" w:lineRule="auto"/>
        <w:rPr>
          <w:rFonts w:ascii="Times New Roman" w:hAnsi="Times New Roman" w:cs="Times New Roman"/>
          <w:sz w:val="22"/>
          <w:szCs w:val="22"/>
        </w:rPr>
      </w:pPr>
    </w:p>
    <w:p w:rsidR="0066648D" w:rsidRDefault="0066648D" w:rsidP="001559E8">
      <w:pPr>
        <w:pStyle w:val="Tekstpodstawowy21"/>
        <w:spacing w:line="240" w:lineRule="auto"/>
        <w:ind w:firstLine="60"/>
        <w:rPr>
          <w:rFonts w:ascii="Times New Roman" w:hAnsi="Times New Roman" w:cs="Times New Roman"/>
          <w:sz w:val="22"/>
          <w:szCs w:val="22"/>
        </w:rPr>
      </w:pPr>
    </w:p>
    <w:p w:rsidR="0066648D" w:rsidRDefault="0066648D" w:rsidP="001559E8">
      <w:pPr>
        <w:pStyle w:val="Tekstpodstawowy21"/>
        <w:spacing w:line="240" w:lineRule="auto"/>
        <w:ind w:right="1021"/>
        <w:rPr>
          <w:rFonts w:ascii="Times New Roman" w:hAnsi="Times New Roman" w:cs="Times New Roman"/>
          <w:sz w:val="22"/>
          <w:szCs w:val="22"/>
        </w:rPr>
      </w:pPr>
      <w:r>
        <w:rPr>
          <w:rFonts w:ascii="Times New Roman" w:hAnsi="Times New Roman" w:cs="Times New Roman"/>
          <w:sz w:val="22"/>
          <w:szCs w:val="22"/>
        </w:rPr>
        <w:t>IW</w:t>
      </w:r>
    </w:p>
    <w:p w:rsidR="00851DB8" w:rsidRDefault="00851DB8" w:rsidP="001559E8"/>
    <w:p w:rsidR="001559E8" w:rsidRDefault="001559E8" w:rsidP="001559E8">
      <w:pPr>
        <w:ind w:firstLine="4820"/>
        <w:rPr>
          <w:rFonts w:ascii="Times New Roman" w:hAnsi="Times New Roman" w:cs="Times New Roman"/>
          <w:sz w:val="20"/>
          <w:szCs w:val="20"/>
        </w:rPr>
      </w:pPr>
      <w:r>
        <w:rPr>
          <w:rFonts w:ascii="Times New Roman" w:hAnsi="Times New Roman" w:cs="Times New Roman"/>
          <w:sz w:val="20"/>
          <w:szCs w:val="20"/>
        </w:rPr>
        <w:t xml:space="preserve">           </w:t>
      </w:r>
      <w:r w:rsidRPr="001559E8">
        <w:rPr>
          <w:rFonts w:ascii="Times New Roman" w:hAnsi="Times New Roman" w:cs="Times New Roman"/>
          <w:sz w:val="20"/>
          <w:szCs w:val="20"/>
        </w:rPr>
        <w:t xml:space="preserve">(-) </w:t>
      </w:r>
      <w:r>
        <w:rPr>
          <w:rFonts w:ascii="Times New Roman" w:hAnsi="Times New Roman" w:cs="Times New Roman"/>
          <w:sz w:val="20"/>
          <w:szCs w:val="20"/>
        </w:rPr>
        <w:t>Elżbieta</w:t>
      </w:r>
      <w:r w:rsidRPr="001559E8">
        <w:rPr>
          <w:rFonts w:ascii="Times New Roman" w:hAnsi="Times New Roman" w:cs="Times New Roman"/>
          <w:sz w:val="20"/>
          <w:szCs w:val="20"/>
        </w:rPr>
        <w:t xml:space="preserve"> </w:t>
      </w:r>
      <w:r>
        <w:rPr>
          <w:rFonts w:ascii="Times New Roman" w:hAnsi="Times New Roman" w:cs="Times New Roman"/>
          <w:sz w:val="20"/>
          <w:szCs w:val="20"/>
        </w:rPr>
        <w:t>K</w:t>
      </w:r>
      <w:r w:rsidRPr="001559E8">
        <w:rPr>
          <w:rFonts w:ascii="Times New Roman" w:hAnsi="Times New Roman" w:cs="Times New Roman"/>
          <w:sz w:val="20"/>
          <w:szCs w:val="20"/>
        </w:rPr>
        <w:t>owalska</w:t>
      </w:r>
    </w:p>
    <w:p w:rsidR="001559E8" w:rsidRDefault="001559E8" w:rsidP="001559E8">
      <w:pPr>
        <w:ind w:firstLine="4820"/>
        <w:rPr>
          <w:rFonts w:ascii="Times New Roman" w:hAnsi="Times New Roman" w:cs="Times New Roman"/>
          <w:sz w:val="20"/>
          <w:szCs w:val="20"/>
        </w:rPr>
      </w:pPr>
      <w:r>
        <w:rPr>
          <w:rFonts w:ascii="Times New Roman" w:hAnsi="Times New Roman" w:cs="Times New Roman"/>
          <w:sz w:val="20"/>
          <w:szCs w:val="20"/>
        </w:rPr>
        <w:t xml:space="preserve">       </w:t>
      </w:r>
      <w:bookmarkStart w:id="0" w:name="_GoBack"/>
      <w:bookmarkEnd w:id="0"/>
      <w:r>
        <w:rPr>
          <w:rFonts w:ascii="Times New Roman" w:hAnsi="Times New Roman" w:cs="Times New Roman"/>
          <w:sz w:val="20"/>
          <w:szCs w:val="20"/>
        </w:rPr>
        <w:t xml:space="preserve">        Zastępca Dyrektora</w:t>
      </w:r>
    </w:p>
    <w:p w:rsidR="001559E8" w:rsidRDefault="001559E8" w:rsidP="001559E8">
      <w:pPr>
        <w:ind w:firstLine="4820"/>
        <w:rPr>
          <w:rFonts w:ascii="Times New Roman" w:hAnsi="Times New Roman" w:cs="Times New Roman"/>
          <w:sz w:val="20"/>
          <w:szCs w:val="20"/>
        </w:rPr>
      </w:pPr>
      <w:r>
        <w:rPr>
          <w:rFonts w:ascii="Times New Roman" w:hAnsi="Times New Roman" w:cs="Times New Roman"/>
          <w:sz w:val="20"/>
          <w:szCs w:val="20"/>
        </w:rPr>
        <w:t>Wydziału Gospodarki Nieruchomościami</w:t>
      </w:r>
    </w:p>
    <w:p w:rsidR="001559E8" w:rsidRPr="001559E8" w:rsidRDefault="001559E8" w:rsidP="001559E8">
      <w:pPr>
        <w:ind w:firstLine="4820"/>
        <w:rPr>
          <w:rFonts w:ascii="Times New Roman" w:hAnsi="Times New Roman" w:cs="Times New Roman"/>
          <w:sz w:val="20"/>
          <w:szCs w:val="20"/>
        </w:rPr>
      </w:pPr>
    </w:p>
    <w:sectPr w:rsidR="001559E8" w:rsidRPr="001559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pStyle w:val="Nagwek1"/>
      <w:lvlText w:val="%1."/>
      <w:lvlJc w:val="left"/>
      <w:pPr>
        <w:tabs>
          <w:tab w:val="num" w:pos="360"/>
        </w:tabs>
        <w:ind w:left="360" w:hanging="360"/>
      </w:pPr>
      <w:rPr>
        <w:b w:val="0"/>
        <w:bCs w:val="0"/>
        <w:sz w:val="22"/>
        <w:szCs w:val="22"/>
      </w:rPr>
    </w:lvl>
    <w:lvl w:ilvl="1">
      <w:start w:val="1"/>
      <w:numFmt w:val="decimal"/>
      <w:pStyle w:val="Nagwek2"/>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407538D"/>
    <w:multiLevelType w:val="hybridMultilevel"/>
    <w:tmpl w:val="FE06B58E"/>
    <w:lvl w:ilvl="0" w:tplc="984ADF2E">
      <w:start w:val="1"/>
      <w:numFmt w:val="decimal"/>
      <w:lvlText w:val="%1."/>
      <w:lvlJc w:val="left"/>
      <w:pPr>
        <w:ind w:left="926"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E78"/>
    <w:rsid w:val="00001A88"/>
    <w:rsid w:val="001559E8"/>
    <w:rsid w:val="002763ED"/>
    <w:rsid w:val="0030283C"/>
    <w:rsid w:val="00334105"/>
    <w:rsid w:val="005F2E78"/>
    <w:rsid w:val="0066648D"/>
    <w:rsid w:val="00801CE6"/>
    <w:rsid w:val="00851DB8"/>
    <w:rsid w:val="00984D27"/>
    <w:rsid w:val="00C8418C"/>
    <w:rsid w:val="00CA3724"/>
    <w:rsid w:val="00E23B6D"/>
    <w:rsid w:val="00EA02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7055C"/>
  <w15:chartTrackingRefBased/>
  <w15:docId w15:val="{115953ED-77CC-496E-8214-4ADFDEDAB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648D"/>
    <w:pPr>
      <w:widowControl w:val="0"/>
      <w:suppressAutoHyphens/>
      <w:spacing w:after="0" w:line="240" w:lineRule="auto"/>
    </w:pPr>
    <w:rPr>
      <w:rFonts w:ascii="Liberation Serif" w:eastAsia="SimSun" w:hAnsi="Liberation Serif" w:cs="Mangal"/>
      <w:kern w:val="2"/>
      <w:sz w:val="24"/>
      <w:szCs w:val="24"/>
      <w:lang w:eastAsia="zh-CN" w:bidi="hi-IN"/>
    </w:rPr>
  </w:style>
  <w:style w:type="paragraph" w:styleId="Nagwek1">
    <w:name w:val="heading 1"/>
    <w:basedOn w:val="Normalny"/>
    <w:next w:val="Tekstpodstawowy"/>
    <w:link w:val="Nagwek1Znak"/>
    <w:qFormat/>
    <w:rsid w:val="0066648D"/>
    <w:pPr>
      <w:keepNext/>
      <w:numPr>
        <w:numId w:val="1"/>
      </w:numPr>
      <w:jc w:val="center"/>
      <w:outlineLvl w:val="0"/>
    </w:pPr>
  </w:style>
  <w:style w:type="paragraph" w:styleId="Nagwek2">
    <w:name w:val="heading 2"/>
    <w:basedOn w:val="Normalny"/>
    <w:next w:val="Tekstpodstawowy"/>
    <w:link w:val="Nagwek2Znak"/>
    <w:semiHidden/>
    <w:unhideWhenUsed/>
    <w:qFormat/>
    <w:rsid w:val="0066648D"/>
    <w:pPr>
      <w:keepNext/>
      <w:numPr>
        <w:ilvl w:val="1"/>
        <w:numId w:val="1"/>
      </w:numPr>
      <w:jc w:val="center"/>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6648D"/>
    <w:rPr>
      <w:rFonts w:ascii="Liberation Serif" w:eastAsia="SimSun" w:hAnsi="Liberation Serif" w:cs="Mangal"/>
      <w:kern w:val="2"/>
      <w:sz w:val="24"/>
      <w:szCs w:val="24"/>
      <w:lang w:eastAsia="zh-CN" w:bidi="hi-IN"/>
    </w:rPr>
  </w:style>
  <w:style w:type="character" w:customStyle="1" w:styleId="Nagwek2Znak">
    <w:name w:val="Nagłówek 2 Znak"/>
    <w:basedOn w:val="Domylnaczcionkaakapitu"/>
    <w:link w:val="Nagwek2"/>
    <w:semiHidden/>
    <w:rsid w:val="0066648D"/>
    <w:rPr>
      <w:rFonts w:ascii="Liberation Serif" w:eastAsia="SimSun" w:hAnsi="Liberation Serif" w:cs="Mangal"/>
      <w:b/>
      <w:kern w:val="2"/>
      <w:sz w:val="24"/>
      <w:szCs w:val="24"/>
      <w:lang w:eastAsia="zh-CN" w:bidi="hi-IN"/>
    </w:rPr>
  </w:style>
  <w:style w:type="paragraph" w:styleId="Tekstpodstawowy">
    <w:name w:val="Body Text"/>
    <w:basedOn w:val="Normalny"/>
    <w:link w:val="TekstpodstawowyZnak"/>
    <w:semiHidden/>
    <w:unhideWhenUsed/>
    <w:rsid w:val="0066648D"/>
    <w:pPr>
      <w:spacing w:after="140" w:line="288" w:lineRule="auto"/>
    </w:pPr>
  </w:style>
  <w:style w:type="character" w:customStyle="1" w:styleId="TekstpodstawowyZnak">
    <w:name w:val="Tekst podstawowy Znak"/>
    <w:basedOn w:val="Domylnaczcionkaakapitu"/>
    <w:link w:val="Tekstpodstawowy"/>
    <w:semiHidden/>
    <w:qFormat/>
    <w:rsid w:val="0066648D"/>
    <w:rPr>
      <w:rFonts w:ascii="Liberation Serif" w:eastAsia="SimSun" w:hAnsi="Liberation Serif" w:cs="Mangal"/>
      <w:kern w:val="2"/>
      <w:sz w:val="24"/>
      <w:szCs w:val="24"/>
      <w:lang w:eastAsia="zh-CN" w:bidi="hi-IN"/>
    </w:rPr>
  </w:style>
  <w:style w:type="paragraph" w:styleId="Tekstpodstawowywcity2">
    <w:name w:val="Body Text Indent 2"/>
    <w:basedOn w:val="Normalny"/>
    <w:link w:val="Tekstpodstawowywcity2Znak"/>
    <w:uiPriority w:val="99"/>
    <w:unhideWhenUsed/>
    <w:rsid w:val="0066648D"/>
    <w:pPr>
      <w:spacing w:after="120" w:line="480" w:lineRule="auto"/>
      <w:ind w:left="283"/>
    </w:pPr>
    <w:rPr>
      <w:szCs w:val="21"/>
    </w:rPr>
  </w:style>
  <w:style w:type="character" w:customStyle="1" w:styleId="Tekstpodstawowywcity2Znak">
    <w:name w:val="Tekst podstawowy wcięty 2 Znak"/>
    <w:basedOn w:val="Domylnaczcionkaakapitu"/>
    <w:link w:val="Tekstpodstawowywcity2"/>
    <w:uiPriority w:val="99"/>
    <w:rsid w:val="0066648D"/>
    <w:rPr>
      <w:rFonts w:ascii="Liberation Serif" w:eastAsia="SimSun" w:hAnsi="Liberation Serif" w:cs="Mangal"/>
      <w:kern w:val="2"/>
      <w:sz w:val="24"/>
      <w:szCs w:val="21"/>
      <w:lang w:eastAsia="zh-CN" w:bidi="hi-IN"/>
    </w:rPr>
  </w:style>
  <w:style w:type="paragraph" w:customStyle="1" w:styleId="Tekstpodstawowy21">
    <w:name w:val="Tekst podstawowy 21"/>
    <w:basedOn w:val="Normalny"/>
    <w:rsid w:val="0066648D"/>
    <w:pPr>
      <w:spacing w:line="360" w:lineRule="auto"/>
      <w:jc w:val="both"/>
    </w:pPr>
  </w:style>
  <w:style w:type="paragraph" w:customStyle="1" w:styleId="Tretekstu">
    <w:name w:val="Treść tekstu"/>
    <w:basedOn w:val="Normalny"/>
    <w:rsid w:val="0066648D"/>
    <w:pPr>
      <w:widowControl/>
      <w:suppressAutoHyphens w:val="0"/>
      <w:jc w:val="both"/>
    </w:pPr>
    <w:rPr>
      <w:rFonts w:asciiTheme="minorHAnsi" w:eastAsiaTheme="minorHAnsi" w:hAnsiTheme="minorHAnsi" w:cstheme="minorBidi"/>
      <w:kern w:val="0"/>
      <w:szCs w:val="22"/>
      <w:lang w:eastAsia="en-US" w:bidi="ar-SA"/>
    </w:rPr>
  </w:style>
  <w:style w:type="paragraph" w:styleId="Akapitzlist">
    <w:name w:val="List Paragraph"/>
    <w:basedOn w:val="Normalny"/>
    <w:uiPriority w:val="34"/>
    <w:qFormat/>
    <w:rsid w:val="0066648D"/>
    <w:pPr>
      <w:ind w:left="720"/>
      <w:contextualSpacing/>
    </w:pPr>
    <w:rPr>
      <w:szCs w:val="21"/>
    </w:rPr>
  </w:style>
  <w:style w:type="paragraph" w:styleId="Tekstdymka">
    <w:name w:val="Balloon Text"/>
    <w:basedOn w:val="Normalny"/>
    <w:link w:val="TekstdymkaZnak"/>
    <w:uiPriority w:val="99"/>
    <w:semiHidden/>
    <w:unhideWhenUsed/>
    <w:rsid w:val="002763ED"/>
    <w:rPr>
      <w:rFonts w:ascii="Segoe UI" w:hAnsi="Segoe UI"/>
      <w:sz w:val="18"/>
      <w:szCs w:val="16"/>
    </w:rPr>
  </w:style>
  <w:style w:type="character" w:customStyle="1" w:styleId="TekstdymkaZnak">
    <w:name w:val="Tekst dymka Znak"/>
    <w:basedOn w:val="Domylnaczcionkaakapitu"/>
    <w:link w:val="Tekstdymka"/>
    <w:uiPriority w:val="99"/>
    <w:semiHidden/>
    <w:rsid w:val="002763ED"/>
    <w:rPr>
      <w:rFonts w:ascii="Segoe UI" w:eastAsia="SimSun" w:hAnsi="Segoe UI" w:cs="Mangal"/>
      <w:kern w:val="2"/>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799</Words>
  <Characters>4794</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i.wieckowska</dc:creator>
  <cp:keywords/>
  <dc:description/>
  <cp:lastModifiedBy>i.wieckowska</cp:lastModifiedBy>
  <cp:revision>5</cp:revision>
  <cp:lastPrinted>2023-07-21T09:45:00Z</cp:lastPrinted>
  <dcterms:created xsi:type="dcterms:W3CDTF">2022-06-13T08:06:00Z</dcterms:created>
  <dcterms:modified xsi:type="dcterms:W3CDTF">2023-07-21T09:51:00Z</dcterms:modified>
</cp:coreProperties>
</file>