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91" w:rsidRDefault="00490D91" w:rsidP="00490D91">
      <w:pPr>
        <w:jc w:val="center"/>
      </w:pPr>
      <w:r>
        <w:rPr>
          <w:rFonts w:eastAsia="Times New Roman"/>
          <w:b/>
        </w:rPr>
        <w:t xml:space="preserve">ZARZĄDZENIE  </w:t>
      </w:r>
      <w:r>
        <w:rPr>
          <w:rFonts w:eastAsia="Times New Roman"/>
          <w:b/>
          <w:bCs/>
        </w:rPr>
        <w:t xml:space="preserve">NR </w:t>
      </w:r>
      <w:r w:rsidR="00335E37">
        <w:rPr>
          <w:rFonts w:eastAsia="Times New Roman"/>
          <w:b/>
          <w:bCs/>
        </w:rPr>
        <w:t>152</w:t>
      </w:r>
    </w:p>
    <w:p w:rsidR="00490D91" w:rsidRDefault="00490D91" w:rsidP="00490D91">
      <w:pPr>
        <w:jc w:val="center"/>
        <w:rPr>
          <w:rFonts w:eastAsia="Times New Roman"/>
          <w:b/>
        </w:rPr>
      </w:pPr>
      <w:r>
        <w:rPr>
          <w:rFonts w:eastAsia="Times New Roman"/>
          <w:b/>
        </w:rPr>
        <w:t>PREZYDENTA MIASTA TORUNIA</w:t>
      </w:r>
    </w:p>
    <w:p w:rsidR="00490D91" w:rsidRDefault="00131AC4" w:rsidP="00490D91">
      <w:pPr>
        <w:pStyle w:val="Tekstpodstawowy"/>
        <w:spacing w:after="0"/>
        <w:jc w:val="center"/>
        <w:rPr>
          <w:rFonts w:eastAsia="Times New Roman"/>
          <w:b/>
        </w:rPr>
      </w:pPr>
      <w:r>
        <w:rPr>
          <w:rFonts w:eastAsia="Times New Roman"/>
        </w:rPr>
        <w:t>z dnia</w:t>
      </w:r>
      <w:r w:rsidR="00335E37">
        <w:rPr>
          <w:rFonts w:eastAsia="Times New Roman"/>
        </w:rPr>
        <w:t xml:space="preserve"> 05.07.2023 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131AC4">
        <w:rPr>
          <w:rFonts w:eastAsia="Times New Roman"/>
          <w:b/>
        </w:rPr>
        <w:t>pierwszego</w:t>
      </w:r>
      <w:r>
        <w:rPr>
          <w:rFonts w:eastAsia="Times New Roman"/>
          <w:b/>
        </w:rPr>
        <w:t xml:space="preserve"> 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 xml:space="preserve">na sprzedaż nieruchomości, </w:t>
      </w:r>
      <w:r w:rsidR="009464D3">
        <w:rPr>
          <w:rFonts w:eastAsia="Times New Roman"/>
          <w:b/>
        </w:rPr>
        <w:t xml:space="preserve">położonych przy ul. </w:t>
      </w:r>
      <w:r w:rsidR="003F0884">
        <w:rPr>
          <w:rFonts w:eastAsia="Times New Roman"/>
          <w:b/>
        </w:rPr>
        <w:t>Szkolnej 2 i ul. Jodłowej 1 w miejscowości Ostrowite</w:t>
      </w:r>
      <w:r w:rsidR="006C12E5">
        <w:rPr>
          <w:rFonts w:eastAsia="Times New Roman"/>
          <w:b/>
        </w:rPr>
        <w:t xml:space="preserve"> w Gminie Czersk</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rsidR="003825EF">
        <w:t xml:space="preserve"> z </w:t>
      </w:r>
      <w:proofErr w:type="spellStart"/>
      <w:r w:rsidR="003825EF">
        <w:t>późn</w:t>
      </w:r>
      <w:proofErr w:type="spellEnd"/>
      <w:r w:rsidR="003825EF">
        <w:t>. zm.</w:t>
      </w:r>
      <w:r w:rsidR="003825EF" w:rsidRPr="003825EF">
        <w:rPr>
          <w:vertAlign w:val="superscript"/>
        </w:rPr>
        <w:t>1)</w:t>
      </w:r>
      <w:r>
        <w:t>),</w:t>
      </w:r>
      <w:r>
        <w:rPr>
          <w:rFonts w:eastAsia="HG Mincho Light J"/>
          <w:color w:val="000000"/>
        </w:rPr>
        <w:t xml:space="preserve"> uchwały nr </w:t>
      </w:r>
      <w:r w:rsidR="005042A4">
        <w:rPr>
          <w:rFonts w:eastAsia="HG Mincho Light J"/>
          <w:color w:val="000000"/>
        </w:rPr>
        <w:t>1074</w:t>
      </w:r>
      <w:r>
        <w:rPr>
          <w:rFonts w:eastAsia="HG Mincho Light J"/>
          <w:color w:val="000000"/>
        </w:rPr>
        <w:t>/</w:t>
      </w:r>
      <w:r w:rsidR="005042A4">
        <w:rPr>
          <w:rFonts w:eastAsia="HG Mincho Light J"/>
          <w:color w:val="000000"/>
        </w:rPr>
        <w:t>23</w:t>
      </w:r>
      <w:r>
        <w:rPr>
          <w:rFonts w:eastAsia="HG Mincho Light J"/>
          <w:color w:val="000000"/>
        </w:rPr>
        <w:t xml:space="preserve"> z </w:t>
      </w:r>
      <w:r w:rsidR="005042A4">
        <w:rPr>
          <w:rFonts w:eastAsia="HG Mincho Light J"/>
          <w:color w:val="000000"/>
        </w:rPr>
        <w:t>dnia 20</w:t>
      </w:r>
      <w:r>
        <w:rPr>
          <w:rFonts w:eastAsia="HG Mincho Light J"/>
          <w:color w:val="000000"/>
        </w:rPr>
        <w:t xml:space="preserve"> </w:t>
      </w:r>
      <w:r w:rsidR="005042A4">
        <w:rPr>
          <w:rFonts w:eastAsia="HG Mincho Light J"/>
          <w:color w:val="000000"/>
        </w:rPr>
        <w:t>kwietnia</w:t>
      </w:r>
      <w:r>
        <w:rPr>
          <w:rFonts w:eastAsia="HG Mincho Light J"/>
          <w:color w:val="000000"/>
        </w:rPr>
        <w:t xml:space="preserve"> 20</w:t>
      </w:r>
      <w:r w:rsidR="005042A4">
        <w:rPr>
          <w:rFonts w:eastAsia="HG Mincho Light J"/>
          <w:color w:val="000000"/>
        </w:rPr>
        <w:t>23</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położonych </w:t>
      </w:r>
      <w:r w:rsidR="005042A4">
        <w:rPr>
          <w:rFonts w:eastAsia="Times New Roman"/>
        </w:rPr>
        <w:t>przy ul. Szkolnej 2 i ul. Jodłowej 1 w miejscowości Ostrowite w Gminie Czersk, stanowiących własność Gminy Miasta Toruń, zarzą</w:t>
      </w:r>
      <w:r>
        <w:rPr>
          <w:rFonts w:eastAsia="HG Mincho Light J"/>
          <w:color w:val="000000"/>
        </w:rPr>
        <w:t>dza się, co następuje:</w:t>
      </w:r>
    </w:p>
    <w:p w:rsidR="00490D91" w:rsidRDefault="00490D91" w:rsidP="00490D91">
      <w:pPr>
        <w:spacing w:line="360" w:lineRule="auto"/>
        <w:jc w:val="both"/>
        <w:rPr>
          <w:rFonts w:eastAsia="Times New Roman"/>
          <w:b/>
          <w:sz w:val="22"/>
          <w:szCs w:val="22"/>
        </w:rPr>
      </w:pPr>
    </w:p>
    <w:p w:rsidR="00490D91" w:rsidRPr="0024411A" w:rsidRDefault="00490D91" w:rsidP="0024411A">
      <w:pPr>
        <w:pStyle w:val="Tretekstu"/>
        <w:spacing w:line="276" w:lineRule="auto"/>
        <w:ind w:firstLine="284"/>
        <w:rPr>
          <w:rFonts w:ascii="Times New Roman" w:hAnsi="Times New Roman" w:cs="Times New Roman"/>
          <w:szCs w:val="24"/>
        </w:rPr>
      </w:pPr>
      <w:r w:rsidRPr="00F81BDD">
        <w:rPr>
          <w:rFonts w:ascii="Times New Roman" w:eastAsia="Times New Roman" w:hAnsi="Times New Roman" w:cs="Times New Roman"/>
          <w:b/>
        </w:rPr>
        <w:t>§1.</w:t>
      </w:r>
      <w:r w:rsidRPr="00F81BDD">
        <w:rPr>
          <w:rFonts w:ascii="Times New Roman" w:eastAsia="Times New Roman" w:hAnsi="Times New Roman" w:cs="Times New Roman"/>
        </w:rPr>
        <w:t xml:space="preserve"> Powołać Komisję do przeprowadzenia </w:t>
      </w:r>
      <w:r w:rsidR="003825EF" w:rsidRPr="00F81BDD">
        <w:rPr>
          <w:rFonts w:ascii="Times New Roman" w:eastAsia="Times New Roman" w:hAnsi="Times New Roman" w:cs="Times New Roman"/>
        </w:rPr>
        <w:t>pierwszego</w:t>
      </w:r>
      <w:r w:rsidRPr="00F81BDD">
        <w:rPr>
          <w:rFonts w:ascii="Times New Roman" w:eastAsia="Times New Roman" w:hAnsi="Times New Roman" w:cs="Times New Roman"/>
        </w:rPr>
        <w:t xml:space="preserve"> ustn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przetarg</w:t>
      </w:r>
      <w:r w:rsidR="003825EF" w:rsidRPr="00F81BDD">
        <w:rPr>
          <w:rFonts w:ascii="Times New Roman" w:eastAsia="Times New Roman" w:hAnsi="Times New Roman" w:cs="Times New Roman"/>
        </w:rPr>
        <w:t>u</w:t>
      </w:r>
      <w:r w:rsidRPr="00F81BDD">
        <w:rPr>
          <w:rFonts w:ascii="Times New Roman" w:eastAsia="Times New Roman" w:hAnsi="Times New Roman" w:cs="Times New Roman"/>
        </w:rPr>
        <w:t xml:space="preserve"> nieograniczon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w:t>
      </w:r>
      <w:r w:rsidR="0024411A" w:rsidRPr="00F81BDD">
        <w:rPr>
          <w:rFonts w:ascii="Times New Roman" w:hAnsi="Times New Roman" w:cs="Times New Roman"/>
          <w:szCs w:val="24"/>
        </w:rPr>
        <w:t>na sprzedaż nieruchomości położonych w miejscowości Ostrowite w  Gminie Czersk, stanowiących własność Gminy Miasta Toruń oznaczonych geodezyjnie jako działka nr 524/1 o powierzchni 0,1060 ha położona przy ul. Szkolnej 2, dla której Sąd Rejonowy w Chojnicach prowadzi księgę wieczystą KW Nr SL1C/00024491/6 oraz działka nr  526/12 o powierzchni 0,2114 ha położona przy ul. Jodłowej 1</w:t>
      </w:r>
      <w:r w:rsidR="008A6C0D" w:rsidRPr="00F81BDD">
        <w:rPr>
          <w:rFonts w:ascii="Times New Roman" w:hAnsi="Times New Roman" w:cs="Times New Roman"/>
          <w:szCs w:val="24"/>
        </w:rPr>
        <w:t>,</w:t>
      </w:r>
      <w:r w:rsidR="0024411A" w:rsidRPr="00F81BDD">
        <w:rPr>
          <w:rFonts w:ascii="Times New Roman" w:hAnsi="Times New Roman" w:cs="Times New Roman"/>
          <w:szCs w:val="24"/>
        </w:rPr>
        <w:t xml:space="preserve"> dla której Sąd Rejonowy w Chojnicach prowadzi księgę wieczystą KW Nr SL1C/000231103/3, </w:t>
      </w:r>
      <w:r w:rsidRPr="00F81BDD">
        <w:rPr>
          <w:rFonts w:ascii="Times New Roman" w:eastAsia="Times New Roman" w:hAnsi="Times New Roman" w:cs="Times New Roman"/>
        </w:rPr>
        <w:t>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 odbęd</w:t>
      </w:r>
      <w:r w:rsidR="0072236E">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5042A4" w:rsidRDefault="005042A4" w:rsidP="00490D91">
      <w:pPr>
        <w:spacing w:line="276" w:lineRule="auto"/>
        <w:rPr>
          <w:rFonts w:eastAsia="Times New Roman"/>
        </w:rPr>
      </w:pPr>
    </w:p>
    <w:p w:rsidR="0024411A" w:rsidRDefault="0024411A"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5042A4">
        <w:t>.</w:t>
      </w:r>
    </w:p>
    <w:p w:rsidR="004029EE" w:rsidRDefault="0024411A" w:rsidP="009464D3">
      <w:pPr>
        <w:pStyle w:val="Akapitzlist1"/>
        <w:ind w:left="5245"/>
        <w:jc w:val="both"/>
      </w:pPr>
      <w:r>
        <w:lastRenderedPageBreak/>
        <w:t xml:space="preserve">                        </w:t>
      </w:r>
      <w:r w:rsidR="0079455F"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t xml:space="preserve">Załącznik do Zarządzenia Nr  </w:t>
      </w:r>
      <w:r w:rsidR="00335E37">
        <w:rPr>
          <w:sz w:val="24"/>
          <w:szCs w:val="24"/>
        </w:rPr>
        <w:t>152</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335E37">
        <w:rPr>
          <w:rFonts w:eastAsia="Times New Roman"/>
        </w:rPr>
        <w:t>05.07.2023 r.</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 xml:space="preserve">I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w:t>
      </w:r>
      <w:r w:rsidR="005042A4">
        <w:rPr>
          <w:rFonts w:eastAsia="HG Mincho Light J"/>
          <w:color w:val="000000"/>
        </w:rPr>
        <w:t xml:space="preserve"> nr 1074/23 z dnia 20 kwietnia 2023 r. w sprawie sprzedaży </w:t>
      </w:r>
      <w:r w:rsidR="005042A4">
        <w:rPr>
          <w:rFonts w:eastAsia="Times New Roman"/>
        </w:rPr>
        <w:t>nieruchomości położonych przy ul. Szkolnej 2 i ul. Jodłowej 1 w miejscowości Ostrowite w Gminie Czersk, stanowiących własność Gminy Miasta Toruń</w:t>
      </w:r>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5042A4">
        <w:rPr>
          <w:rFonts w:eastAsia="Times New Roman"/>
          <w:b/>
          <w:bCs/>
        </w:rPr>
        <w:t>12</w:t>
      </w:r>
      <w:r w:rsidR="00714467">
        <w:rPr>
          <w:rFonts w:eastAsia="Times New Roman"/>
          <w:b/>
          <w:bCs/>
        </w:rPr>
        <w:t xml:space="preserve"> </w:t>
      </w:r>
      <w:r w:rsidR="005042A4">
        <w:rPr>
          <w:rFonts w:eastAsia="Times New Roman"/>
          <w:b/>
          <w:bCs/>
        </w:rPr>
        <w:t>wrze</w:t>
      </w:r>
      <w:r w:rsidR="009A33E6">
        <w:rPr>
          <w:rFonts w:eastAsia="Times New Roman"/>
          <w:b/>
          <w:bCs/>
        </w:rPr>
        <w:t>ś</w:t>
      </w:r>
      <w:r w:rsidR="005042A4">
        <w:rPr>
          <w:rFonts w:eastAsia="Times New Roman"/>
          <w:b/>
          <w:bCs/>
        </w:rPr>
        <w:t>nia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3C3EEA">
        <w:rPr>
          <w:rFonts w:eastAsia="Times New Roman"/>
          <w:b/>
        </w:rPr>
        <w:t>2</w:t>
      </w:r>
      <w:r>
        <w:rPr>
          <w:rFonts w:eastAsia="Times New Roman"/>
          <w:b/>
          <w:bCs/>
          <w:vertAlign w:val="superscript"/>
        </w:rPr>
        <w:t>00</w:t>
      </w:r>
      <w:r w:rsidR="00A86D02">
        <w:rPr>
          <w:rFonts w:eastAsia="Times New Roman"/>
        </w:rPr>
        <w:t>.</w:t>
      </w:r>
    </w:p>
    <w:p w:rsidR="00490D91" w:rsidRDefault="005B1E95" w:rsidP="001E5A87">
      <w:pPr>
        <w:pStyle w:val="Tekstpodstawowy"/>
        <w:tabs>
          <w:tab w:val="left" w:pos="424"/>
        </w:tabs>
        <w:spacing w:after="0"/>
        <w:ind w:firstLine="567"/>
        <w:jc w:val="both"/>
        <w:rPr>
          <w:rFonts w:eastAsia="Times New Roman"/>
        </w:rPr>
      </w:pPr>
      <w:r>
        <w:rPr>
          <w:rFonts w:eastAsia="Times New Roman"/>
        </w:rPr>
        <w:t xml:space="preserve"> </w:t>
      </w:r>
      <w:r w:rsidR="00490D91">
        <w:rPr>
          <w:rFonts w:eastAsia="Times New Roman"/>
        </w:rPr>
        <w:t>2. Przedmiotem przetarg</w:t>
      </w:r>
      <w:r w:rsidR="00A86D02">
        <w:rPr>
          <w:rFonts w:eastAsia="Times New Roman"/>
        </w:rPr>
        <w:t>u</w:t>
      </w:r>
      <w:r w:rsidR="00490D91">
        <w:rPr>
          <w:rFonts w:eastAsia="Times New Roman"/>
        </w:rPr>
        <w:t xml:space="preserve"> są następujące nieruchomości</w:t>
      </w:r>
      <w:r w:rsidR="009A33E6">
        <w:rPr>
          <w:rFonts w:eastAsia="Times New Roman"/>
        </w:rPr>
        <w:t xml:space="preserve">, położone </w:t>
      </w:r>
      <w:r w:rsidR="00490D91">
        <w:rPr>
          <w:rFonts w:eastAsia="Times New Roman"/>
        </w:rPr>
        <w:t xml:space="preserve">w </w:t>
      </w:r>
      <w:r w:rsidR="009A33E6">
        <w:rPr>
          <w:rFonts w:eastAsia="Times New Roman"/>
        </w:rPr>
        <w:t xml:space="preserve"> miejscowości Ostrowite</w:t>
      </w:r>
      <w:r w:rsidR="00490D91">
        <w:rPr>
          <w:rFonts w:eastAsia="Times New Roman"/>
        </w:rPr>
        <w:t>:</w:t>
      </w:r>
    </w:p>
    <w:tbl>
      <w:tblPr>
        <w:tblW w:w="7225"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701"/>
        <w:gridCol w:w="2410"/>
        <w:gridCol w:w="1276"/>
      </w:tblGrid>
      <w:tr w:rsidR="009A33E6" w:rsidRPr="00625E54" w:rsidTr="009A33E6">
        <w:trPr>
          <w:cantSplit/>
          <w:trHeight w:val="810"/>
        </w:trPr>
        <w:tc>
          <w:tcPr>
            <w:tcW w:w="42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proofErr w:type="spellStart"/>
            <w:r>
              <w:rPr>
                <w:b/>
                <w:sz w:val="20"/>
                <w:szCs w:val="20"/>
              </w:rPr>
              <w:t>Lp</w:t>
            </w:r>
            <w:proofErr w:type="spellEnd"/>
          </w:p>
        </w:tc>
        <w:tc>
          <w:tcPr>
            <w:tcW w:w="1417"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Położenie</w:t>
            </w:r>
          </w:p>
          <w:p w:rsidR="009A33E6" w:rsidRPr="00625E54" w:rsidRDefault="009A33E6" w:rsidP="00F03074">
            <w:pPr>
              <w:jc w:val="both"/>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sidRPr="00625E54">
              <w:rPr>
                <w:b/>
                <w:sz w:val="20"/>
                <w:szCs w:val="20"/>
              </w:rPr>
              <w:t>KW Nr</w:t>
            </w:r>
          </w:p>
        </w:tc>
        <w:tc>
          <w:tcPr>
            <w:tcW w:w="2410"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rPr>
                <w:b/>
                <w:sz w:val="20"/>
                <w:szCs w:val="20"/>
              </w:rPr>
            </w:pPr>
            <w:r w:rsidRPr="00625E54">
              <w:rPr>
                <w:b/>
                <w:sz w:val="20"/>
                <w:szCs w:val="20"/>
              </w:rPr>
              <w:t>Oznacz</w:t>
            </w:r>
            <w:r>
              <w:rPr>
                <w:b/>
                <w:sz w:val="20"/>
                <w:szCs w:val="20"/>
              </w:rPr>
              <w:t xml:space="preserve">enie </w:t>
            </w:r>
            <w:r w:rsidRPr="00625E54">
              <w:rPr>
                <w:b/>
                <w:sz w:val="20"/>
                <w:szCs w:val="20"/>
              </w:rPr>
              <w:t>geodezyjne/</w:t>
            </w:r>
            <w:r w:rsidRPr="00625E54">
              <w:rPr>
                <w:b/>
                <w:sz w:val="20"/>
                <w:szCs w:val="20"/>
              </w:rPr>
              <w:br/>
              <w:t xml:space="preserve">obręb/użytek </w:t>
            </w:r>
          </w:p>
        </w:tc>
        <w:tc>
          <w:tcPr>
            <w:tcW w:w="1276"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Pow. gruntu</w:t>
            </w:r>
          </w:p>
        </w:tc>
      </w:tr>
      <w:tr w:rsidR="009A33E6" w:rsidRPr="00625E54" w:rsidTr="009A33E6">
        <w:trPr>
          <w:cantSplit/>
          <w:trHeight w:val="923"/>
        </w:trPr>
        <w:tc>
          <w:tcPr>
            <w:tcW w:w="42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sidRPr="00625E54">
              <w:rPr>
                <w:sz w:val="20"/>
                <w:szCs w:val="20"/>
              </w:rPr>
              <w:t>1.</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2.</w:t>
            </w: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3E6" w:rsidRDefault="009A33E6" w:rsidP="00F03074">
            <w:pPr>
              <w:pStyle w:val="Tekstpodstawowy"/>
              <w:spacing w:after="0"/>
              <w:jc w:val="both"/>
              <w:rPr>
                <w:sz w:val="20"/>
                <w:szCs w:val="20"/>
              </w:rPr>
            </w:pPr>
            <w:r>
              <w:rPr>
                <w:sz w:val="20"/>
                <w:szCs w:val="20"/>
              </w:rPr>
              <w:t>u</w:t>
            </w:r>
            <w:r w:rsidRPr="006B47F0">
              <w:rPr>
                <w:sz w:val="20"/>
                <w:szCs w:val="20"/>
              </w:rPr>
              <w:t xml:space="preserve">l. </w:t>
            </w:r>
            <w:r>
              <w:rPr>
                <w:sz w:val="20"/>
                <w:szCs w:val="20"/>
              </w:rPr>
              <w:t>Szkolna 2</w:t>
            </w:r>
          </w:p>
          <w:p w:rsidR="009A33E6" w:rsidRDefault="009A33E6" w:rsidP="00F03074">
            <w:pPr>
              <w:pStyle w:val="Tekstpodstawowy"/>
              <w:spacing w:after="0"/>
              <w:jc w:val="both"/>
              <w:rPr>
                <w:sz w:val="20"/>
                <w:szCs w:val="20"/>
              </w:rPr>
            </w:pPr>
            <w:r>
              <w:rPr>
                <w:sz w:val="20"/>
                <w:szCs w:val="20"/>
              </w:rPr>
              <w:t>Ostrowite Gmina Czersk</w:t>
            </w: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r>
              <w:rPr>
                <w:sz w:val="20"/>
                <w:szCs w:val="20"/>
              </w:rPr>
              <w:t>ul. Jodłowa 1</w:t>
            </w:r>
          </w:p>
          <w:p w:rsidR="009A33E6" w:rsidRPr="006B47F0" w:rsidRDefault="009A33E6" w:rsidP="00F03074">
            <w:pPr>
              <w:pStyle w:val="Tekstpodstawowy"/>
              <w:spacing w:after="0"/>
              <w:jc w:val="both"/>
              <w:rPr>
                <w:sz w:val="20"/>
                <w:szCs w:val="20"/>
              </w:rPr>
            </w:pPr>
            <w:r>
              <w:rPr>
                <w:sz w:val="20"/>
                <w:szCs w:val="20"/>
              </w:rPr>
              <w:t>Ostrowite Gmina Czersk</w:t>
            </w:r>
          </w:p>
          <w:p w:rsidR="009A33E6" w:rsidRPr="00625E54" w:rsidRDefault="009A33E6" w:rsidP="00F03074">
            <w:pPr>
              <w:pStyle w:val="Tekstpodstawowy2"/>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Pr>
                <w:sz w:val="20"/>
                <w:szCs w:val="20"/>
              </w:rPr>
              <w:t>SL1C/</w:t>
            </w:r>
            <w:r w:rsidRPr="00625E54">
              <w:rPr>
                <w:sz w:val="20"/>
                <w:szCs w:val="20"/>
              </w:rPr>
              <w:t>/</w:t>
            </w:r>
            <w:r>
              <w:rPr>
                <w:sz w:val="20"/>
                <w:szCs w:val="20"/>
              </w:rPr>
              <w:t>00024491/6</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SL1C/00023103/3</w:t>
            </w:r>
          </w:p>
        </w:tc>
        <w:tc>
          <w:tcPr>
            <w:tcW w:w="2410"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sz w:val="20"/>
                <w:szCs w:val="20"/>
              </w:rPr>
            </w:pPr>
            <w:r w:rsidRPr="00625E54">
              <w:rPr>
                <w:sz w:val="20"/>
                <w:szCs w:val="20"/>
              </w:rPr>
              <w:t xml:space="preserve">dz. nr   </w:t>
            </w:r>
            <w:r>
              <w:rPr>
                <w:sz w:val="20"/>
                <w:szCs w:val="20"/>
              </w:rPr>
              <w:t>524/1</w:t>
            </w:r>
          </w:p>
          <w:p w:rsidR="009A33E6" w:rsidRPr="00625E54" w:rsidRDefault="009A33E6" w:rsidP="00F03074">
            <w:pPr>
              <w:jc w:val="both"/>
              <w:rPr>
                <w:sz w:val="20"/>
                <w:szCs w:val="20"/>
              </w:rPr>
            </w:pPr>
            <w:r w:rsidRPr="00625E54">
              <w:rPr>
                <w:sz w:val="20"/>
                <w:szCs w:val="20"/>
              </w:rPr>
              <w:t xml:space="preserve">ob. </w:t>
            </w:r>
            <w:r>
              <w:rPr>
                <w:sz w:val="20"/>
                <w:szCs w:val="20"/>
              </w:rPr>
              <w:t>0019</w:t>
            </w:r>
          </w:p>
          <w:p w:rsidR="009A33E6" w:rsidRDefault="009A33E6" w:rsidP="00F03074">
            <w:pPr>
              <w:jc w:val="both"/>
              <w:rPr>
                <w:sz w:val="20"/>
                <w:szCs w:val="20"/>
              </w:rPr>
            </w:pPr>
            <w:r w:rsidRPr="00625E54">
              <w:rPr>
                <w:sz w:val="20"/>
                <w:szCs w:val="20"/>
              </w:rPr>
              <w:t xml:space="preserve">użytek </w:t>
            </w:r>
            <w:proofErr w:type="spellStart"/>
            <w:r>
              <w:rPr>
                <w:sz w:val="20"/>
                <w:szCs w:val="20"/>
              </w:rPr>
              <w:t>Lzr</w:t>
            </w:r>
            <w:proofErr w:type="spellEnd"/>
            <w:r>
              <w:rPr>
                <w:sz w:val="20"/>
                <w:szCs w:val="20"/>
              </w:rPr>
              <w:t>-RVI</w:t>
            </w:r>
          </w:p>
          <w:p w:rsidR="009A33E6" w:rsidRDefault="009A33E6" w:rsidP="00F03074">
            <w:pPr>
              <w:rPr>
                <w:i/>
                <w:sz w:val="18"/>
                <w:szCs w:val="18"/>
              </w:rPr>
            </w:pPr>
            <w:r>
              <w:rPr>
                <w:sz w:val="20"/>
                <w:szCs w:val="20"/>
              </w:rPr>
              <w:t>(</w:t>
            </w:r>
            <w:r w:rsidRPr="00D90BEF">
              <w:rPr>
                <w:i/>
                <w:sz w:val="18"/>
                <w:szCs w:val="18"/>
              </w:rPr>
              <w:t xml:space="preserve">grunty zadrzewione </w:t>
            </w:r>
            <w:r>
              <w:rPr>
                <w:i/>
                <w:sz w:val="18"/>
                <w:szCs w:val="18"/>
              </w:rPr>
              <w:t xml:space="preserve">i </w:t>
            </w:r>
            <w:r w:rsidRPr="00D90BEF">
              <w:rPr>
                <w:i/>
                <w:sz w:val="18"/>
                <w:szCs w:val="18"/>
              </w:rPr>
              <w:t>zakrzewione na użytkach rolnych</w:t>
            </w:r>
            <w:r>
              <w:rPr>
                <w:i/>
                <w:sz w:val="18"/>
                <w:szCs w:val="18"/>
              </w:rPr>
              <w:t>)</w:t>
            </w:r>
          </w:p>
          <w:p w:rsidR="009A33E6" w:rsidRDefault="009A33E6" w:rsidP="00F03074">
            <w:pPr>
              <w:jc w:val="both"/>
              <w:rPr>
                <w:i/>
                <w:sz w:val="18"/>
                <w:szCs w:val="18"/>
              </w:rPr>
            </w:pPr>
          </w:p>
          <w:p w:rsidR="009A33E6" w:rsidRDefault="009A33E6" w:rsidP="00F03074">
            <w:pPr>
              <w:jc w:val="both"/>
              <w:rPr>
                <w:sz w:val="20"/>
                <w:szCs w:val="20"/>
              </w:rPr>
            </w:pPr>
            <w:r w:rsidRPr="00D90BEF">
              <w:rPr>
                <w:sz w:val="20"/>
                <w:szCs w:val="20"/>
              </w:rPr>
              <w:t>dz. nr. 526/12</w:t>
            </w:r>
          </w:p>
          <w:p w:rsidR="009A33E6" w:rsidRDefault="009A33E6" w:rsidP="00F03074">
            <w:pPr>
              <w:jc w:val="both"/>
              <w:rPr>
                <w:sz w:val="20"/>
                <w:szCs w:val="20"/>
              </w:rPr>
            </w:pPr>
            <w:r>
              <w:rPr>
                <w:sz w:val="20"/>
                <w:szCs w:val="20"/>
              </w:rPr>
              <w:t>ob. 0019</w:t>
            </w:r>
          </w:p>
          <w:p w:rsidR="009A33E6" w:rsidRDefault="009A33E6" w:rsidP="00F03074">
            <w:pPr>
              <w:jc w:val="both"/>
              <w:rPr>
                <w:sz w:val="20"/>
                <w:szCs w:val="20"/>
              </w:rPr>
            </w:pPr>
            <w:r>
              <w:rPr>
                <w:sz w:val="20"/>
                <w:szCs w:val="20"/>
              </w:rPr>
              <w:t>użytek B</w:t>
            </w:r>
          </w:p>
          <w:p w:rsidR="009A33E6" w:rsidRPr="00D90BEF" w:rsidRDefault="009A33E6" w:rsidP="00F03074">
            <w:pPr>
              <w:jc w:val="both"/>
              <w:rPr>
                <w:sz w:val="20"/>
                <w:szCs w:val="20"/>
              </w:rPr>
            </w:pPr>
            <w:r w:rsidRPr="00D90BEF">
              <w:rPr>
                <w:i/>
                <w:sz w:val="18"/>
                <w:szCs w:val="18"/>
              </w:rPr>
              <w:t>(tereny mieszkaniowe)</w:t>
            </w:r>
          </w:p>
        </w:tc>
        <w:tc>
          <w:tcPr>
            <w:tcW w:w="1276" w:type="dxa"/>
            <w:tcBorders>
              <w:top w:val="single" w:sz="4" w:space="0" w:color="auto"/>
              <w:left w:val="single" w:sz="4" w:space="0" w:color="auto"/>
              <w:bottom w:val="single" w:sz="4" w:space="0" w:color="auto"/>
              <w:right w:val="single" w:sz="4" w:space="0" w:color="auto"/>
            </w:tcBorders>
            <w:hideMark/>
          </w:tcPr>
          <w:p w:rsidR="009A33E6" w:rsidRDefault="009A33E6" w:rsidP="00F03074">
            <w:pPr>
              <w:jc w:val="both"/>
              <w:rPr>
                <w:sz w:val="20"/>
                <w:szCs w:val="20"/>
              </w:rPr>
            </w:pPr>
            <w:r w:rsidRPr="00625E54">
              <w:rPr>
                <w:sz w:val="20"/>
                <w:szCs w:val="20"/>
              </w:rPr>
              <w:t>0</w:t>
            </w:r>
            <w:r>
              <w:rPr>
                <w:sz w:val="20"/>
                <w:szCs w:val="20"/>
              </w:rPr>
              <w:t>,1060</w:t>
            </w:r>
            <w:r w:rsidRPr="00625E54">
              <w:rPr>
                <w:sz w:val="20"/>
                <w:szCs w:val="20"/>
              </w:rPr>
              <w:t xml:space="preserve">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r>
              <w:rPr>
                <w:sz w:val="20"/>
                <w:szCs w:val="20"/>
              </w:rPr>
              <w:t>0,2114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r w:rsidRPr="00625E54">
              <w:rPr>
                <w:sz w:val="20"/>
                <w:szCs w:val="20"/>
              </w:rPr>
              <w:t xml:space="preserve"> </w:t>
            </w:r>
          </w:p>
        </w:tc>
      </w:tr>
    </w:tbl>
    <w:p w:rsidR="009A33E6" w:rsidRPr="001E5A87" w:rsidRDefault="009A33E6" w:rsidP="001E5A87">
      <w:pPr>
        <w:pStyle w:val="Tekstpodstawowy"/>
        <w:tabs>
          <w:tab w:val="left" w:pos="424"/>
        </w:tabs>
        <w:spacing w:after="0"/>
        <w:ind w:firstLine="567"/>
        <w:jc w:val="both"/>
        <w:rPr>
          <w:rFonts w:eastAsia="Times New Roman"/>
        </w:rPr>
      </w:pPr>
    </w:p>
    <w:p w:rsidR="00FD66D0" w:rsidRPr="00446047" w:rsidRDefault="00265DA7" w:rsidP="00265DA7">
      <w:pPr>
        <w:pStyle w:val="Tekstpodstawowy"/>
        <w:widowControl/>
        <w:tabs>
          <w:tab w:val="left" w:pos="435"/>
        </w:tabs>
        <w:spacing w:after="0"/>
        <w:ind w:left="11"/>
        <w:jc w:val="both"/>
        <w:rPr>
          <w:rFonts w:eastAsiaTheme="minorHAnsi"/>
          <w:lang w:eastAsia="en-US"/>
        </w:rPr>
      </w:pPr>
      <w:r>
        <w:rPr>
          <w:rFonts w:eastAsia="Times New Roman"/>
        </w:rPr>
        <w:t xml:space="preserve">              3. </w:t>
      </w:r>
      <w:r w:rsidR="00FD66D0">
        <w:rPr>
          <w:rFonts w:eastAsiaTheme="minorHAnsi"/>
          <w:lang w:eastAsia="en-US"/>
        </w:rPr>
        <w:t xml:space="preserv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w:t>
      </w:r>
      <w:r w:rsidR="00FD66D0">
        <w:rPr>
          <w:rFonts w:eastAsiaTheme="minorHAnsi"/>
          <w:lang w:eastAsia="en-US"/>
        </w:rPr>
        <w:t>będąc</w:t>
      </w:r>
      <w:r w:rsidR="00F4479D">
        <w:rPr>
          <w:rFonts w:eastAsiaTheme="minorHAnsi"/>
          <w:lang w:eastAsia="en-US"/>
        </w:rPr>
        <w:t>e</w:t>
      </w:r>
      <w:r w:rsidR="00FD66D0">
        <w:rPr>
          <w:rFonts w:eastAsiaTheme="minorHAnsi"/>
          <w:lang w:eastAsia="en-US"/>
        </w:rPr>
        <w:t xml:space="preserve"> przedmiotem sprzedaży </w:t>
      </w:r>
      <w:r w:rsidR="00F4479D">
        <w:rPr>
          <w:rFonts w:eastAsiaTheme="minorHAnsi"/>
          <w:lang w:eastAsia="en-US"/>
        </w:rPr>
        <w:t>są</w:t>
      </w:r>
      <w:r w:rsidR="00FD66D0" w:rsidRPr="00446047">
        <w:rPr>
          <w:rFonts w:eastAsiaTheme="minorHAnsi"/>
          <w:lang w:eastAsia="en-US"/>
        </w:rPr>
        <w:t xml:space="preserve"> usytuowan</w:t>
      </w:r>
      <w:r w:rsidR="00F4479D">
        <w:rPr>
          <w:rFonts w:eastAsiaTheme="minorHAnsi"/>
          <w:lang w:eastAsia="en-US"/>
        </w:rPr>
        <w:t>e</w:t>
      </w:r>
      <w:r w:rsidR="00FD66D0" w:rsidRPr="00446047">
        <w:rPr>
          <w:rFonts w:eastAsiaTheme="minorHAnsi"/>
          <w:lang w:eastAsia="en-US"/>
        </w:rPr>
        <w:t xml:space="preserve"> w centrum miejscowości, ok. 100 m od linii brzegowej jeziora i 700 m od plaży. Odległość do Czerska</w:t>
      </w:r>
      <w:r w:rsidR="00FD66D0">
        <w:rPr>
          <w:rFonts w:eastAsiaTheme="minorHAnsi"/>
          <w:lang w:eastAsia="en-US"/>
        </w:rPr>
        <w:br/>
      </w:r>
      <w:r w:rsidR="00FD66D0" w:rsidRPr="00446047">
        <w:rPr>
          <w:rFonts w:eastAsiaTheme="minorHAnsi"/>
          <w:lang w:eastAsia="en-US"/>
        </w:rPr>
        <w:t>8 km</w:t>
      </w:r>
      <w:r w:rsidR="00FD66D0">
        <w:rPr>
          <w:rFonts w:eastAsiaTheme="minorHAnsi"/>
          <w:lang w:eastAsia="en-US"/>
        </w:rPr>
        <w:t>,</w:t>
      </w:r>
      <w:r w:rsidR="00FD66D0" w:rsidRPr="00446047">
        <w:rPr>
          <w:rFonts w:eastAsiaTheme="minorHAnsi"/>
          <w:lang w:eastAsia="en-US"/>
        </w:rPr>
        <w:t xml:space="preserve"> </w:t>
      </w:r>
      <w:r w:rsidR="00F4479D">
        <w:rPr>
          <w:rFonts w:eastAsiaTheme="minorHAnsi"/>
          <w:lang w:eastAsia="en-US"/>
        </w:rPr>
        <w:t>d</w:t>
      </w:r>
      <w:r w:rsidR="00FD66D0" w:rsidRPr="00446047">
        <w:rPr>
          <w:rFonts w:eastAsiaTheme="minorHAnsi"/>
          <w:lang w:eastAsia="en-US"/>
        </w:rPr>
        <w:t>o Chojnic – 37 km. Bezpośrednie sąsiedztwo stanowi zabudowa letniskowa, mieszkaniowa jednorodzinna i las. W odległ</w:t>
      </w:r>
      <w:r w:rsidR="00FD66D0">
        <w:rPr>
          <w:rFonts w:eastAsiaTheme="minorHAnsi"/>
          <w:lang w:eastAsia="en-US"/>
        </w:rPr>
        <w:t xml:space="preserve">ości 100 m – Jezioro Ostrowite.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przylega</w:t>
      </w:r>
      <w:r w:rsidR="00F4479D">
        <w:rPr>
          <w:rFonts w:eastAsiaTheme="minorHAnsi"/>
          <w:lang w:eastAsia="en-US"/>
        </w:rPr>
        <w:t>ją</w:t>
      </w:r>
      <w:r w:rsidR="00FD66D0" w:rsidRPr="00446047">
        <w:rPr>
          <w:rFonts w:eastAsiaTheme="minorHAnsi"/>
          <w:lang w:eastAsia="en-US"/>
        </w:rPr>
        <w:t xml:space="preserve"> do drogi publicznej gminnej (ul. Jodłowej), stanowiącej drogę nieutwardzoną i leż</w:t>
      </w:r>
      <w:r w:rsidR="00F4479D">
        <w:rPr>
          <w:rFonts w:eastAsiaTheme="minorHAnsi"/>
          <w:lang w:eastAsia="en-US"/>
        </w:rPr>
        <w:t>ą</w:t>
      </w:r>
      <w:r w:rsidR="00FD66D0" w:rsidRPr="00446047">
        <w:rPr>
          <w:rFonts w:eastAsiaTheme="minorHAnsi"/>
          <w:lang w:eastAsia="en-US"/>
        </w:rPr>
        <w:t xml:space="preserve"> 25 m od drogi o nawierzchni asfaltowej (ul. Widokowej). </w:t>
      </w:r>
    </w:p>
    <w:p w:rsidR="00FD66D0" w:rsidRPr="00FD66D0" w:rsidRDefault="00FD66D0" w:rsidP="00265DA7">
      <w:pPr>
        <w:autoSpaceDE w:val="0"/>
        <w:adjustRightInd w:val="0"/>
        <w:jc w:val="both"/>
        <w:rPr>
          <w:rFonts w:eastAsiaTheme="minorHAnsi"/>
          <w:lang w:eastAsia="en-US"/>
        </w:rPr>
      </w:pPr>
      <w:r w:rsidRPr="00446047">
        <w:rPr>
          <w:rFonts w:eastAsiaTheme="minorHAnsi"/>
          <w:lang w:eastAsia="en-US"/>
        </w:rPr>
        <w:t>Uzbrojenie: nieruchomość posiada przyłącze do sieci ele</w:t>
      </w:r>
      <w:r>
        <w:rPr>
          <w:rFonts w:eastAsiaTheme="minorHAnsi"/>
          <w:lang w:eastAsia="en-US"/>
        </w:rPr>
        <w:t>ktroenergetycznej, wodociągowe</w:t>
      </w:r>
      <w:r>
        <w:rPr>
          <w:rFonts w:eastAsiaTheme="minorHAnsi"/>
          <w:lang w:eastAsia="en-US"/>
        </w:rPr>
        <w:br/>
      </w:r>
      <w:r w:rsidRPr="00446047">
        <w:rPr>
          <w:rFonts w:eastAsiaTheme="minorHAnsi"/>
          <w:lang w:eastAsia="en-US"/>
        </w:rPr>
        <w:t>i kanalizacji sanitarnej. Przez południową część działki nr 526/12 przebiega napowietrzna linia średniego napięcia, przez działkę nr 524/1 przebiega napowietrzne przyłącze energetyczne. Kształt działki – nieregularny wielobok. Topografia – teren płaski.</w:t>
      </w:r>
      <w:r>
        <w:rPr>
          <w:rFonts w:eastAsiaTheme="minorHAnsi"/>
          <w:lang w:eastAsia="en-US"/>
        </w:rPr>
        <w:t xml:space="preserve"> </w:t>
      </w:r>
      <w:r w:rsidRPr="00446047">
        <w:rPr>
          <w:color w:val="000000"/>
          <w:u w:color="000000"/>
        </w:rPr>
        <w:t>W północnej części nieruchomości i wzdłuż południowej granicy - skupiska drzew nie</w:t>
      </w:r>
      <w:r>
        <w:rPr>
          <w:color w:val="000000"/>
          <w:u w:color="000000"/>
        </w:rPr>
        <w:t xml:space="preserve"> </w:t>
      </w:r>
      <w:r w:rsidRPr="00446047">
        <w:rPr>
          <w:color w:val="000000"/>
          <w:u w:color="000000"/>
        </w:rPr>
        <w:t>ograniczające możliwości zagospodarowania. W granicach nieruchomości – miejsce na ognisko i plac zabaw dla dzieci.</w:t>
      </w:r>
    </w:p>
    <w:p w:rsidR="00FD66D0" w:rsidRDefault="00FD66D0" w:rsidP="00265DA7">
      <w:pPr>
        <w:autoSpaceDE w:val="0"/>
        <w:adjustRightInd w:val="0"/>
        <w:jc w:val="both"/>
        <w:rPr>
          <w:rFonts w:eastAsiaTheme="minorHAnsi"/>
          <w:lang w:eastAsia="en-US"/>
        </w:rPr>
      </w:pPr>
      <w:r>
        <w:rPr>
          <w:rFonts w:eastAsiaTheme="minorHAnsi"/>
          <w:lang w:eastAsia="en-US"/>
        </w:rPr>
        <w:t xml:space="preserve">               </w:t>
      </w:r>
      <w:r w:rsidR="00BE3629">
        <w:rPr>
          <w:rFonts w:eastAsiaTheme="minorHAnsi"/>
          <w:lang w:eastAsia="en-US"/>
        </w:rPr>
        <w:t>4</w:t>
      </w:r>
      <w:r>
        <w:rPr>
          <w:rFonts w:eastAsiaTheme="minorHAnsi"/>
          <w:lang w:eastAsia="en-US"/>
        </w:rPr>
        <w:t xml:space="preserve">. </w:t>
      </w:r>
      <w:r w:rsidR="00410739" w:rsidRPr="00FD66D0">
        <w:rPr>
          <w:rFonts w:eastAsiaTheme="minorHAnsi"/>
          <w:lang w:eastAsia="en-US"/>
        </w:rPr>
        <w:t xml:space="preserve">Na terenie działek gminnych nr 524/1 i 526/12 o łącznej powierzchni 0,3174 ha oraz na działce sąsiedniej nr 525/1 o powierzchni 0,2519 ha, stanowiącej własność Gminy Czersk funkcjonuje </w:t>
      </w:r>
      <w:r>
        <w:rPr>
          <w:rFonts w:eastAsiaTheme="minorHAnsi"/>
          <w:lang w:eastAsia="en-US"/>
        </w:rPr>
        <w:t xml:space="preserve">obecnie </w:t>
      </w:r>
      <w:r w:rsidR="00410739" w:rsidRPr="00FD66D0">
        <w:rPr>
          <w:rFonts w:eastAsiaTheme="minorHAnsi"/>
          <w:lang w:eastAsia="en-US"/>
        </w:rPr>
        <w:t xml:space="preserve">ośrodek wypoczynkowy prowadzony przez Zespół Szkół </w:t>
      </w:r>
      <w:r w:rsidR="00410739" w:rsidRPr="00FD66D0">
        <w:rPr>
          <w:rFonts w:eastAsiaTheme="minorHAnsi"/>
          <w:lang w:eastAsia="en-US"/>
        </w:rPr>
        <w:lastRenderedPageBreak/>
        <w:t>Mechanicznych, Elektrycznych</w:t>
      </w:r>
      <w:r>
        <w:rPr>
          <w:rFonts w:eastAsiaTheme="minorHAnsi"/>
          <w:lang w:eastAsia="en-US"/>
        </w:rPr>
        <w:t xml:space="preserve"> </w:t>
      </w:r>
      <w:r w:rsidR="00410739" w:rsidRPr="00FD66D0">
        <w:rPr>
          <w:rFonts w:eastAsiaTheme="minorHAnsi"/>
          <w:lang w:eastAsia="en-US"/>
        </w:rPr>
        <w:t xml:space="preserve">i Elektronicznych w Toruniu. </w:t>
      </w:r>
      <w:r w:rsidRPr="00446047">
        <w:rPr>
          <w:color w:val="000000"/>
          <w:u w:color="000000"/>
        </w:rPr>
        <w:t>Teren działek 524/1, 526/12 i 525/1 posiada wspólne ogrodzenie i wspólny wjazd od strony</w:t>
      </w:r>
      <w:r>
        <w:rPr>
          <w:color w:val="000000"/>
          <w:u w:color="000000"/>
        </w:rPr>
        <w:t xml:space="preserve">  ul. Szkolnej </w:t>
      </w:r>
      <w:r w:rsidRPr="00446047">
        <w:rPr>
          <w:rFonts w:eastAsiaTheme="minorHAnsi"/>
          <w:lang w:eastAsia="en-US"/>
        </w:rPr>
        <w:t>bramą usytuowaną</w:t>
      </w:r>
      <w:r>
        <w:rPr>
          <w:rFonts w:eastAsiaTheme="minorHAnsi"/>
          <w:lang w:eastAsia="en-US"/>
        </w:rPr>
        <w:t xml:space="preserve"> </w:t>
      </w:r>
      <w:r w:rsidRPr="00446047">
        <w:rPr>
          <w:rFonts w:eastAsiaTheme="minorHAnsi"/>
          <w:lang w:eastAsia="en-US"/>
        </w:rPr>
        <w:t>w granicach działki nr 525/1. Wjazd z drogi stanowiącej własność Gminy Czersk</w:t>
      </w:r>
      <w:r>
        <w:rPr>
          <w:rFonts w:eastAsiaTheme="minorHAnsi"/>
          <w:lang w:eastAsia="en-US"/>
        </w:rPr>
        <w:t>.</w:t>
      </w:r>
    </w:p>
    <w:p w:rsidR="00F4479D" w:rsidRDefault="00F4479D" w:rsidP="00265DA7">
      <w:pPr>
        <w:autoSpaceDE w:val="0"/>
        <w:adjustRightInd w:val="0"/>
        <w:jc w:val="both"/>
        <w:rPr>
          <w:rFonts w:eastAsiaTheme="minorHAnsi"/>
          <w:lang w:eastAsia="en-US"/>
        </w:rPr>
      </w:pPr>
      <w:r>
        <w:rPr>
          <w:rFonts w:eastAsiaTheme="minorHAnsi"/>
          <w:lang w:eastAsia="en-US"/>
        </w:rPr>
        <w:t xml:space="preserve">Burmistrz  </w:t>
      </w:r>
      <w:r w:rsidRPr="00446047">
        <w:rPr>
          <w:color w:val="000000"/>
          <w:u w:color="000000"/>
        </w:rPr>
        <w:t>Czerska przeznaczył działkę geod. nr 52</w:t>
      </w:r>
      <w:r>
        <w:rPr>
          <w:color w:val="000000"/>
          <w:u w:color="000000"/>
        </w:rPr>
        <w:t xml:space="preserve">5/1 o powierzchni 0,2519 ha do zbycia w trybie przetargu ustnego nieograniczonego. Cena wywoławcza wynosi 900.000,00 zł, a termin przetargu został ustalony na dzień 12 września 2023r. na godz. 11.00. </w:t>
      </w:r>
    </w:p>
    <w:p w:rsidR="00FD66D0" w:rsidRDefault="005939ED" w:rsidP="00265DA7">
      <w:pPr>
        <w:autoSpaceDE w:val="0"/>
        <w:adjustRightInd w:val="0"/>
        <w:ind w:firstLine="708"/>
        <w:jc w:val="both"/>
        <w:rPr>
          <w:rFonts w:eastAsiaTheme="minorHAnsi"/>
          <w:lang w:eastAsia="en-US"/>
        </w:rPr>
      </w:pPr>
      <w:r>
        <w:rPr>
          <w:color w:val="000000"/>
        </w:rPr>
        <w:t xml:space="preserve"> </w:t>
      </w:r>
      <w:r w:rsidR="00BE3629">
        <w:rPr>
          <w:color w:val="000000"/>
        </w:rPr>
        <w:t xml:space="preserve"> 5</w:t>
      </w:r>
      <w:r>
        <w:rPr>
          <w:color w:val="000000"/>
        </w:rPr>
        <w:t xml:space="preserve">. </w:t>
      </w:r>
      <w:r w:rsidR="00FD66D0" w:rsidRPr="00FD66D0">
        <w:rPr>
          <w:rFonts w:eastAsiaTheme="minorHAnsi"/>
          <w:lang w:eastAsia="en-US"/>
        </w:rPr>
        <w:t>Działki gminne zabudowane są dwoma pawilonami wypoczynkowymi wybudowanymi w latach 70 XX w. tj.: budynkiem murowanym, pod stropodachem betonowym krytym papą, z tarasem betonowym, o pow. zabudowy 129 m</w:t>
      </w:r>
      <w:r w:rsidR="00FD66D0" w:rsidRPr="00FD66D0">
        <w:rPr>
          <w:rFonts w:eastAsiaTheme="minorHAnsi"/>
          <w:vertAlign w:val="superscript"/>
          <w:lang w:eastAsia="en-US"/>
        </w:rPr>
        <w:t>2</w:t>
      </w:r>
      <w:r w:rsidR="00FD66D0" w:rsidRPr="00FD66D0">
        <w:rPr>
          <w:rFonts w:eastAsiaTheme="minorHAnsi"/>
          <w:lang w:eastAsia="en-US"/>
        </w:rPr>
        <w:t>, z wydzielonymi czterema niezależnymi zespołami pomieszczeń, z których każdy posiada pokój, kuchenkę i łazienkę o łącznej powierzchni 110,13 m</w:t>
      </w:r>
      <w:r w:rsidR="00FD66D0" w:rsidRPr="00FD66D0">
        <w:rPr>
          <w:rFonts w:eastAsiaTheme="minorHAnsi"/>
          <w:vertAlign w:val="superscript"/>
          <w:lang w:eastAsia="en-US"/>
        </w:rPr>
        <w:t>2</w:t>
      </w:r>
      <w:r w:rsidR="00FD66D0" w:rsidRPr="00FD66D0">
        <w:rPr>
          <w:rFonts w:eastAsiaTheme="minorHAnsi"/>
          <w:lang w:eastAsia="en-US"/>
        </w:rPr>
        <w:t xml:space="preserve"> oraz budynkiem murowanym, pod stropodachem betonowym krytym papą, z tarasem betonowym, o pow. zabudowy 68 m</w:t>
      </w:r>
      <w:r w:rsidR="00FD66D0" w:rsidRPr="00FD66D0">
        <w:rPr>
          <w:rFonts w:eastAsiaTheme="minorHAnsi"/>
          <w:vertAlign w:val="superscript"/>
          <w:lang w:eastAsia="en-US"/>
        </w:rPr>
        <w:t>2</w:t>
      </w:r>
      <w:r w:rsidR="00FD66D0" w:rsidRPr="00FD66D0">
        <w:rPr>
          <w:rFonts w:eastAsiaTheme="minorHAnsi"/>
          <w:lang w:eastAsia="en-US"/>
        </w:rPr>
        <w:t>, z wydzielonymi dwoma niezależnymi zespołami pomieszczeń, z których każdy posiada pokój, kuchenkę i łazienkę o łącznej powierzchni 57,71 m</w:t>
      </w:r>
      <w:r w:rsidR="00FD66D0" w:rsidRPr="00FD66D0">
        <w:rPr>
          <w:rFonts w:eastAsiaTheme="minorHAnsi"/>
          <w:vertAlign w:val="superscript"/>
          <w:lang w:eastAsia="en-US"/>
        </w:rPr>
        <w:t>2</w:t>
      </w:r>
      <w:r w:rsidR="00FD66D0" w:rsidRPr="00FD66D0">
        <w:rPr>
          <w:rFonts w:eastAsiaTheme="minorHAnsi"/>
          <w:lang w:eastAsia="en-US"/>
        </w:rPr>
        <w:t>. Stan techniczny średni. Standard wykończenia dobry. Budynki wyposażone są w instalację elektryczną, wodno-kanalizacyjną, CWU – bojlery elektryczne. Budynki nie posiadają instalacji grzewczej.</w:t>
      </w:r>
    </w:p>
    <w:p w:rsidR="00EF11FE" w:rsidRPr="00FD66D0" w:rsidRDefault="00EF11FE" w:rsidP="00EF11FE">
      <w:pPr>
        <w:autoSpaceDE w:val="0"/>
        <w:adjustRightInd w:val="0"/>
        <w:jc w:val="both"/>
      </w:pPr>
      <w:r>
        <w:rPr>
          <w:color w:val="000000"/>
          <w:u w:color="000000"/>
        </w:rPr>
        <w:t xml:space="preserve">           </w:t>
      </w:r>
      <w:r w:rsidR="00BE3629">
        <w:rPr>
          <w:color w:val="000000"/>
          <w:u w:color="000000"/>
        </w:rPr>
        <w:t xml:space="preserve"> 6</w:t>
      </w:r>
      <w:r>
        <w:rPr>
          <w:color w:val="000000"/>
          <w:u w:color="000000"/>
        </w:rPr>
        <w:t>.</w:t>
      </w:r>
      <w:r w:rsidRPr="00FD66D0">
        <w:t xml:space="preserve"> Przed przystąpieniem do przetargu jego uczestnik winien we własnym zakresie ustalić możliwość realizacji na nieruchomości planowanego prz</w:t>
      </w:r>
      <w:r>
        <w:t xml:space="preserve">edsięwzięcia oraz jego zgodność </w:t>
      </w:r>
      <w:r w:rsidRPr="00FD66D0">
        <w:t>z przepisami odrębnymi.</w:t>
      </w:r>
    </w:p>
    <w:p w:rsidR="00EF11FE" w:rsidRDefault="00EF11FE" w:rsidP="00265DA7">
      <w:pPr>
        <w:autoSpaceDE w:val="0"/>
        <w:adjustRightInd w:val="0"/>
        <w:ind w:firstLine="708"/>
        <w:jc w:val="both"/>
        <w:rPr>
          <w:rFonts w:eastAsiaTheme="minorHAnsi"/>
          <w:lang w:eastAsia="en-US"/>
        </w:rPr>
      </w:pPr>
    </w:p>
    <w:p w:rsidR="00265DA7" w:rsidRPr="00446047" w:rsidRDefault="00EF11FE" w:rsidP="00265DA7">
      <w:pPr>
        <w:pStyle w:val="Tekstpodstawowy"/>
        <w:widowControl/>
        <w:tabs>
          <w:tab w:val="left" w:pos="435"/>
        </w:tabs>
        <w:spacing w:after="0"/>
        <w:ind w:left="11"/>
        <w:jc w:val="both"/>
        <w:rPr>
          <w:color w:val="000000"/>
        </w:rPr>
      </w:pPr>
      <w:r>
        <w:tab/>
        <w:t xml:space="preserve"> § 4.1</w:t>
      </w:r>
      <w:r w:rsidR="00B920BB">
        <w:t>.</w:t>
      </w:r>
      <w:r>
        <w:t xml:space="preserve"> </w:t>
      </w:r>
      <w:r w:rsidR="00265DA7" w:rsidRPr="005462C9">
        <w:t xml:space="preserve">Nieruchomości położone w miejscowości Ostrowite w Gminie Czersk są usytuowane na terenie, dla którego brak jest miejscowego planu zagospodarowania przestrzennego. </w:t>
      </w:r>
      <w:r w:rsidR="00265DA7" w:rsidRPr="00446047">
        <w:rPr>
          <w:color w:val="000000"/>
          <w:u w:color="000000"/>
        </w:rPr>
        <w:t>Według Studium uwarunkowań</w:t>
      </w:r>
      <w:r w:rsidR="00265DA7">
        <w:rPr>
          <w:color w:val="000000"/>
          <w:u w:color="000000"/>
        </w:rPr>
        <w:t xml:space="preserve"> i </w:t>
      </w:r>
      <w:r w:rsidR="00265DA7" w:rsidRPr="00446047">
        <w:rPr>
          <w:color w:val="000000"/>
          <w:u w:color="000000"/>
        </w:rPr>
        <w:t> kierunków zagospodarowania przestrzennego miasta i gminy Czersk przyjętego Uchwałą nr LII/599/22 Rady Miejskiej w Czersku z dnia 20 grudnia 2022 r., przedmiotowy grunt znajduje się w strefie funkcjonalno-przestrzennej IX leśna, w podstrefie Z.1. w obszarze funkcjonalnym oznaczonym jako „obszar usług publicznych”. Nieruchomość położona w granicach terenów zainwestowanych miejscowości.</w:t>
      </w:r>
      <w:r w:rsidR="00265DA7">
        <w:rPr>
          <w:color w:val="000000"/>
          <w:u w:color="000000"/>
        </w:rPr>
        <w:t xml:space="preserve"> </w:t>
      </w:r>
      <w:r w:rsidR="00265DA7" w:rsidRPr="00446047">
        <w:rPr>
          <w:color w:val="000000"/>
          <w:u w:color="000000"/>
        </w:rPr>
        <w:t>Działka nr 526/12 położona jest w obszarze terenów zabudowanych o funkcji mieszkaniowej, usługowej i innej, zaś działka nr 524/1 w obszarze terenów rolnych.</w:t>
      </w:r>
      <w:r w:rsidR="00265DA7">
        <w:rPr>
          <w:color w:val="000000"/>
          <w:u w:color="000000"/>
        </w:rPr>
        <w:t xml:space="preserve"> </w:t>
      </w:r>
      <w:r w:rsidR="00265DA7" w:rsidRPr="00446047">
        <w:rPr>
          <w:color w:val="000000"/>
          <w:u w:color="000000"/>
        </w:rPr>
        <w:t>Dla strefy IX o wiodącej funkcji leśnej, w granicach określonych na rysunku Studium, ustala się adaptację istniejących funkcji i możliwość ich rozwoju w skupieniach, pod warunkiem posiadania sąsiedztwa o tej samej funkcji. Dopuszcza się rozwój i intensyfikację działalności turystycznej pod warunkiem zachowania standardów środowiska określonych w przepisach odrębnych.</w:t>
      </w:r>
    </w:p>
    <w:p w:rsidR="00265DA7" w:rsidRDefault="00EF11FE" w:rsidP="00265DA7">
      <w:pPr>
        <w:ind w:firstLine="708"/>
        <w:jc w:val="both"/>
      </w:pPr>
      <w:r>
        <w:t>2</w:t>
      </w:r>
      <w:r w:rsidR="00265DA7">
        <w:t xml:space="preserve">. </w:t>
      </w:r>
      <w:r w:rsidR="00265DA7" w:rsidRPr="005462C9">
        <w:t>Teren jest objęty Uchwałą Nr LVI/651/23 Rady Miejskiej w Czersku z dnia</w:t>
      </w:r>
      <w:r w:rsidR="00265DA7">
        <w:br/>
      </w:r>
      <w:r w:rsidR="00265DA7" w:rsidRPr="005462C9">
        <w:t>25 kwietnia 2023r.</w:t>
      </w:r>
      <w:r w:rsidR="00265DA7">
        <w:t xml:space="preserve"> </w:t>
      </w:r>
      <w:r w:rsidR="00265DA7" w:rsidRPr="005462C9">
        <w:t>w sprawie przystąpienia do sporządzenia miejscowego planu zagospodarowania przestrzennego terenu w rejonie ulicy Szkolnej i Jodłowej w Ostrowitem</w:t>
      </w:r>
      <w:r w:rsidR="00265DA7">
        <w:t>. Plan ustalał będzie dla przedmiotowego terenu funkcje usług o charakterze turystycznym, spośród których największe znaczenie mają usługi noclegowe i gastronomiczne oraz będzie wprowadzał obowiązek zagospodarowania terenu jako funkcjonalnej całości.</w:t>
      </w:r>
    </w:p>
    <w:p w:rsidR="00265DA7" w:rsidRDefault="00EF11FE" w:rsidP="00265DA7">
      <w:pPr>
        <w:autoSpaceDE w:val="0"/>
        <w:adjustRightInd w:val="0"/>
        <w:ind w:firstLine="708"/>
        <w:jc w:val="both"/>
        <w:rPr>
          <w:color w:val="000000"/>
          <w:u w:color="000000"/>
        </w:rPr>
      </w:pPr>
      <w:r>
        <w:t>3</w:t>
      </w:r>
      <w:r w:rsidR="00265DA7">
        <w:t xml:space="preserve">. </w:t>
      </w:r>
      <w:r w:rsidR="00265DA7" w:rsidRPr="00446047">
        <w:rPr>
          <w:color w:val="000000"/>
          <w:u w:color="000000"/>
        </w:rPr>
        <w:t>Nieruchomo</w:t>
      </w:r>
      <w:r w:rsidR="00265DA7">
        <w:rPr>
          <w:color w:val="000000"/>
          <w:u w:color="000000"/>
        </w:rPr>
        <w:t>ści</w:t>
      </w:r>
      <w:r w:rsidR="00265DA7" w:rsidRPr="00446047">
        <w:rPr>
          <w:color w:val="000000"/>
          <w:u w:color="000000"/>
        </w:rPr>
        <w:t xml:space="preserve"> w całości położon</w:t>
      </w:r>
      <w:r w:rsidR="00265DA7">
        <w:rPr>
          <w:color w:val="000000"/>
          <w:u w:color="000000"/>
        </w:rPr>
        <w:t>e są</w:t>
      </w:r>
      <w:r w:rsidR="00265DA7" w:rsidRPr="00446047">
        <w:rPr>
          <w:color w:val="000000"/>
          <w:u w:color="000000"/>
        </w:rPr>
        <w:t xml:space="preserve"> w granicach Tucholskiego Parku Krajobrazowego oraz w granicach obszaru Natura 2000 Obszar Specjalnej Ochrony Ptaków PLB220009 Bory Tucholskie.</w:t>
      </w:r>
    </w:p>
    <w:p w:rsidR="00265DA7" w:rsidRPr="00FD66D0" w:rsidRDefault="00265DA7" w:rsidP="00265DA7">
      <w:pPr>
        <w:autoSpaceDE w:val="0"/>
        <w:adjustRightInd w:val="0"/>
        <w:ind w:firstLine="708"/>
        <w:jc w:val="both"/>
        <w:rPr>
          <w:rFonts w:eastAsiaTheme="minorHAnsi"/>
          <w:lang w:eastAsia="en-US"/>
        </w:rPr>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5939ED" w:rsidTr="005939ED">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5939ED" w:rsidRPr="00254030" w:rsidRDefault="005939ED" w:rsidP="005939ED">
            <w:pPr>
              <w:pStyle w:val="Tekstpodstawowy31"/>
              <w:snapToGrid w:val="0"/>
              <w:spacing w:before="120"/>
              <w:jc w:val="center"/>
              <w:rPr>
                <w:sz w:val="22"/>
                <w:szCs w:val="22"/>
                <w:lang w:eastAsia="en-US"/>
              </w:rPr>
            </w:pPr>
            <w:r>
              <w:rPr>
                <w:sz w:val="22"/>
                <w:szCs w:val="22"/>
                <w:lang w:eastAsia="en-US"/>
              </w:rPr>
              <w:t>Cena wywoławcza (zł)</w:t>
            </w:r>
          </w:p>
        </w:tc>
        <w:tc>
          <w:tcPr>
            <w:tcW w:w="1630" w:type="dxa"/>
            <w:tcBorders>
              <w:top w:val="single" w:sz="4" w:space="0" w:color="000000"/>
              <w:left w:val="single" w:sz="4" w:space="0" w:color="000000"/>
              <w:bottom w:val="single" w:sz="4" w:space="0" w:color="000000"/>
              <w:right w:val="single" w:sz="4" w:space="0" w:color="000000"/>
            </w:tcBorders>
            <w:hideMark/>
          </w:tcPr>
          <w:p w:rsidR="005939ED" w:rsidRDefault="005939ED">
            <w:pPr>
              <w:pStyle w:val="Tekstpodstawowy31"/>
              <w:snapToGrid w:val="0"/>
              <w:spacing w:before="120"/>
              <w:jc w:val="center"/>
              <w:rPr>
                <w:sz w:val="22"/>
                <w:szCs w:val="22"/>
                <w:lang w:eastAsia="en-US"/>
              </w:rPr>
            </w:pPr>
            <w:r>
              <w:rPr>
                <w:sz w:val="22"/>
                <w:szCs w:val="22"/>
                <w:lang w:eastAsia="en-US"/>
              </w:rPr>
              <w:t>Wadium (zł)</w:t>
            </w:r>
          </w:p>
        </w:tc>
      </w:tr>
      <w:tr w:rsidR="005939ED" w:rsidTr="005939ED">
        <w:trPr>
          <w:trHeight w:val="325"/>
        </w:trPr>
        <w:tc>
          <w:tcPr>
            <w:tcW w:w="2835" w:type="dxa"/>
            <w:tcBorders>
              <w:top w:val="single" w:sz="4" w:space="0" w:color="auto"/>
              <w:left w:val="single" w:sz="4" w:space="0" w:color="auto"/>
              <w:bottom w:val="single" w:sz="4" w:space="0" w:color="auto"/>
              <w:right w:val="single" w:sz="4" w:space="0" w:color="auto"/>
            </w:tcBorders>
            <w:hideMark/>
          </w:tcPr>
          <w:p w:rsidR="005939ED" w:rsidRDefault="005939ED" w:rsidP="00AF1714">
            <w:pPr>
              <w:spacing w:before="120"/>
              <w:jc w:val="center"/>
              <w:rPr>
                <w:sz w:val="22"/>
                <w:szCs w:val="22"/>
                <w:lang w:eastAsia="en-US"/>
              </w:rPr>
            </w:pPr>
            <w:r>
              <w:rPr>
                <w:sz w:val="22"/>
                <w:szCs w:val="22"/>
                <w:lang w:eastAsia="en-US"/>
              </w:rPr>
              <w:t>700.000,00</w:t>
            </w:r>
          </w:p>
        </w:tc>
        <w:tc>
          <w:tcPr>
            <w:tcW w:w="1630" w:type="dxa"/>
            <w:tcBorders>
              <w:top w:val="single" w:sz="4" w:space="0" w:color="auto"/>
              <w:left w:val="single" w:sz="4" w:space="0" w:color="auto"/>
              <w:bottom w:val="single" w:sz="4" w:space="0" w:color="auto"/>
              <w:right w:val="single" w:sz="4" w:space="0" w:color="auto"/>
            </w:tcBorders>
            <w:hideMark/>
          </w:tcPr>
          <w:p w:rsidR="005939ED" w:rsidRDefault="005939ED" w:rsidP="005939ED">
            <w:pPr>
              <w:pStyle w:val="NormalnyWeb"/>
              <w:spacing w:before="120" w:beforeAutospacing="0" w:after="0" w:line="240" w:lineRule="auto"/>
              <w:jc w:val="center"/>
              <w:rPr>
                <w:sz w:val="22"/>
                <w:szCs w:val="22"/>
                <w:lang w:eastAsia="en-US"/>
              </w:rPr>
            </w:pPr>
            <w:r>
              <w:rPr>
                <w:sz w:val="22"/>
                <w:szCs w:val="22"/>
                <w:lang w:eastAsia="en-US"/>
              </w:rPr>
              <w:t>70.000,00</w:t>
            </w:r>
          </w:p>
        </w:tc>
      </w:tr>
    </w:tbl>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265DA7" w:rsidRPr="00446047" w:rsidRDefault="00265DA7" w:rsidP="00265DA7">
      <w:pPr>
        <w:autoSpaceDE w:val="0"/>
        <w:adjustRightInd w:val="0"/>
        <w:spacing w:before="120" w:after="120"/>
        <w:jc w:val="both"/>
        <w:rPr>
          <w:color w:val="000000"/>
        </w:rPr>
      </w:pPr>
      <w:r>
        <w:rPr>
          <w:rFonts w:eastAsia="Times New Roman"/>
        </w:rPr>
        <w:t xml:space="preserve">            </w:t>
      </w:r>
      <w:r w:rsidR="00490D91">
        <w:rPr>
          <w:rFonts w:eastAsia="Times New Roman"/>
        </w:rPr>
        <w:t xml:space="preserve">2. </w:t>
      </w:r>
      <w:r w:rsidRPr="00446047">
        <w:rPr>
          <w:color w:val="000000"/>
          <w:u w:color="000000"/>
        </w:rPr>
        <w:t xml:space="preserve">Sprzedaż nieruchomości oznaczonej jako działki 526/12 podlega zwolnieniu z podatku VAT, jako że dostawa nieruchomości spełnia przesłanki do zastosowania zwolnienia </w:t>
      </w:r>
      <w:r w:rsidRPr="00446047">
        <w:rPr>
          <w:color w:val="000000"/>
          <w:u w:color="000000"/>
        </w:rPr>
        <w:lastRenderedPageBreak/>
        <w:t xml:space="preserve">od podatku od towarów i usług - na podstawie art. 43 ust. 1 pkt. 10 ustawy o podatku od towarów i usług. Nieruchomość przeszła przez proces „pierwszego zasiedlenia”, a jej dostawa nastąpi po upływie dwóch lat od niego. Grunt zaś oznaczony jako działka 524/1 jest sklasyfikowany jako </w:t>
      </w:r>
      <w:proofErr w:type="spellStart"/>
      <w:r w:rsidRPr="00446047">
        <w:rPr>
          <w:color w:val="000000"/>
          <w:u w:color="000000"/>
        </w:rPr>
        <w:t>Lzr</w:t>
      </w:r>
      <w:proofErr w:type="spellEnd"/>
      <w:r w:rsidRPr="00446047">
        <w:rPr>
          <w:color w:val="000000"/>
          <w:u w:color="000000"/>
        </w:rPr>
        <w:t>-RVI.  Na tle brzmienia przepisów ustawy o podatku od towarów i usług, gdy nie ma miejscowego planu zagospodarowania przestrzennego, obejmującego zbywaną nieruchomość i nie wydano decyzji o warunkach zabudowy przyjmuje się, iż nie jest to teren budowlany, a jego zbycie podlega zwolnieniu z opodatkowania podatkiem VAT</w:t>
      </w:r>
      <w:r>
        <w:rPr>
          <w:color w:val="000000"/>
          <w:u w:color="000000"/>
        </w:rPr>
        <w:t>,</w:t>
      </w:r>
      <w:r w:rsidRPr="00446047">
        <w:rPr>
          <w:color w:val="000000"/>
          <w:u w:color="000000"/>
        </w:rPr>
        <w:t xml:space="preserve"> o którym mowa w art. 43 ust 1 pkt 9 ustawy o podatku od towaru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265DA7">
        <w:rPr>
          <w:rFonts w:eastAsia="Times New Roman"/>
          <w:b/>
        </w:rPr>
        <w:t>6</w:t>
      </w:r>
      <w:r w:rsidR="00714467">
        <w:rPr>
          <w:rFonts w:eastAsia="Times New Roman"/>
          <w:b/>
        </w:rPr>
        <w:t xml:space="preserve"> </w:t>
      </w:r>
      <w:r w:rsidR="00265DA7">
        <w:rPr>
          <w:rFonts w:eastAsia="Times New Roman"/>
          <w:b/>
        </w:rPr>
        <w:t>września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265DA7">
        <w:rPr>
          <w:rFonts w:eastAsia="Times New Roman"/>
        </w:rPr>
        <w:t>8</w:t>
      </w:r>
      <w:r>
        <w:rPr>
          <w:rFonts w:eastAsia="Times New Roman"/>
        </w:rPr>
        <w:t xml:space="preserve"> </w:t>
      </w:r>
      <w:r w:rsidR="00265DA7">
        <w:rPr>
          <w:rFonts w:eastAsia="Times New Roman"/>
        </w:rPr>
        <w:t>września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1. Protokół </w:t>
      </w:r>
      <w:r w:rsidR="00BE3629">
        <w:rPr>
          <w:rFonts w:eastAsia="Times New Roman"/>
        </w:rPr>
        <w:t xml:space="preserve">z </w:t>
      </w:r>
      <w:r>
        <w:rPr>
          <w:rFonts w:eastAsia="Times New Roman"/>
        </w:rPr>
        <w:t>przetargu sporządza się w trzech jednobrzmiących egzemplarzach.</w:t>
      </w:r>
    </w:p>
    <w:p w:rsidR="00490D91" w:rsidRDefault="00BE3629" w:rsidP="00490D91">
      <w:pPr>
        <w:pStyle w:val="Tekstpodstawowy"/>
        <w:spacing w:after="0" w:line="276" w:lineRule="auto"/>
        <w:ind w:firstLine="567"/>
        <w:jc w:val="both"/>
        <w:rPr>
          <w:rFonts w:eastAsia="Times New Roman"/>
        </w:rPr>
      </w:pPr>
      <w:r>
        <w:rPr>
          <w:rFonts w:eastAsia="Times New Roman"/>
        </w:rPr>
        <w:t xml:space="preserve">      </w:t>
      </w:r>
      <w:r w:rsidR="00490D91">
        <w:rPr>
          <w:rFonts w:eastAsia="Times New Roman"/>
        </w:rPr>
        <w:t xml:space="preserve">2. Protokół </w:t>
      </w:r>
      <w:r>
        <w:rPr>
          <w:rFonts w:eastAsia="Times New Roman"/>
        </w:rPr>
        <w:t xml:space="preserve">z </w:t>
      </w:r>
      <w:r w:rsidR="00490D91">
        <w:rPr>
          <w:rFonts w:eastAsia="Times New Roman"/>
        </w:rPr>
        <w:t>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r w:rsidR="00265DA7">
        <w:t>Wydanie nieruchomości do dyspozycji nowego właściciela nastąpi po zawarciu umowy notarialnej, nie wcześniej jednak niż 2 października 2023r.</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265DA7">
      <w:pPr>
        <w:pStyle w:val="Textbody"/>
        <w:spacing w:after="0" w:line="240" w:lineRule="auto"/>
        <w:ind w:firstLine="420"/>
        <w:jc w:val="both"/>
        <w:rPr>
          <w:color w:val="000000"/>
          <w:sz w:val="24"/>
          <w:szCs w:val="24"/>
        </w:rPr>
      </w:pPr>
      <w:r>
        <w:rPr>
          <w:color w:val="000000"/>
          <w:sz w:val="24"/>
          <w:szCs w:val="24"/>
        </w:rPr>
        <w:t>§16.  Zwycięzca prze</w:t>
      </w:r>
      <w:r w:rsidR="00265DA7">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B2C5F" w:rsidRPr="00CB2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CF" w:rsidRDefault="00500ACF" w:rsidP="00265DA7">
      <w:r>
        <w:separator/>
      </w:r>
    </w:p>
  </w:endnote>
  <w:endnote w:type="continuationSeparator" w:id="0">
    <w:p w:rsidR="00500ACF" w:rsidRDefault="00500ACF" w:rsidP="002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CF" w:rsidRDefault="00500ACF" w:rsidP="00265DA7">
      <w:r>
        <w:separator/>
      </w:r>
    </w:p>
  </w:footnote>
  <w:footnote w:type="continuationSeparator" w:id="0">
    <w:p w:rsidR="00500ACF" w:rsidRDefault="00500ACF" w:rsidP="0026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EB1159F"/>
    <w:multiLevelType w:val="hybridMultilevel"/>
    <w:tmpl w:val="0B8EB7B8"/>
    <w:lvl w:ilvl="0" w:tplc="EF78842C">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FAC6CC1"/>
    <w:multiLevelType w:val="hybridMultilevel"/>
    <w:tmpl w:val="90860F14"/>
    <w:lvl w:ilvl="0" w:tplc="D0D2A2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2"/>
    <w:rsid w:val="00001996"/>
    <w:rsid w:val="0002251C"/>
    <w:rsid w:val="0004701A"/>
    <w:rsid w:val="0008161A"/>
    <w:rsid w:val="000875C3"/>
    <w:rsid w:val="000A0C53"/>
    <w:rsid w:val="000A62E9"/>
    <w:rsid w:val="000B2E9F"/>
    <w:rsid w:val="000B5DAF"/>
    <w:rsid w:val="000D49B2"/>
    <w:rsid w:val="000E0954"/>
    <w:rsid w:val="00124D1A"/>
    <w:rsid w:val="00131AC4"/>
    <w:rsid w:val="001557C7"/>
    <w:rsid w:val="001A035D"/>
    <w:rsid w:val="001B05C0"/>
    <w:rsid w:val="001E5A87"/>
    <w:rsid w:val="001F14E4"/>
    <w:rsid w:val="001F5C0C"/>
    <w:rsid w:val="00211A88"/>
    <w:rsid w:val="0021656B"/>
    <w:rsid w:val="0024411A"/>
    <w:rsid w:val="00245781"/>
    <w:rsid w:val="00254030"/>
    <w:rsid w:val="00265DA7"/>
    <w:rsid w:val="00276386"/>
    <w:rsid w:val="002F2B02"/>
    <w:rsid w:val="00335E37"/>
    <w:rsid w:val="003825EF"/>
    <w:rsid w:val="003857D0"/>
    <w:rsid w:val="003B50E8"/>
    <w:rsid w:val="003C28C0"/>
    <w:rsid w:val="003C3EEA"/>
    <w:rsid w:val="003F0884"/>
    <w:rsid w:val="004029EE"/>
    <w:rsid w:val="00410739"/>
    <w:rsid w:val="00417312"/>
    <w:rsid w:val="00457479"/>
    <w:rsid w:val="0048088B"/>
    <w:rsid w:val="00490D91"/>
    <w:rsid w:val="004A795B"/>
    <w:rsid w:val="004B4E36"/>
    <w:rsid w:val="004B7975"/>
    <w:rsid w:val="00500ACF"/>
    <w:rsid w:val="005042A4"/>
    <w:rsid w:val="005267F5"/>
    <w:rsid w:val="005939ED"/>
    <w:rsid w:val="005B1E95"/>
    <w:rsid w:val="005F4D8C"/>
    <w:rsid w:val="00681273"/>
    <w:rsid w:val="0068541D"/>
    <w:rsid w:val="00692B43"/>
    <w:rsid w:val="00697CB6"/>
    <w:rsid w:val="006C12E5"/>
    <w:rsid w:val="006E7A86"/>
    <w:rsid w:val="00700044"/>
    <w:rsid w:val="0070724A"/>
    <w:rsid w:val="00714467"/>
    <w:rsid w:val="0072236E"/>
    <w:rsid w:val="0079455F"/>
    <w:rsid w:val="00821A44"/>
    <w:rsid w:val="00824551"/>
    <w:rsid w:val="008A6C0D"/>
    <w:rsid w:val="008B207A"/>
    <w:rsid w:val="008C7445"/>
    <w:rsid w:val="008E1FF7"/>
    <w:rsid w:val="008F0D5C"/>
    <w:rsid w:val="009464D3"/>
    <w:rsid w:val="00947329"/>
    <w:rsid w:val="0094772F"/>
    <w:rsid w:val="0098743B"/>
    <w:rsid w:val="009A33E6"/>
    <w:rsid w:val="009E5F99"/>
    <w:rsid w:val="00A06257"/>
    <w:rsid w:val="00A25638"/>
    <w:rsid w:val="00A36F53"/>
    <w:rsid w:val="00A411C2"/>
    <w:rsid w:val="00A86D02"/>
    <w:rsid w:val="00AB66A9"/>
    <w:rsid w:val="00AD0A84"/>
    <w:rsid w:val="00AF1714"/>
    <w:rsid w:val="00B070FC"/>
    <w:rsid w:val="00B52336"/>
    <w:rsid w:val="00B920BB"/>
    <w:rsid w:val="00BA47C1"/>
    <w:rsid w:val="00BE3629"/>
    <w:rsid w:val="00C51449"/>
    <w:rsid w:val="00C5424A"/>
    <w:rsid w:val="00C72492"/>
    <w:rsid w:val="00C77487"/>
    <w:rsid w:val="00CB2196"/>
    <w:rsid w:val="00CB2C5F"/>
    <w:rsid w:val="00CC366C"/>
    <w:rsid w:val="00CD3A0A"/>
    <w:rsid w:val="00CD5283"/>
    <w:rsid w:val="00D01235"/>
    <w:rsid w:val="00D05F30"/>
    <w:rsid w:val="00DB66F5"/>
    <w:rsid w:val="00DE6D2E"/>
    <w:rsid w:val="00E06681"/>
    <w:rsid w:val="00E52B93"/>
    <w:rsid w:val="00ED0E07"/>
    <w:rsid w:val="00ED7125"/>
    <w:rsid w:val="00EE02E3"/>
    <w:rsid w:val="00EF11FE"/>
    <w:rsid w:val="00EF26D2"/>
    <w:rsid w:val="00F43B4E"/>
    <w:rsid w:val="00F4479D"/>
    <w:rsid w:val="00F6129D"/>
    <w:rsid w:val="00F774DC"/>
    <w:rsid w:val="00F81BDD"/>
    <w:rsid w:val="00F863E6"/>
    <w:rsid w:val="00FA56DA"/>
    <w:rsid w:val="00FD66D0"/>
    <w:rsid w:val="00FD7C4C"/>
    <w:rsid w:val="00FF1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4EDB"/>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qFormat/>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 w:type="paragraph" w:styleId="Tekstprzypisukocowego">
    <w:name w:val="endnote text"/>
    <w:basedOn w:val="Normalny"/>
    <w:link w:val="TekstprzypisukocowegoZnak"/>
    <w:uiPriority w:val="99"/>
    <w:semiHidden/>
    <w:unhideWhenUsed/>
    <w:rsid w:val="00265DA7"/>
    <w:rPr>
      <w:sz w:val="20"/>
      <w:szCs w:val="20"/>
    </w:rPr>
  </w:style>
  <w:style w:type="character" w:customStyle="1" w:styleId="TekstprzypisukocowegoZnak">
    <w:name w:val="Tekst przypisu końcowego Znak"/>
    <w:basedOn w:val="Domylnaczcionkaakapitu"/>
    <w:link w:val="Tekstprzypisukocowego"/>
    <w:uiPriority w:val="99"/>
    <w:semiHidden/>
    <w:rsid w:val="00265DA7"/>
    <w:rPr>
      <w:rFonts w:ascii="Times New Roman" w:eastAsia="Lucida Sans Unicode" w:hAnsi="Times New Roman" w:cs="Times New Roman"/>
      <w:kern w:val="3"/>
      <w:sz w:val="20"/>
      <w:szCs w:val="20"/>
      <w:lang w:eastAsia="pl-PL"/>
    </w:rPr>
  </w:style>
  <w:style w:type="character" w:styleId="Odwoanieprzypisukocowego">
    <w:name w:val="endnote reference"/>
    <w:basedOn w:val="Domylnaczcionkaakapitu"/>
    <w:uiPriority w:val="99"/>
    <w:semiHidden/>
    <w:unhideWhenUsed/>
    <w:rsid w:val="00265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77BD-5D7D-4536-B176-4D3BFEED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13415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2023-07-06T07:06:00Z</cp:lastPrinted>
  <dcterms:created xsi:type="dcterms:W3CDTF">2023-07-10T06:55:00Z</dcterms:created>
  <dcterms:modified xsi:type="dcterms:W3CDTF">2023-07-10T06:55:00Z</dcterms:modified>
</cp:coreProperties>
</file>