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828" w:rsidRPr="00B01308" w:rsidRDefault="00E85828" w:rsidP="00E45773">
      <w:pPr>
        <w:spacing w:line="276" w:lineRule="auto"/>
        <w:jc w:val="right"/>
        <w:rPr>
          <w:rFonts w:ascii="Times New Roman" w:eastAsia="Lucida Sans Unicode" w:hAnsi="Times New Roman" w:cs="Times New Roman"/>
          <w:sz w:val="22"/>
          <w:szCs w:val="22"/>
          <w:lang w:bidi="ar-SA"/>
        </w:rPr>
      </w:pPr>
    </w:p>
    <w:p w:rsidR="007C4AD1" w:rsidRPr="00B01308" w:rsidRDefault="00544831" w:rsidP="007C4AD1">
      <w:pPr>
        <w:pStyle w:val="Tekstpodstawowywcity"/>
        <w:spacing w:line="100" w:lineRule="atLeast"/>
        <w:ind w:left="-15" w:firstLine="0"/>
        <w:jc w:val="center"/>
        <w:rPr>
          <w:rFonts w:ascii="Times New Roman" w:eastAsia="Lucida Sans Unicode" w:hAnsi="Times New Roman" w:cs="Times New Roman"/>
          <w:b/>
          <w:szCs w:val="22"/>
          <w:lang w:bidi="ar-SA"/>
        </w:rPr>
      </w:pPr>
      <w:r>
        <w:rPr>
          <w:rFonts w:ascii="Times New Roman" w:eastAsia="Lucida Sans Unicode" w:hAnsi="Times New Roman" w:cs="Times New Roman"/>
          <w:b/>
          <w:szCs w:val="22"/>
          <w:lang w:bidi="ar-SA"/>
        </w:rPr>
        <w:t xml:space="preserve">ZARZĄDZENIE NR </w:t>
      </w:r>
      <w:r w:rsidR="00AF2C5D">
        <w:rPr>
          <w:rFonts w:ascii="Times New Roman" w:eastAsia="Lucida Sans Unicode" w:hAnsi="Times New Roman" w:cs="Times New Roman"/>
          <w:b/>
          <w:szCs w:val="22"/>
          <w:lang w:bidi="ar-SA"/>
        </w:rPr>
        <w:t>134</w:t>
      </w:r>
    </w:p>
    <w:p w:rsidR="00E85828" w:rsidRPr="00B01308" w:rsidRDefault="00E85828" w:rsidP="007C4AD1">
      <w:pPr>
        <w:pStyle w:val="Tekstpodstawowywcity"/>
        <w:spacing w:line="100" w:lineRule="atLeast"/>
        <w:ind w:left="-15" w:firstLine="0"/>
        <w:jc w:val="center"/>
        <w:rPr>
          <w:rFonts w:ascii="Times New Roman" w:eastAsia="Lucida Sans Unicode" w:hAnsi="Times New Roman" w:cs="Times New Roman"/>
          <w:b/>
          <w:szCs w:val="22"/>
          <w:lang w:bidi="ar-SA"/>
        </w:rPr>
      </w:pPr>
      <w:r w:rsidRPr="00B01308">
        <w:rPr>
          <w:rFonts w:ascii="Times New Roman" w:eastAsia="Lucida Sans Unicode" w:hAnsi="Times New Roman" w:cs="Times New Roman"/>
          <w:b/>
          <w:szCs w:val="22"/>
          <w:lang w:bidi="ar-SA"/>
        </w:rPr>
        <w:t>PREZYDENTA MIASTA TORUNIA</w:t>
      </w:r>
    </w:p>
    <w:p w:rsidR="00E85828" w:rsidRPr="00B01308" w:rsidRDefault="00521677" w:rsidP="00E85828">
      <w:pPr>
        <w:jc w:val="center"/>
        <w:rPr>
          <w:rFonts w:ascii="Times New Roman" w:eastAsia="Arial" w:hAnsi="Times New Roman" w:cs="Times New Roman"/>
          <w:sz w:val="22"/>
          <w:szCs w:val="22"/>
          <w:lang w:bidi="ar-SA"/>
        </w:rPr>
      </w:pPr>
      <w:r w:rsidRPr="00B01308">
        <w:rPr>
          <w:rFonts w:ascii="Times New Roman" w:eastAsia="Lucida Sans Unicode" w:hAnsi="Times New Roman" w:cs="Times New Roman"/>
          <w:b/>
          <w:sz w:val="22"/>
          <w:szCs w:val="22"/>
          <w:lang w:bidi="ar-SA"/>
        </w:rPr>
        <w:t xml:space="preserve">z dnia </w:t>
      </w:r>
      <w:r w:rsidR="00E85828" w:rsidRPr="00B01308">
        <w:rPr>
          <w:rFonts w:ascii="Times New Roman" w:eastAsia="Lucida Sans Unicode" w:hAnsi="Times New Roman" w:cs="Times New Roman"/>
          <w:b/>
          <w:sz w:val="22"/>
          <w:szCs w:val="22"/>
          <w:lang w:bidi="ar-SA"/>
        </w:rPr>
        <w:t xml:space="preserve"> </w:t>
      </w:r>
      <w:r w:rsidR="00AF2C5D">
        <w:rPr>
          <w:rFonts w:ascii="Times New Roman" w:eastAsia="Lucida Sans Unicode" w:hAnsi="Times New Roman" w:cs="Times New Roman"/>
          <w:b/>
          <w:sz w:val="22"/>
          <w:szCs w:val="22"/>
          <w:lang w:bidi="ar-SA"/>
        </w:rPr>
        <w:t>21.06.</w:t>
      </w:r>
      <w:r w:rsidRPr="00B01308">
        <w:rPr>
          <w:rFonts w:ascii="Times New Roman" w:eastAsia="Lucida Sans Unicode" w:hAnsi="Times New Roman" w:cs="Times New Roman"/>
          <w:b/>
          <w:sz w:val="22"/>
          <w:szCs w:val="22"/>
          <w:lang w:bidi="ar-SA"/>
        </w:rPr>
        <w:t>202</w:t>
      </w:r>
      <w:r w:rsidR="004C0BD7">
        <w:rPr>
          <w:rFonts w:ascii="Times New Roman" w:eastAsia="Lucida Sans Unicode" w:hAnsi="Times New Roman" w:cs="Times New Roman"/>
          <w:b/>
          <w:sz w:val="22"/>
          <w:szCs w:val="22"/>
          <w:lang w:bidi="ar-SA"/>
        </w:rPr>
        <w:t>3</w:t>
      </w:r>
      <w:r w:rsidR="00E85828" w:rsidRPr="00B01308">
        <w:rPr>
          <w:rFonts w:ascii="Times New Roman" w:eastAsia="Lucida Sans Unicode" w:hAnsi="Times New Roman" w:cs="Times New Roman"/>
          <w:b/>
          <w:sz w:val="22"/>
          <w:szCs w:val="22"/>
          <w:lang w:bidi="ar-SA"/>
        </w:rPr>
        <w:t xml:space="preserve"> r.</w:t>
      </w:r>
    </w:p>
    <w:p w:rsidR="00E85828" w:rsidRPr="00B01308" w:rsidRDefault="00E85828" w:rsidP="00E85828">
      <w:pPr>
        <w:jc w:val="both"/>
        <w:rPr>
          <w:rFonts w:ascii="Times New Roman" w:eastAsia="Times New Roman" w:hAnsi="Times New Roman" w:cs="Times New Roman"/>
          <w:b/>
          <w:bCs/>
          <w:sz w:val="22"/>
          <w:szCs w:val="22"/>
        </w:rPr>
      </w:pPr>
      <w:r w:rsidRPr="00B01308">
        <w:rPr>
          <w:rFonts w:ascii="Times New Roman" w:eastAsia="Arial" w:hAnsi="Times New Roman" w:cs="Times New Roman"/>
          <w:sz w:val="22"/>
          <w:szCs w:val="22"/>
          <w:lang w:bidi="ar-SA"/>
        </w:rPr>
        <w:t xml:space="preserve">   </w:t>
      </w:r>
    </w:p>
    <w:p w:rsidR="00B01308" w:rsidRPr="00562C6B" w:rsidRDefault="004C0BD7" w:rsidP="00B01308">
      <w:pPr>
        <w:jc w:val="both"/>
        <w:rPr>
          <w:rFonts w:ascii="Times New Roman" w:eastAsia="Lucida Sans Unicode" w:hAnsi="Times New Roman" w:cs="Times New Roman"/>
          <w:b/>
          <w:sz w:val="22"/>
          <w:szCs w:val="22"/>
          <w:lang w:bidi="ar-SA"/>
        </w:rPr>
      </w:pPr>
      <w:r>
        <w:rPr>
          <w:rFonts w:ascii="Times New Roman" w:eastAsia="Times New Roman" w:hAnsi="Times New Roman" w:cs="Times New Roman"/>
          <w:b/>
          <w:bCs/>
          <w:sz w:val="22"/>
          <w:szCs w:val="22"/>
        </w:rPr>
        <w:t>w sprawie ustalenia R</w:t>
      </w:r>
      <w:r w:rsidR="00E85828" w:rsidRPr="00562C6B">
        <w:rPr>
          <w:rFonts w:ascii="Times New Roman" w:eastAsia="Times New Roman" w:hAnsi="Times New Roman" w:cs="Times New Roman"/>
          <w:b/>
          <w:bCs/>
          <w:sz w:val="22"/>
          <w:szCs w:val="22"/>
        </w:rPr>
        <w:t>egula</w:t>
      </w:r>
      <w:r w:rsidR="00E85828" w:rsidRPr="00562C6B">
        <w:rPr>
          <w:rFonts w:ascii="Times New Roman" w:eastAsia="Times New Roman" w:hAnsi="Times New Roman" w:cs="Times New Roman"/>
          <w:b/>
          <w:bCs/>
          <w:sz w:val="22"/>
          <w:szCs w:val="22"/>
        </w:rPr>
        <w:softHyphen/>
        <w:t xml:space="preserve">minu </w:t>
      </w:r>
      <w:r w:rsidR="00E14F17">
        <w:rPr>
          <w:rFonts w:ascii="Times New Roman" w:eastAsia="Times New Roman" w:hAnsi="Times New Roman" w:cs="Times New Roman"/>
          <w:b/>
          <w:bCs/>
          <w:sz w:val="22"/>
          <w:szCs w:val="22"/>
        </w:rPr>
        <w:t>kolejnych</w:t>
      </w:r>
      <w:r w:rsidR="00222F26" w:rsidRPr="00562C6B">
        <w:rPr>
          <w:rFonts w:ascii="Times New Roman" w:eastAsia="Times New Roman" w:hAnsi="Times New Roman" w:cs="Times New Roman"/>
          <w:b/>
          <w:bCs/>
          <w:sz w:val="22"/>
          <w:szCs w:val="22"/>
        </w:rPr>
        <w:t xml:space="preserve"> ustnych przetargów nieograniczonych</w:t>
      </w:r>
      <w:r w:rsidR="00E85828" w:rsidRPr="00562C6B">
        <w:rPr>
          <w:rFonts w:ascii="Times New Roman" w:eastAsia="Times New Roman" w:hAnsi="Times New Roman" w:cs="Times New Roman"/>
          <w:b/>
          <w:bCs/>
          <w:sz w:val="22"/>
          <w:szCs w:val="22"/>
        </w:rPr>
        <w:t xml:space="preserve"> na </w:t>
      </w:r>
      <w:r w:rsidR="007001B7" w:rsidRPr="00562C6B">
        <w:rPr>
          <w:rFonts w:ascii="Times New Roman" w:eastAsia="Times New Roman" w:hAnsi="Times New Roman" w:cs="Times New Roman"/>
          <w:b/>
          <w:bCs/>
          <w:sz w:val="22"/>
          <w:szCs w:val="22"/>
        </w:rPr>
        <w:t>sprzedaż nieruchomości gruntowych położonych</w:t>
      </w:r>
      <w:r w:rsidR="00E85828" w:rsidRPr="00562C6B">
        <w:rPr>
          <w:rFonts w:ascii="Times New Roman" w:eastAsia="Times New Roman" w:hAnsi="Times New Roman" w:cs="Times New Roman"/>
          <w:b/>
          <w:bCs/>
          <w:sz w:val="22"/>
          <w:szCs w:val="22"/>
        </w:rPr>
        <w:t xml:space="preserve"> w Toruniu przy ul. </w:t>
      </w:r>
      <w:r w:rsidR="00562C6B" w:rsidRPr="00562C6B">
        <w:rPr>
          <w:rFonts w:ascii="Times New Roman" w:hAnsi="Times New Roman" w:cs="Times New Roman"/>
          <w:b/>
          <w:sz w:val="22"/>
          <w:szCs w:val="22"/>
        </w:rPr>
        <w:t>Podgórskiej 36, 38, 40 i ul. gen. Józefa Dwernickiego 3A, 3B, 3</w:t>
      </w:r>
      <w:r>
        <w:rPr>
          <w:rFonts w:ascii="Times New Roman" w:hAnsi="Times New Roman" w:cs="Times New Roman"/>
          <w:b/>
          <w:sz w:val="22"/>
          <w:szCs w:val="22"/>
        </w:rPr>
        <w:t xml:space="preserve"> </w:t>
      </w:r>
      <w:r w:rsidR="00E85828" w:rsidRPr="00562C6B">
        <w:rPr>
          <w:rFonts w:ascii="Times New Roman" w:eastAsia="Times New Roman" w:hAnsi="Times New Roman" w:cs="Times New Roman"/>
          <w:b/>
          <w:bCs/>
          <w:sz w:val="22"/>
          <w:szCs w:val="22"/>
        </w:rPr>
        <w:t xml:space="preserve">oraz </w:t>
      </w:r>
      <w:r w:rsidR="00983737">
        <w:rPr>
          <w:rFonts w:ascii="Times New Roman" w:eastAsia="Times New Roman" w:hAnsi="Times New Roman" w:cs="Times New Roman"/>
          <w:b/>
          <w:bCs/>
          <w:sz w:val="22"/>
          <w:szCs w:val="22"/>
        </w:rPr>
        <w:t xml:space="preserve">drogi dojazdowej i </w:t>
      </w:r>
      <w:r w:rsidR="00E85828" w:rsidRPr="00562C6B">
        <w:rPr>
          <w:rFonts w:ascii="Times New Roman" w:eastAsia="Times New Roman" w:hAnsi="Times New Roman" w:cs="Times New Roman"/>
          <w:b/>
          <w:bCs/>
          <w:sz w:val="22"/>
          <w:szCs w:val="22"/>
        </w:rPr>
        <w:t>powołania Komi</w:t>
      </w:r>
      <w:r w:rsidR="00D76E7F">
        <w:rPr>
          <w:rFonts w:ascii="Times New Roman" w:eastAsia="Times New Roman" w:hAnsi="Times New Roman" w:cs="Times New Roman"/>
          <w:b/>
          <w:bCs/>
          <w:sz w:val="22"/>
          <w:szCs w:val="22"/>
        </w:rPr>
        <w:t>sji do przeprowadzenia przetargów</w:t>
      </w:r>
      <w:r w:rsidR="00E85828" w:rsidRPr="00562C6B">
        <w:rPr>
          <w:rFonts w:ascii="Times New Roman" w:eastAsia="Times New Roman" w:hAnsi="Times New Roman" w:cs="Times New Roman"/>
          <w:b/>
          <w:bCs/>
          <w:sz w:val="22"/>
          <w:szCs w:val="22"/>
        </w:rPr>
        <w:t>.</w:t>
      </w:r>
    </w:p>
    <w:p w:rsidR="00B01308" w:rsidRPr="00562C6B" w:rsidRDefault="00B01308" w:rsidP="00B01308">
      <w:pPr>
        <w:jc w:val="both"/>
        <w:rPr>
          <w:rFonts w:ascii="Times New Roman" w:eastAsia="Lucida Sans Unicode" w:hAnsi="Times New Roman" w:cs="Times New Roman"/>
          <w:b/>
          <w:sz w:val="22"/>
          <w:szCs w:val="22"/>
          <w:lang w:bidi="ar-SA"/>
        </w:rPr>
      </w:pPr>
    </w:p>
    <w:p w:rsidR="00D76E7F" w:rsidRPr="00562C6B" w:rsidRDefault="00E14F17" w:rsidP="00D76E7F">
      <w:pPr>
        <w:jc w:val="both"/>
        <w:rPr>
          <w:rFonts w:ascii="Times New Roman" w:eastAsia="Lucida Sans Unicode" w:hAnsi="Times New Roman" w:cs="Times New Roman"/>
          <w:sz w:val="22"/>
          <w:szCs w:val="22"/>
          <w:lang w:bidi="ar-SA"/>
        </w:rPr>
      </w:pPr>
      <w:r w:rsidRPr="00562C6B">
        <w:rPr>
          <w:rFonts w:ascii="Times New Roman" w:eastAsia="Lucida Sans Unicode" w:hAnsi="Times New Roman" w:cs="Times New Roman"/>
          <w:sz w:val="22"/>
          <w:szCs w:val="22"/>
          <w:lang w:bidi="ar-SA"/>
        </w:rPr>
        <w:t>Na podstawie art. 30 ust. 1 ustawy z dnia 8 marca 1990 roku o samorządzie gminnym (Dz.U. z 202</w:t>
      </w:r>
      <w:r>
        <w:rPr>
          <w:rFonts w:ascii="Times New Roman" w:eastAsia="Lucida Sans Unicode" w:hAnsi="Times New Roman" w:cs="Times New Roman"/>
          <w:sz w:val="22"/>
          <w:szCs w:val="22"/>
          <w:lang w:bidi="ar-SA"/>
        </w:rPr>
        <w:t>3</w:t>
      </w:r>
      <w:r w:rsidRPr="00562C6B">
        <w:rPr>
          <w:rFonts w:ascii="Times New Roman" w:eastAsia="Lucida Sans Unicode" w:hAnsi="Times New Roman" w:cs="Times New Roman"/>
          <w:sz w:val="22"/>
          <w:szCs w:val="22"/>
          <w:lang w:bidi="ar-SA"/>
        </w:rPr>
        <w:t xml:space="preserve"> poz. </w:t>
      </w:r>
      <w:r>
        <w:rPr>
          <w:rFonts w:ascii="Times New Roman" w:eastAsia="Lucida Sans Unicode" w:hAnsi="Times New Roman" w:cs="Times New Roman"/>
          <w:sz w:val="22"/>
          <w:szCs w:val="22"/>
          <w:lang w:bidi="ar-SA"/>
        </w:rPr>
        <w:t>40</w:t>
      </w:r>
      <w:r w:rsidRPr="00562C6B">
        <w:rPr>
          <w:rFonts w:ascii="Times New Roman" w:eastAsia="Lucida Sans Unicode" w:hAnsi="Times New Roman" w:cs="Times New Roman"/>
          <w:sz w:val="22"/>
          <w:szCs w:val="22"/>
          <w:lang w:bidi="ar-SA"/>
        </w:rPr>
        <w:t xml:space="preserve"> ze zm</w:t>
      </w:r>
      <w:r w:rsidRPr="00562C6B">
        <w:rPr>
          <w:rFonts w:ascii="Times New Roman" w:eastAsia="Lucida Sans Unicode" w:hAnsi="Times New Roman" w:cs="Times New Roman"/>
          <w:sz w:val="22"/>
          <w:szCs w:val="22"/>
          <w:vertAlign w:val="superscript"/>
          <w:lang w:bidi="ar-SA"/>
        </w:rPr>
        <w:t>1</w:t>
      </w:r>
      <w:r>
        <w:rPr>
          <w:rFonts w:ascii="Times New Roman" w:eastAsia="Lucida Sans Unicode" w:hAnsi="Times New Roman" w:cs="Times New Roman"/>
          <w:sz w:val="22"/>
          <w:szCs w:val="22"/>
          <w:lang w:bidi="ar-SA"/>
        </w:rPr>
        <w:t xml:space="preserve">) oraz </w:t>
      </w:r>
      <w:r w:rsidR="00D76E7F" w:rsidRPr="00562C6B">
        <w:rPr>
          <w:rFonts w:ascii="Times New Roman" w:eastAsia="Lucida Sans Unicode" w:hAnsi="Times New Roman" w:cs="Times New Roman"/>
          <w:sz w:val="22"/>
          <w:szCs w:val="22"/>
          <w:lang w:bidi="ar-SA"/>
        </w:rPr>
        <w:t xml:space="preserve">uchwał Rady Miasta Torunia </w:t>
      </w:r>
      <w:r w:rsidR="00D76E7F">
        <w:rPr>
          <w:rFonts w:ascii="Times New Roman" w:eastAsia="Lucida Sans Unicode" w:hAnsi="Times New Roman" w:cs="Times New Roman"/>
          <w:sz w:val="22"/>
          <w:szCs w:val="22"/>
          <w:lang w:bidi="ar-SA"/>
        </w:rPr>
        <w:t>nr</w:t>
      </w:r>
      <w:r w:rsidR="00D76E7F" w:rsidRPr="00562C6B">
        <w:rPr>
          <w:rFonts w:ascii="Times New Roman" w:eastAsia="Times New Roman" w:hAnsi="Times New Roman" w:cs="Times New Roman"/>
          <w:bCs/>
          <w:sz w:val="22"/>
          <w:szCs w:val="22"/>
        </w:rPr>
        <w:t xml:space="preserve"> 902/22 z dnia 21 lipca 2022 r. oraz nr 126/19 z dnia 23 maja 2019 r. </w:t>
      </w:r>
      <w:r w:rsidR="00D76E7F" w:rsidRPr="00562C6B">
        <w:rPr>
          <w:rFonts w:ascii="Times New Roman" w:eastAsia="Lucida Sans Unicode" w:hAnsi="Times New Roman" w:cs="Times New Roman"/>
          <w:sz w:val="22"/>
          <w:szCs w:val="22"/>
          <w:lang w:bidi="ar-SA"/>
        </w:rPr>
        <w:t xml:space="preserve">w sprawie sprzedaży nieruchomości stanowiących własność Gminy Miasta Toruń, położonych w Toruniu </w:t>
      </w:r>
      <w:r w:rsidR="00D76E7F" w:rsidRPr="00562C6B">
        <w:rPr>
          <w:rFonts w:ascii="Times New Roman" w:eastAsia="Times New Roman" w:hAnsi="Times New Roman" w:cs="Times New Roman"/>
          <w:sz w:val="22"/>
          <w:szCs w:val="22"/>
        </w:rPr>
        <w:t xml:space="preserve">przy ul. </w:t>
      </w:r>
      <w:r w:rsidR="00D76E7F" w:rsidRPr="00562C6B">
        <w:rPr>
          <w:rFonts w:ascii="Times New Roman" w:hAnsi="Times New Roman" w:cs="Times New Roman"/>
          <w:sz w:val="22"/>
          <w:szCs w:val="22"/>
        </w:rPr>
        <w:t xml:space="preserve">Podgórskiej 36, 38, </w:t>
      </w:r>
      <w:r w:rsidR="00D76E7F">
        <w:rPr>
          <w:rFonts w:ascii="Times New Roman" w:hAnsi="Times New Roman" w:cs="Times New Roman"/>
          <w:sz w:val="22"/>
          <w:szCs w:val="22"/>
        </w:rPr>
        <w:t xml:space="preserve">40 </w:t>
      </w:r>
      <w:r w:rsidR="00D76E7F" w:rsidRPr="00562C6B">
        <w:rPr>
          <w:rFonts w:ascii="Times New Roman" w:hAnsi="Times New Roman" w:cs="Times New Roman"/>
          <w:sz w:val="22"/>
          <w:szCs w:val="22"/>
        </w:rPr>
        <w:t>ul. gen.</w:t>
      </w:r>
      <w:r w:rsidR="00D76E7F">
        <w:rPr>
          <w:rFonts w:ascii="Times New Roman" w:hAnsi="Times New Roman" w:cs="Times New Roman"/>
          <w:sz w:val="22"/>
          <w:szCs w:val="22"/>
        </w:rPr>
        <w:t xml:space="preserve"> Józefa Dwernickiego 3A, 3B, 3, 5 i 7 oraz drogi dojazdowej </w:t>
      </w:r>
      <w:r w:rsidR="00D76E7F" w:rsidRPr="00562C6B">
        <w:rPr>
          <w:rFonts w:ascii="Times New Roman" w:eastAsia="Lucida Sans Unicode" w:hAnsi="Times New Roman" w:cs="Times New Roman"/>
          <w:sz w:val="22"/>
          <w:szCs w:val="22"/>
        </w:rPr>
        <w:t>zarządza się</w:t>
      </w:r>
      <w:r w:rsidR="00D76E7F">
        <w:rPr>
          <w:rFonts w:ascii="Times New Roman" w:eastAsia="Lucida Sans Unicode" w:hAnsi="Times New Roman" w:cs="Times New Roman"/>
          <w:sz w:val="22"/>
          <w:szCs w:val="22"/>
        </w:rPr>
        <w:t>,</w:t>
      </w:r>
      <w:r w:rsidR="00D76E7F" w:rsidRPr="00562C6B">
        <w:rPr>
          <w:rFonts w:ascii="Times New Roman" w:eastAsia="Lucida Sans Unicode" w:hAnsi="Times New Roman" w:cs="Times New Roman"/>
          <w:sz w:val="22"/>
          <w:szCs w:val="22"/>
        </w:rPr>
        <w:t xml:space="preserve"> co następuje:</w:t>
      </w:r>
    </w:p>
    <w:p w:rsidR="00E14F17" w:rsidRDefault="00E14F17" w:rsidP="00E14F17">
      <w:pPr>
        <w:jc w:val="both"/>
        <w:rPr>
          <w:rFonts w:ascii="Times New Roman" w:eastAsia="Lucida Sans Unicode" w:hAnsi="Times New Roman" w:cs="Times New Roman"/>
          <w:b/>
          <w:sz w:val="22"/>
          <w:szCs w:val="22"/>
          <w:lang w:bidi="ar-SA"/>
        </w:rPr>
      </w:pPr>
    </w:p>
    <w:p w:rsidR="00E14F17" w:rsidRDefault="00E14F17" w:rsidP="00E14F17">
      <w:pPr>
        <w:jc w:val="both"/>
        <w:rPr>
          <w:rFonts w:ascii="Times New Roman" w:eastAsia="Lucida Sans Unicode" w:hAnsi="Times New Roman" w:cs="Times New Roman"/>
          <w:sz w:val="22"/>
          <w:szCs w:val="22"/>
        </w:rPr>
      </w:pPr>
      <w:r w:rsidRPr="00B01308">
        <w:rPr>
          <w:rFonts w:ascii="Times New Roman" w:eastAsia="Lucida Sans Unicode" w:hAnsi="Times New Roman" w:cs="Times New Roman"/>
          <w:sz w:val="22"/>
          <w:szCs w:val="22"/>
        </w:rPr>
        <w:t xml:space="preserve">§ 1. Powołać Komisję do przeprowadzenia </w:t>
      </w:r>
      <w:r>
        <w:rPr>
          <w:rFonts w:ascii="Times New Roman" w:eastAsia="Lucida Sans Unicode" w:hAnsi="Times New Roman" w:cs="Times New Roman"/>
          <w:sz w:val="22"/>
          <w:szCs w:val="22"/>
        </w:rPr>
        <w:t>I</w:t>
      </w:r>
      <w:r w:rsidR="00CE2904">
        <w:rPr>
          <w:rFonts w:ascii="Times New Roman" w:eastAsia="Lucida Sans Unicode" w:hAnsi="Times New Roman" w:cs="Times New Roman"/>
          <w:sz w:val="22"/>
          <w:szCs w:val="22"/>
        </w:rPr>
        <w:t>II</w:t>
      </w:r>
      <w:r w:rsidRPr="00B01308">
        <w:rPr>
          <w:rFonts w:ascii="Times New Roman" w:eastAsia="Lucida Sans Unicode" w:hAnsi="Times New Roman" w:cs="Times New Roman"/>
          <w:sz w:val="22"/>
          <w:szCs w:val="22"/>
        </w:rPr>
        <w:t xml:space="preserve"> </w:t>
      </w:r>
      <w:r w:rsidR="00CE2904">
        <w:rPr>
          <w:rFonts w:ascii="Times New Roman" w:eastAsia="Lucida Sans Unicode" w:hAnsi="Times New Roman" w:cs="Times New Roman"/>
          <w:sz w:val="22"/>
          <w:szCs w:val="22"/>
        </w:rPr>
        <w:t>ustnych przetargów</w:t>
      </w:r>
      <w:r w:rsidR="00CE2904" w:rsidRPr="00B01308">
        <w:rPr>
          <w:rFonts w:ascii="Times New Roman" w:eastAsia="Lucida Sans Unicode" w:hAnsi="Times New Roman" w:cs="Times New Roman"/>
          <w:sz w:val="22"/>
          <w:szCs w:val="22"/>
        </w:rPr>
        <w:t xml:space="preserve"> nieograniczon</w:t>
      </w:r>
      <w:r w:rsidR="00CE2904">
        <w:rPr>
          <w:rFonts w:ascii="Times New Roman" w:eastAsia="Lucida Sans Unicode" w:hAnsi="Times New Roman" w:cs="Times New Roman"/>
          <w:sz w:val="22"/>
          <w:szCs w:val="22"/>
        </w:rPr>
        <w:t>ych</w:t>
      </w:r>
      <w:r w:rsidR="00CE2904" w:rsidRPr="00B01308">
        <w:rPr>
          <w:rFonts w:ascii="Times New Roman" w:eastAsia="Lucida Sans Unicode" w:hAnsi="Times New Roman" w:cs="Times New Roman"/>
          <w:sz w:val="22"/>
          <w:szCs w:val="22"/>
        </w:rPr>
        <w:t xml:space="preserve"> na sprzedaż nieruchomości gruntowych, niezabudowanych położonych w Toruniu przy </w:t>
      </w:r>
      <w:r w:rsidR="00CE2904" w:rsidRPr="00B01308">
        <w:rPr>
          <w:rFonts w:ascii="Times New Roman" w:eastAsia="Times New Roman" w:hAnsi="Times New Roman" w:cs="Times New Roman"/>
          <w:bCs/>
          <w:sz w:val="22"/>
          <w:szCs w:val="22"/>
        </w:rPr>
        <w:t xml:space="preserve">ul. </w:t>
      </w:r>
      <w:r w:rsidR="00CE2904" w:rsidRPr="00562C6B">
        <w:rPr>
          <w:rFonts w:ascii="Times New Roman" w:hAnsi="Times New Roman" w:cs="Times New Roman"/>
          <w:sz w:val="22"/>
          <w:szCs w:val="22"/>
        </w:rPr>
        <w:t xml:space="preserve">Podgórskiej 36, 38, </w:t>
      </w:r>
      <w:r w:rsidR="00CE2904">
        <w:rPr>
          <w:rFonts w:ascii="Times New Roman" w:hAnsi="Times New Roman" w:cs="Times New Roman"/>
          <w:sz w:val="22"/>
          <w:szCs w:val="22"/>
        </w:rPr>
        <w:t xml:space="preserve">40, </w:t>
      </w:r>
      <w:r w:rsidR="00CE2904" w:rsidRPr="00562C6B">
        <w:rPr>
          <w:rFonts w:ascii="Times New Roman" w:hAnsi="Times New Roman" w:cs="Times New Roman"/>
          <w:sz w:val="22"/>
          <w:szCs w:val="22"/>
        </w:rPr>
        <w:t>ul. gen. Józefa Dwernickiego 3A, 3B, 3</w:t>
      </w:r>
      <w:r w:rsidR="00CE2904">
        <w:rPr>
          <w:rFonts w:ascii="Times New Roman" w:hAnsi="Times New Roman" w:cs="Times New Roman"/>
          <w:sz w:val="22"/>
          <w:szCs w:val="22"/>
        </w:rPr>
        <w:t xml:space="preserve"> oraz drogi dojazdowej </w:t>
      </w:r>
      <w:r w:rsidR="00CE2904" w:rsidRPr="00B01308">
        <w:rPr>
          <w:rFonts w:ascii="Times New Roman" w:eastAsia="Lucida Sans Unicode" w:hAnsi="Times New Roman" w:cs="Times New Roman"/>
          <w:sz w:val="22"/>
          <w:szCs w:val="22"/>
        </w:rPr>
        <w:t>w następującym składzie</w:t>
      </w:r>
      <w:r w:rsidR="00CE2904">
        <w:rPr>
          <w:rFonts w:ascii="Times New Roman" w:eastAsia="Lucida Sans Unicode" w:hAnsi="Times New Roman" w:cs="Times New Roman"/>
          <w:sz w:val="22"/>
          <w:szCs w:val="22"/>
        </w:rPr>
        <w:t>:</w:t>
      </w:r>
    </w:p>
    <w:p w:rsidR="00CE2904" w:rsidRPr="00B01308" w:rsidRDefault="00CE2904" w:rsidP="00E14F17">
      <w:pPr>
        <w:jc w:val="both"/>
        <w:rPr>
          <w:rFonts w:ascii="Times New Roman" w:eastAsia="Lucida Sans Unicode" w:hAnsi="Times New Roman" w:cs="Times New Roman"/>
          <w:b/>
          <w:sz w:val="22"/>
          <w:szCs w:val="22"/>
          <w:lang w:bidi="ar-SA"/>
        </w:rPr>
      </w:pPr>
    </w:p>
    <w:p w:rsidR="00E14F17" w:rsidRPr="00B01308" w:rsidRDefault="00E14F17" w:rsidP="00E14F17">
      <w:pPr>
        <w:spacing w:line="360" w:lineRule="auto"/>
        <w:jc w:val="both"/>
        <w:rPr>
          <w:rFonts w:ascii="Times New Roman" w:eastAsia="Lucida Sans Unicode" w:hAnsi="Times New Roman" w:cs="Times New Roman"/>
          <w:sz w:val="22"/>
          <w:szCs w:val="22"/>
        </w:rPr>
      </w:pPr>
      <w:r>
        <w:rPr>
          <w:rFonts w:ascii="Times New Roman" w:eastAsia="Lucida Sans Unicode" w:hAnsi="Times New Roman" w:cs="Times New Roman"/>
          <w:sz w:val="22"/>
          <w:szCs w:val="22"/>
        </w:rPr>
        <w:t>1) Przewodnicząca</w:t>
      </w:r>
      <w:r w:rsidRPr="00B01308">
        <w:rPr>
          <w:rFonts w:ascii="Times New Roman" w:eastAsia="Lucida Sans Unicode" w:hAnsi="Times New Roman" w:cs="Times New Roman"/>
          <w:sz w:val="22"/>
          <w:szCs w:val="22"/>
        </w:rPr>
        <w:t xml:space="preserve"> Komisji        - Katarzyna Wesołowska;</w:t>
      </w:r>
    </w:p>
    <w:p w:rsidR="00E14F17" w:rsidRPr="00B01308" w:rsidRDefault="00E14F17" w:rsidP="00E14F17">
      <w:pPr>
        <w:spacing w:line="360" w:lineRule="auto"/>
        <w:jc w:val="both"/>
        <w:rPr>
          <w:rFonts w:ascii="Times New Roman" w:eastAsia="Lucida Sans Unicode" w:hAnsi="Times New Roman" w:cs="Times New Roman"/>
          <w:sz w:val="22"/>
          <w:szCs w:val="22"/>
        </w:rPr>
      </w:pPr>
      <w:r w:rsidRPr="00B01308">
        <w:rPr>
          <w:rFonts w:ascii="Times New Roman" w:eastAsia="Lucida Sans Unicode" w:hAnsi="Times New Roman" w:cs="Times New Roman"/>
          <w:sz w:val="22"/>
          <w:szCs w:val="22"/>
        </w:rPr>
        <w:t xml:space="preserve">2) Członek Komisji                     - Katarzyna Kierys </w:t>
      </w:r>
    </w:p>
    <w:p w:rsidR="00E14F17" w:rsidRPr="00B01308" w:rsidRDefault="00E14F17" w:rsidP="00E14F17">
      <w:pPr>
        <w:spacing w:line="360" w:lineRule="auto"/>
        <w:jc w:val="both"/>
        <w:rPr>
          <w:rFonts w:ascii="Times New Roman" w:eastAsia="Lucida Sans Unicode" w:hAnsi="Times New Roman" w:cs="Times New Roman"/>
          <w:sz w:val="22"/>
          <w:szCs w:val="22"/>
        </w:rPr>
      </w:pPr>
      <w:r>
        <w:rPr>
          <w:rFonts w:ascii="Times New Roman" w:eastAsia="Lucida Sans Unicode" w:hAnsi="Times New Roman" w:cs="Times New Roman"/>
          <w:sz w:val="22"/>
          <w:szCs w:val="22"/>
        </w:rPr>
        <w:t xml:space="preserve">4) Członek Komisji </w:t>
      </w:r>
      <w:r>
        <w:rPr>
          <w:rFonts w:ascii="Times New Roman" w:eastAsia="Lucida Sans Unicode" w:hAnsi="Times New Roman" w:cs="Times New Roman"/>
          <w:sz w:val="22"/>
          <w:szCs w:val="22"/>
        </w:rPr>
        <w:tab/>
      </w:r>
      <w:r>
        <w:rPr>
          <w:rFonts w:ascii="Times New Roman" w:eastAsia="Lucida Sans Unicode" w:hAnsi="Times New Roman" w:cs="Times New Roman"/>
          <w:sz w:val="22"/>
          <w:szCs w:val="22"/>
        </w:rPr>
        <w:tab/>
        <w:t xml:space="preserve"> </w:t>
      </w:r>
      <w:r w:rsidRPr="00B01308">
        <w:rPr>
          <w:rFonts w:ascii="Times New Roman" w:eastAsia="Lucida Sans Unicode" w:hAnsi="Times New Roman" w:cs="Times New Roman"/>
          <w:sz w:val="22"/>
          <w:szCs w:val="22"/>
        </w:rPr>
        <w:t xml:space="preserve">- Iwona Więckowska </w:t>
      </w:r>
    </w:p>
    <w:p w:rsidR="00E14F17" w:rsidRDefault="00E14F17" w:rsidP="00E14F17">
      <w:pPr>
        <w:spacing w:line="360" w:lineRule="auto"/>
        <w:jc w:val="both"/>
        <w:rPr>
          <w:rFonts w:ascii="Times New Roman" w:eastAsia="Lucida Sans Unicode" w:hAnsi="Times New Roman" w:cs="Times New Roman"/>
          <w:sz w:val="22"/>
          <w:szCs w:val="22"/>
          <w:lang w:bidi="ar-SA"/>
        </w:rPr>
      </w:pPr>
      <w:r>
        <w:rPr>
          <w:rFonts w:ascii="Times New Roman" w:eastAsia="Lucida Sans Unicode" w:hAnsi="Times New Roman" w:cs="Times New Roman"/>
          <w:sz w:val="22"/>
          <w:szCs w:val="22"/>
        </w:rPr>
        <w:t>4) Członek Komisji</w:t>
      </w:r>
      <w:r>
        <w:rPr>
          <w:rFonts w:ascii="Times New Roman" w:eastAsia="Lucida Sans Unicode" w:hAnsi="Times New Roman" w:cs="Times New Roman"/>
          <w:sz w:val="22"/>
          <w:szCs w:val="22"/>
        </w:rPr>
        <w:tab/>
      </w:r>
      <w:r>
        <w:rPr>
          <w:rFonts w:ascii="Times New Roman" w:eastAsia="Lucida Sans Unicode" w:hAnsi="Times New Roman" w:cs="Times New Roman"/>
          <w:sz w:val="22"/>
          <w:szCs w:val="22"/>
        </w:rPr>
        <w:tab/>
        <w:t xml:space="preserve"> </w:t>
      </w:r>
      <w:r w:rsidRPr="00B01308">
        <w:rPr>
          <w:rFonts w:ascii="Times New Roman" w:eastAsia="Lucida Sans Unicode" w:hAnsi="Times New Roman" w:cs="Times New Roman"/>
          <w:sz w:val="22"/>
          <w:szCs w:val="22"/>
        </w:rPr>
        <w:t>- Robert Dąbrowski</w:t>
      </w:r>
    </w:p>
    <w:p w:rsidR="00E14F17" w:rsidRDefault="00E14F17" w:rsidP="00E14F17">
      <w:pPr>
        <w:spacing w:line="360" w:lineRule="auto"/>
        <w:jc w:val="both"/>
        <w:rPr>
          <w:rFonts w:ascii="Times New Roman" w:eastAsia="Lucida Sans Unicode" w:hAnsi="Times New Roman" w:cs="Times New Roman"/>
          <w:sz w:val="22"/>
          <w:szCs w:val="22"/>
          <w:lang w:bidi="ar-SA"/>
        </w:rPr>
      </w:pPr>
    </w:p>
    <w:p w:rsidR="00E14F17" w:rsidRDefault="00E14F17" w:rsidP="00E14F17">
      <w:pPr>
        <w:spacing w:line="360" w:lineRule="auto"/>
        <w:jc w:val="both"/>
        <w:rPr>
          <w:rFonts w:ascii="Times New Roman" w:eastAsia="Lucida Sans Unicode" w:hAnsi="Times New Roman" w:cs="Times New Roman"/>
          <w:sz w:val="22"/>
          <w:szCs w:val="22"/>
          <w:lang w:bidi="ar-SA"/>
        </w:rPr>
      </w:pPr>
      <w:r w:rsidRPr="00B01308">
        <w:rPr>
          <w:rFonts w:ascii="Times New Roman" w:eastAsia="Lucida Sans Unicode" w:hAnsi="Times New Roman" w:cs="Times New Roman"/>
          <w:sz w:val="22"/>
          <w:szCs w:val="22"/>
          <w:lang w:bidi="ar-SA"/>
        </w:rPr>
        <w:t>§ 2. Komisja przeprowadzi przetarg, zgodnie z Regul</w:t>
      </w:r>
      <w:r>
        <w:rPr>
          <w:rFonts w:ascii="Times New Roman" w:eastAsia="Lucida Sans Unicode" w:hAnsi="Times New Roman" w:cs="Times New Roman"/>
          <w:sz w:val="22"/>
          <w:szCs w:val="22"/>
          <w:lang w:bidi="ar-SA"/>
        </w:rPr>
        <w:t>aminem stanowiącym załącznik do niniej</w:t>
      </w:r>
      <w:r>
        <w:rPr>
          <w:rFonts w:ascii="Times New Roman" w:eastAsia="Lucida Sans Unicode" w:hAnsi="Times New Roman" w:cs="Times New Roman"/>
          <w:sz w:val="22"/>
          <w:szCs w:val="22"/>
          <w:lang w:bidi="ar-SA"/>
        </w:rPr>
        <w:softHyphen/>
        <w:t>szego zarządzenia.</w:t>
      </w:r>
    </w:p>
    <w:p w:rsidR="00E14F17" w:rsidRDefault="00E14F17" w:rsidP="00E14F17">
      <w:pPr>
        <w:spacing w:line="360" w:lineRule="auto"/>
        <w:jc w:val="both"/>
        <w:rPr>
          <w:rFonts w:ascii="Times New Roman" w:eastAsia="Lucida Sans Unicode" w:hAnsi="Times New Roman" w:cs="Times New Roman"/>
          <w:sz w:val="22"/>
          <w:szCs w:val="22"/>
          <w:lang w:bidi="ar-SA"/>
        </w:rPr>
      </w:pPr>
      <w:r w:rsidRPr="00B01308">
        <w:rPr>
          <w:rFonts w:ascii="Times New Roman" w:eastAsia="Lucida Sans Unicode" w:hAnsi="Times New Roman" w:cs="Times New Roman"/>
          <w:sz w:val="22"/>
          <w:szCs w:val="22"/>
          <w:lang w:bidi="ar-SA"/>
        </w:rPr>
        <w:t>§ 3. Przetarg odbędzie się w Wydziale Gospodarki Nieruchomościami Urzędu Miasta Torunia, przy ulicy Grudziądzkiej 126 „B” w sali nr 115, na pierwszym piętrze.</w:t>
      </w:r>
    </w:p>
    <w:p w:rsidR="00E14F17" w:rsidRDefault="00E14F17" w:rsidP="00E14F17">
      <w:pPr>
        <w:spacing w:line="360" w:lineRule="auto"/>
        <w:jc w:val="both"/>
        <w:rPr>
          <w:rFonts w:ascii="Times New Roman" w:eastAsia="Lucida Sans Unicode" w:hAnsi="Times New Roman" w:cs="Times New Roman"/>
          <w:sz w:val="22"/>
          <w:szCs w:val="22"/>
          <w:lang w:bidi="ar-SA"/>
        </w:rPr>
      </w:pPr>
      <w:r w:rsidRPr="00B01308">
        <w:rPr>
          <w:rFonts w:ascii="Times New Roman" w:eastAsia="Lucida Sans Unicode" w:hAnsi="Times New Roman" w:cs="Times New Roman"/>
          <w:sz w:val="22"/>
          <w:szCs w:val="22"/>
          <w:lang w:bidi="ar-SA"/>
        </w:rPr>
        <w:t>§ 4. Wykonanie zarządzenia powierza się Dyrektorowi Wydziału Gospodarki Nieruchomościami.</w:t>
      </w:r>
    </w:p>
    <w:p w:rsidR="00E14F17" w:rsidRPr="00B01308" w:rsidRDefault="00E14F17" w:rsidP="00E14F17">
      <w:pPr>
        <w:spacing w:line="360" w:lineRule="auto"/>
        <w:jc w:val="both"/>
        <w:rPr>
          <w:rFonts w:ascii="Times New Roman" w:eastAsia="Lucida Sans Unicode" w:hAnsi="Times New Roman" w:cs="Times New Roman"/>
          <w:sz w:val="22"/>
          <w:szCs w:val="22"/>
          <w:lang w:bidi="ar-SA"/>
        </w:rPr>
      </w:pPr>
      <w:r w:rsidRPr="00B01308">
        <w:rPr>
          <w:rFonts w:ascii="Times New Roman" w:eastAsia="Lucida Sans Unicode" w:hAnsi="Times New Roman" w:cs="Times New Roman"/>
          <w:sz w:val="22"/>
          <w:szCs w:val="22"/>
          <w:lang w:bidi="ar-SA"/>
        </w:rPr>
        <w:t>§ 5. Zarządzenie wchodzi w życie z dniem podjęcia.</w:t>
      </w:r>
    </w:p>
    <w:p w:rsidR="00E14F17" w:rsidRPr="00B01308" w:rsidRDefault="00E14F17" w:rsidP="00E14F17">
      <w:pPr>
        <w:spacing w:line="360" w:lineRule="auto"/>
        <w:jc w:val="both"/>
        <w:rPr>
          <w:rFonts w:ascii="Times New Roman" w:eastAsia="Arial" w:hAnsi="Times New Roman" w:cs="Times New Roman"/>
          <w:sz w:val="22"/>
          <w:szCs w:val="22"/>
          <w:lang w:bidi="ar-SA"/>
        </w:rPr>
      </w:pPr>
    </w:p>
    <w:p w:rsidR="00E14F17" w:rsidRPr="00B01308" w:rsidRDefault="00E14F17" w:rsidP="00E14F17">
      <w:pPr>
        <w:spacing w:line="360" w:lineRule="auto"/>
        <w:jc w:val="both"/>
        <w:rPr>
          <w:rFonts w:ascii="Times New Roman" w:eastAsia="Arial" w:hAnsi="Times New Roman" w:cs="Times New Roman"/>
          <w:sz w:val="22"/>
          <w:szCs w:val="22"/>
          <w:lang w:bidi="ar-SA"/>
        </w:rPr>
      </w:pPr>
    </w:p>
    <w:p w:rsidR="00E14F17" w:rsidRDefault="00E14F17" w:rsidP="00E14F17">
      <w:pPr>
        <w:spacing w:line="360" w:lineRule="auto"/>
        <w:jc w:val="both"/>
        <w:rPr>
          <w:rFonts w:ascii="Times New Roman" w:eastAsia="Arial" w:hAnsi="Times New Roman" w:cs="Times New Roman"/>
          <w:sz w:val="22"/>
          <w:szCs w:val="22"/>
          <w:lang w:bidi="ar-SA"/>
        </w:rPr>
      </w:pPr>
    </w:p>
    <w:p w:rsidR="00E14F17" w:rsidRDefault="00E14F17" w:rsidP="00E14F17">
      <w:pPr>
        <w:spacing w:line="360" w:lineRule="auto"/>
        <w:jc w:val="both"/>
        <w:rPr>
          <w:rFonts w:ascii="Times New Roman" w:eastAsia="Arial" w:hAnsi="Times New Roman" w:cs="Times New Roman"/>
          <w:sz w:val="22"/>
          <w:szCs w:val="22"/>
          <w:lang w:bidi="ar-SA"/>
        </w:rPr>
      </w:pPr>
    </w:p>
    <w:p w:rsidR="00E14F17" w:rsidRDefault="00E14F17" w:rsidP="00E14F17">
      <w:pPr>
        <w:spacing w:line="360" w:lineRule="auto"/>
        <w:jc w:val="both"/>
        <w:rPr>
          <w:rFonts w:ascii="Times New Roman" w:eastAsia="Arial" w:hAnsi="Times New Roman" w:cs="Times New Roman"/>
          <w:sz w:val="22"/>
          <w:szCs w:val="22"/>
          <w:lang w:bidi="ar-SA"/>
        </w:rPr>
      </w:pPr>
    </w:p>
    <w:p w:rsidR="00E14F17" w:rsidRDefault="00E14F17" w:rsidP="00E14F17">
      <w:pPr>
        <w:spacing w:line="360" w:lineRule="auto"/>
        <w:jc w:val="both"/>
        <w:rPr>
          <w:rFonts w:ascii="Times New Roman" w:eastAsia="Arial" w:hAnsi="Times New Roman" w:cs="Times New Roman"/>
          <w:sz w:val="22"/>
          <w:szCs w:val="22"/>
          <w:lang w:bidi="ar-SA"/>
        </w:rPr>
      </w:pPr>
    </w:p>
    <w:p w:rsidR="00E14F17" w:rsidRDefault="00E14F17" w:rsidP="00E14F17">
      <w:pPr>
        <w:spacing w:line="360" w:lineRule="auto"/>
        <w:jc w:val="both"/>
        <w:rPr>
          <w:rFonts w:ascii="Times New Roman" w:eastAsia="Arial" w:hAnsi="Times New Roman" w:cs="Times New Roman"/>
          <w:sz w:val="22"/>
          <w:szCs w:val="22"/>
          <w:lang w:bidi="ar-SA"/>
        </w:rPr>
      </w:pPr>
    </w:p>
    <w:p w:rsidR="00E14F17" w:rsidRDefault="00E14F17" w:rsidP="00E14F17">
      <w:pPr>
        <w:spacing w:line="360" w:lineRule="auto"/>
        <w:jc w:val="both"/>
        <w:rPr>
          <w:rFonts w:ascii="Times New Roman" w:eastAsia="Arial" w:hAnsi="Times New Roman" w:cs="Times New Roman"/>
          <w:sz w:val="22"/>
          <w:szCs w:val="22"/>
          <w:lang w:bidi="ar-SA"/>
        </w:rPr>
      </w:pPr>
    </w:p>
    <w:p w:rsidR="00E14F17" w:rsidRPr="00B01308" w:rsidRDefault="00E14F17" w:rsidP="00E14F17">
      <w:pPr>
        <w:spacing w:line="360" w:lineRule="auto"/>
        <w:jc w:val="both"/>
        <w:rPr>
          <w:rFonts w:ascii="Times New Roman" w:eastAsia="Arial" w:hAnsi="Times New Roman" w:cs="Times New Roman"/>
          <w:sz w:val="22"/>
          <w:szCs w:val="22"/>
          <w:lang w:bidi="ar-SA"/>
        </w:rPr>
      </w:pPr>
    </w:p>
    <w:p w:rsidR="00E14F17" w:rsidRPr="00B01308" w:rsidRDefault="00E14F17" w:rsidP="00E14F17">
      <w:pPr>
        <w:spacing w:line="360" w:lineRule="auto"/>
        <w:jc w:val="both"/>
        <w:rPr>
          <w:rFonts w:ascii="Times New Roman" w:eastAsia="Arial" w:hAnsi="Times New Roman" w:cs="Times New Roman"/>
          <w:sz w:val="22"/>
          <w:szCs w:val="22"/>
          <w:lang w:bidi="ar-SA"/>
        </w:rPr>
      </w:pPr>
    </w:p>
    <w:p w:rsidR="00E14F17" w:rsidRPr="00B01308" w:rsidRDefault="00E14F17" w:rsidP="00E14F17">
      <w:pPr>
        <w:pBdr>
          <w:bottom w:val="single" w:sz="12" w:space="1" w:color="auto"/>
        </w:pBdr>
        <w:spacing w:line="360" w:lineRule="auto"/>
        <w:jc w:val="both"/>
        <w:rPr>
          <w:rFonts w:ascii="Times New Roman" w:eastAsia="Arial" w:hAnsi="Times New Roman" w:cs="Times New Roman"/>
          <w:sz w:val="22"/>
          <w:szCs w:val="22"/>
          <w:lang w:bidi="ar-SA"/>
        </w:rPr>
      </w:pPr>
    </w:p>
    <w:p w:rsidR="00E14F17" w:rsidRPr="00222F26" w:rsidRDefault="00E14F17" w:rsidP="00E14F17">
      <w:pPr>
        <w:pStyle w:val="Akapitzlist"/>
        <w:numPr>
          <w:ilvl w:val="0"/>
          <w:numId w:val="4"/>
        </w:numPr>
        <w:spacing w:line="340" w:lineRule="exact"/>
        <w:jc w:val="both"/>
        <w:rPr>
          <w:rFonts w:ascii="Times New Roman" w:eastAsia="Lucida Sans Unicode" w:hAnsi="Times New Roman" w:cs="Times New Roman"/>
          <w:sz w:val="20"/>
          <w:szCs w:val="20"/>
          <w:lang w:bidi="ar-SA"/>
        </w:rPr>
      </w:pPr>
      <w:r w:rsidRPr="00222F26">
        <w:rPr>
          <w:rFonts w:ascii="Times New Roman" w:eastAsia="Lucida Sans Unicode" w:hAnsi="Times New Roman" w:cs="Times New Roman"/>
          <w:sz w:val="20"/>
          <w:szCs w:val="20"/>
          <w:lang w:bidi="ar-SA"/>
        </w:rPr>
        <w:t>Zmiany tekstu jednolitego wymienionej ustawy zostały ogłoszone w Dz.U. z 202</w:t>
      </w:r>
      <w:r>
        <w:rPr>
          <w:rFonts w:ascii="Times New Roman" w:eastAsia="Lucida Sans Unicode" w:hAnsi="Times New Roman" w:cs="Times New Roman"/>
          <w:sz w:val="20"/>
          <w:szCs w:val="20"/>
          <w:lang w:bidi="ar-SA"/>
        </w:rPr>
        <w:t>3</w:t>
      </w:r>
      <w:r w:rsidRPr="00222F26">
        <w:rPr>
          <w:rFonts w:ascii="Times New Roman" w:eastAsia="Lucida Sans Unicode" w:hAnsi="Times New Roman" w:cs="Times New Roman"/>
          <w:sz w:val="20"/>
          <w:szCs w:val="20"/>
          <w:lang w:bidi="ar-SA"/>
        </w:rPr>
        <w:t xml:space="preserve"> poz. 5</w:t>
      </w:r>
      <w:r>
        <w:rPr>
          <w:rFonts w:ascii="Times New Roman" w:eastAsia="Lucida Sans Unicode" w:hAnsi="Times New Roman" w:cs="Times New Roman"/>
          <w:sz w:val="20"/>
          <w:szCs w:val="20"/>
          <w:lang w:bidi="ar-SA"/>
        </w:rPr>
        <w:t>72</w:t>
      </w:r>
      <w:r w:rsidRPr="00222F26">
        <w:rPr>
          <w:rFonts w:ascii="Times New Roman" w:eastAsia="Lucida Sans Unicode" w:hAnsi="Times New Roman" w:cs="Times New Roman"/>
          <w:sz w:val="20"/>
          <w:szCs w:val="20"/>
          <w:lang w:bidi="ar-SA"/>
        </w:rPr>
        <w:t>.</w:t>
      </w:r>
    </w:p>
    <w:p w:rsidR="00E45773" w:rsidRPr="00465568" w:rsidRDefault="00E85828" w:rsidP="00544831">
      <w:pPr>
        <w:jc w:val="right"/>
        <w:rPr>
          <w:rFonts w:ascii="Times New Roman" w:eastAsia="Lucida Sans Unicode" w:hAnsi="Times New Roman" w:cs="Times New Roman"/>
          <w:sz w:val="21"/>
          <w:szCs w:val="21"/>
          <w:lang w:bidi="ar-SA"/>
        </w:rPr>
      </w:pPr>
      <w:r w:rsidRPr="00465568">
        <w:rPr>
          <w:rFonts w:ascii="Times New Roman" w:eastAsia="Lucida Sans Unicode" w:hAnsi="Times New Roman" w:cs="Times New Roman"/>
          <w:sz w:val="21"/>
          <w:szCs w:val="21"/>
          <w:lang w:bidi="ar-SA"/>
        </w:rPr>
        <w:lastRenderedPageBreak/>
        <w:t>Załączni</w:t>
      </w:r>
      <w:r w:rsidR="00E45773" w:rsidRPr="00465568">
        <w:rPr>
          <w:rFonts w:ascii="Times New Roman" w:eastAsia="Lucida Sans Unicode" w:hAnsi="Times New Roman" w:cs="Times New Roman"/>
          <w:sz w:val="21"/>
          <w:szCs w:val="21"/>
          <w:lang w:bidi="ar-SA"/>
        </w:rPr>
        <w:t xml:space="preserve">k do Zarządzenia </w:t>
      </w:r>
    </w:p>
    <w:p w:rsidR="00E45773" w:rsidRPr="00465568" w:rsidRDefault="00E45773" w:rsidP="00544831">
      <w:pPr>
        <w:jc w:val="right"/>
        <w:rPr>
          <w:rFonts w:ascii="Times New Roman" w:eastAsia="Lucida Sans Unicode" w:hAnsi="Times New Roman" w:cs="Times New Roman"/>
          <w:sz w:val="21"/>
          <w:szCs w:val="21"/>
          <w:lang w:bidi="ar-SA"/>
        </w:rPr>
      </w:pPr>
      <w:r w:rsidRPr="00465568">
        <w:rPr>
          <w:rFonts w:ascii="Times New Roman" w:eastAsia="Lucida Sans Unicode" w:hAnsi="Times New Roman" w:cs="Times New Roman"/>
          <w:sz w:val="21"/>
          <w:szCs w:val="21"/>
          <w:lang w:bidi="ar-SA"/>
        </w:rPr>
        <w:t xml:space="preserve">Prezydenta Miasta Torunia </w:t>
      </w:r>
    </w:p>
    <w:p w:rsidR="00E45773" w:rsidRPr="00465568" w:rsidRDefault="00375D5C" w:rsidP="00544831">
      <w:pPr>
        <w:jc w:val="right"/>
        <w:rPr>
          <w:rFonts w:ascii="Times New Roman" w:eastAsia="Arial" w:hAnsi="Times New Roman" w:cs="Times New Roman"/>
          <w:sz w:val="21"/>
          <w:szCs w:val="21"/>
          <w:lang w:bidi="ar-SA"/>
        </w:rPr>
      </w:pPr>
      <w:r w:rsidRPr="00465568">
        <w:rPr>
          <w:rFonts w:ascii="Times New Roman" w:eastAsia="Lucida Sans Unicode" w:hAnsi="Times New Roman" w:cs="Times New Roman"/>
          <w:sz w:val="21"/>
          <w:szCs w:val="21"/>
          <w:lang w:bidi="ar-SA"/>
        </w:rPr>
        <w:t>N</w:t>
      </w:r>
      <w:r w:rsidR="00E45773" w:rsidRPr="00465568">
        <w:rPr>
          <w:rFonts w:ascii="Times New Roman" w:eastAsia="Lucida Sans Unicode" w:hAnsi="Times New Roman" w:cs="Times New Roman"/>
          <w:sz w:val="21"/>
          <w:szCs w:val="21"/>
          <w:lang w:bidi="ar-SA"/>
        </w:rPr>
        <w:t>r</w:t>
      </w:r>
      <w:r w:rsidRPr="00465568">
        <w:rPr>
          <w:rFonts w:ascii="Times New Roman" w:eastAsia="Lucida Sans Unicode" w:hAnsi="Times New Roman" w:cs="Times New Roman"/>
          <w:sz w:val="21"/>
          <w:szCs w:val="21"/>
          <w:lang w:bidi="ar-SA"/>
        </w:rPr>
        <w:t xml:space="preserve"> </w:t>
      </w:r>
      <w:r w:rsidR="00AF2C5D">
        <w:rPr>
          <w:rFonts w:ascii="Times New Roman" w:eastAsia="Lucida Sans Unicode" w:hAnsi="Times New Roman" w:cs="Times New Roman"/>
          <w:sz w:val="21"/>
          <w:szCs w:val="21"/>
          <w:lang w:bidi="ar-SA"/>
        </w:rPr>
        <w:t>134</w:t>
      </w:r>
      <w:r w:rsidR="007C4AD1" w:rsidRPr="00465568">
        <w:rPr>
          <w:rFonts w:ascii="Times New Roman" w:eastAsia="Lucida Sans Unicode" w:hAnsi="Times New Roman" w:cs="Times New Roman"/>
          <w:sz w:val="21"/>
          <w:szCs w:val="21"/>
          <w:lang w:bidi="ar-SA"/>
        </w:rPr>
        <w:t xml:space="preserve"> z</w:t>
      </w:r>
      <w:r w:rsidR="00E45773" w:rsidRPr="00465568">
        <w:rPr>
          <w:rFonts w:ascii="Times New Roman" w:eastAsia="Lucida Sans Unicode" w:hAnsi="Times New Roman" w:cs="Times New Roman"/>
          <w:sz w:val="21"/>
          <w:szCs w:val="21"/>
          <w:lang w:bidi="ar-SA"/>
        </w:rPr>
        <w:t xml:space="preserve"> dnia </w:t>
      </w:r>
      <w:r w:rsidR="00AF2C5D">
        <w:rPr>
          <w:rFonts w:ascii="Times New Roman" w:eastAsia="Lucida Sans Unicode" w:hAnsi="Times New Roman" w:cs="Times New Roman"/>
          <w:sz w:val="21"/>
          <w:szCs w:val="21"/>
          <w:lang w:bidi="ar-SA"/>
        </w:rPr>
        <w:t>21.06.</w:t>
      </w:r>
      <w:bookmarkStart w:id="0" w:name="_GoBack"/>
      <w:bookmarkEnd w:id="0"/>
      <w:r w:rsidRPr="00465568">
        <w:rPr>
          <w:rFonts w:ascii="Times New Roman" w:eastAsia="Lucida Sans Unicode" w:hAnsi="Times New Roman" w:cs="Times New Roman"/>
          <w:sz w:val="21"/>
          <w:szCs w:val="21"/>
          <w:lang w:bidi="ar-SA"/>
        </w:rPr>
        <w:t>202</w:t>
      </w:r>
      <w:r w:rsidR="00301285">
        <w:rPr>
          <w:rFonts w:ascii="Times New Roman" w:eastAsia="Lucida Sans Unicode" w:hAnsi="Times New Roman" w:cs="Times New Roman"/>
          <w:sz w:val="21"/>
          <w:szCs w:val="21"/>
          <w:lang w:bidi="ar-SA"/>
        </w:rPr>
        <w:t>3</w:t>
      </w:r>
      <w:r w:rsidRPr="00465568">
        <w:rPr>
          <w:rFonts w:ascii="Times New Roman" w:eastAsia="Lucida Sans Unicode" w:hAnsi="Times New Roman" w:cs="Times New Roman"/>
          <w:sz w:val="21"/>
          <w:szCs w:val="21"/>
          <w:lang w:bidi="ar-SA"/>
        </w:rPr>
        <w:t xml:space="preserve"> r. </w:t>
      </w:r>
    </w:p>
    <w:p w:rsidR="003B1710" w:rsidRDefault="003B1710" w:rsidP="00465568">
      <w:pPr>
        <w:spacing w:line="360" w:lineRule="auto"/>
        <w:jc w:val="center"/>
        <w:rPr>
          <w:rFonts w:ascii="Times New Roman" w:eastAsia="Lucida Sans Unicode" w:hAnsi="Times New Roman" w:cs="Times New Roman"/>
          <w:b/>
          <w:sz w:val="21"/>
          <w:szCs w:val="21"/>
          <w:lang w:bidi="ar-SA"/>
        </w:rPr>
      </w:pPr>
    </w:p>
    <w:p w:rsidR="004A047C" w:rsidRDefault="004A047C" w:rsidP="00465568">
      <w:pPr>
        <w:spacing w:line="360" w:lineRule="auto"/>
        <w:jc w:val="center"/>
        <w:rPr>
          <w:rFonts w:ascii="Times New Roman" w:eastAsia="Lucida Sans Unicode" w:hAnsi="Times New Roman" w:cs="Times New Roman"/>
          <w:b/>
          <w:sz w:val="21"/>
          <w:szCs w:val="21"/>
          <w:lang w:bidi="ar-SA"/>
        </w:rPr>
      </w:pPr>
      <w:r w:rsidRPr="00803C7F">
        <w:rPr>
          <w:rFonts w:ascii="Times New Roman" w:eastAsia="Lucida Sans Unicode" w:hAnsi="Times New Roman" w:cs="Times New Roman"/>
          <w:b/>
          <w:sz w:val="21"/>
          <w:szCs w:val="21"/>
          <w:lang w:bidi="ar-SA"/>
        </w:rPr>
        <w:t>REGULAMIN I</w:t>
      </w:r>
      <w:r w:rsidR="00246E76">
        <w:rPr>
          <w:rFonts w:ascii="Times New Roman" w:eastAsia="Lucida Sans Unicode" w:hAnsi="Times New Roman" w:cs="Times New Roman"/>
          <w:b/>
          <w:sz w:val="21"/>
          <w:szCs w:val="21"/>
          <w:lang w:bidi="ar-SA"/>
        </w:rPr>
        <w:t>I</w:t>
      </w:r>
      <w:r w:rsidR="00C81F27">
        <w:rPr>
          <w:rFonts w:ascii="Times New Roman" w:eastAsia="Lucida Sans Unicode" w:hAnsi="Times New Roman" w:cs="Times New Roman"/>
          <w:b/>
          <w:sz w:val="21"/>
          <w:szCs w:val="21"/>
          <w:lang w:bidi="ar-SA"/>
        </w:rPr>
        <w:t>I PRZETARGU</w:t>
      </w:r>
    </w:p>
    <w:p w:rsidR="001608E0" w:rsidRDefault="001608E0" w:rsidP="00465568">
      <w:pPr>
        <w:spacing w:line="360" w:lineRule="auto"/>
        <w:jc w:val="center"/>
        <w:rPr>
          <w:rFonts w:ascii="Times New Roman" w:eastAsia="Lucida Sans Unicode" w:hAnsi="Times New Roman" w:cs="Times New Roman"/>
          <w:b/>
          <w:sz w:val="21"/>
          <w:szCs w:val="21"/>
          <w:lang w:bidi="ar-SA"/>
        </w:rPr>
      </w:pPr>
    </w:p>
    <w:p w:rsidR="00E45773" w:rsidRPr="005B347D" w:rsidRDefault="004A047C" w:rsidP="001608E0">
      <w:pPr>
        <w:spacing w:line="360" w:lineRule="auto"/>
        <w:jc w:val="both"/>
        <w:rPr>
          <w:rFonts w:ascii="Times New Roman" w:eastAsia="Lucida Sans Unicode" w:hAnsi="Times New Roman" w:cs="Times New Roman"/>
          <w:sz w:val="22"/>
          <w:szCs w:val="22"/>
          <w:lang w:bidi="ar-SA"/>
        </w:rPr>
      </w:pPr>
      <w:r w:rsidRPr="00803C7F">
        <w:rPr>
          <w:rFonts w:ascii="Times New Roman" w:eastAsia="Lucida Sans Unicode" w:hAnsi="Times New Roman" w:cs="Times New Roman"/>
          <w:sz w:val="21"/>
          <w:szCs w:val="21"/>
          <w:lang w:bidi="ar-SA"/>
        </w:rPr>
        <w:tab/>
      </w:r>
      <w:r w:rsidR="00E45773" w:rsidRPr="005B347D">
        <w:rPr>
          <w:rFonts w:ascii="Times New Roman" w:eastAsia="Lucida Sans Unicode" w:hAnsi="Times New Roman" w:cs="Times New Roman"/>
          <w:sz w:val="22"/>
          <w:szCs w:val="22"/>
          <w:lang w:bidi="ar-SA"/>
        </w:rPr>
        <w:t>§ 1.1. Przetarg ogłasza, organizuje i przeprowadza Prezydent Miasta Torunia na podstawie:</w:t>
      </w:r>
    </w:p>
    <w:p w:rsidR="00E45773" w:rsidRPr="005B347D" w:rsidRDefault="00E45773" w:rsidP="001608E0">
      <w:pPr>
        <w:spacing w:line="360" w:lineRule="auto"/>
        <w:jc w:val="both"/>
        <w:rPr>
          <w:rFonts w:ascii="Times New Roman" w:eastAsia="Lucida Sans Unicode" w:hAnsi="Times New Roman" w:cs="Times New Roman"/>
          <w:sz w:val="22"/>
          <w:szCs w:val="22"/>
          <w:lang w:bidi="ar-SA"/>
        </w:rPr>
      </w:pPr>
      <w:r w:rsidRPr="005B347D">
        <w:rPr>
          <w:rFonts w:ascii="Times New Roman" w:eastAsia="Lucida Sans Unicode" w:hAnsi="Times New Roman" w:cs="Times New Roman"/>
          <w:sz w:val="22"/>
          <w:szCs w:val="22"/>
          <w:lang w:bidi="ar-SA"/>
        </w:rPr>
        <w:t xml:space="preserve">a) Ustawy z dnia 21 sierpnia 1997 roku o gospodarce nieruchomościami; </w:t>
      </w:r>
    </w:p>
    <w:p w:rsidR="00E45773" w:rsidRPr="005B347D" w:rsidRDefault="00E45773" w:rsidP="001608E0">
      <w:pPr>
        <w:spacing w:line="360" w:lineRule="auto"/>
        <w:jc w:val="both"/>
        <w:rPr>
          <w:rFonts w:ascii="Times New Roman" w:eastAsia="Lucida Sans Unicode" w:hAnsi="Times New Roman" w:cs="Times New Roman"/>
          <w:sz w:val="22"/>
          <w:szCs w:val="22"/>
          <w:lang w:bidi="ar-SA"/>
        </w:rPr>
      </w:pPr>
      <w:r w:rsidRPr="005B347D">
        <w:rPr>
          <w:rFonts w:ascii="Times New Roman" w:eastAsia="Lucida Sans Unicode" w:hAnsi="Times New Roman" w:cs="Times New Roman"/>
          <w:sz w:val="22"/>
          <w:szCs w:val="22"/>
          <w:lang w:bidi="ar-SA"/>
        </w:rPr>
        <w:t>b) Rozporządzenia Rady Ministrów z dnia 14 września 2004 roku w sprawie sposobu i trybu przepro</w:t>
      </w:r>
      <w:r w:rsidRPr="005B347D">
        <w:rPr>
          <w:rFonts w:ascii="Times New Roman" w:eastAsia="Lucida Sans Unicode" w:hAnsi="Times New Roman" w:cs="Times New Roman"/>
          <w:sz w:val="22"/>
          <w:szCs w:val="22"/>
          <w:lang w:bidi="ar-SA"/>
        </w:rPr>
        <w:softHyphen/>
        <w:t>wadzania przetargów oraz rokowań na zbycie nieruchomości;</w:t>
      </w:r>
    </w:p>
    <w:p w:rsidR="00994752" w:rsidRPr="005B347D" w:rsidRDefault="00E45773" w:rsidP="001608E0">
      <w:pPr>
        <w:spacing w:line="360" w:lineRule="auto"/>
        <w:jc w:val="both"/>
        <w:rPr>
          <w:rFonts w:ascii="Times New Roman" w:hAnsi="Times New Roman" w:cs="Times New Roman"/>
          <w:sz w:val="22"/>
          <w:szCs w:val="22"/>
        </w:rPr>
      </w:pPr>
      <w:r w:rsidRPr="005B347D">
        <w:rPr>
          <w:rFonts w:ascii="Times New Roman" w:eastAsia="Lucida Sans Unicode" w:hAnsi="Times New Roman" w:cs="Times New Roman"/>
          <w:sz w:val="22"/>
          <w:szCs w:val="22"/>
          <w:lang w:bidi="ar-SA"/>
        </w:rPr>
        <w:t xml:space="preserve">c) Uchwały Rady Miasta Torunia </w:t>
      </w:r>
      <w:r w:rsidR="00994752" w:rsidRPr="005B347D">
        <w:rPr>
          <w:rFonts w:ascii="Times New Roman" w:eastAsia="Lucida Sans Unicode" w:hAnsi="Times New Roman" w:cs="Times New Roman"/>
          <w:sz w:val="22"/>
          <w:szCs w:val="22"/>
          <w:lang w:bidi="ar-SA"/>
        </w:rPr>
        <w:t>nr 902</w:t>
      </w:r>
      <w:r w:rsidR="00721CD5" w:rsidRPr="005B347D">
        <w:rPr>
          <w:rFonts w:ascii="Times New Roman" w:eastAsia="Lucida Sans Unicode" w:hAnsi="Times New Roman" w:cs="Times New Roman"/>
          <w:sz w:val="22"/>
          <w:szCs w:val="22"/>
          <w:lang w:bidi="ar-SA"/>
        </w:rPr>
        <w:t xml:space="preserve">/22 </w:t>
      </w:r>
      <w:r w:rsidRPr="005B347D">
        <w:rPr>
          <w:rFonts w:ascii="Times New Roman" w:eastAsia="Lucida Sans Unicode" w:hAnsi="Times New Roman" w:cs="Times New Roman"/>
          <w:sz w:val="22"/>
          <w:szCs w:val="22"/>
          <w:lang w:bidi="ar-SA"/>
        </w:rPr>
        <w:t xml:space="preserve">z dnia </w:t>
      </w:r>
      <w:r w:rsidR="00721CD5" w:rsidRPr="005B347D">
        <w:rPr>
          <w:rFonts w:ascii="Times New Roman" w:eastAsia="Lucida Sans Unicode" w:hAnsi="Times New Roman" w:cs="Times New Roman"/>
          <w:sz w:val="22"/>
          <w:szCs w:val="22"/>
          <w:lang w:bidi="ar-SA"/>
        </w:rPr>
        <w:t>21 lipca 2022</w:t>
      </w:r>
      <w:r w:rsidRPr="005B347D">
        <w:rPr>
          <w:rFonts w:ascii="Times New Roman" w:eastAsia="Lucida Sans Unicode" w:hAnsi="Times New Roman" w:cs="Times New Roman"/>
          <w:sz w:val="22"/>
          <w:szCs w:val="22"/>
          <w:lang w:bidi="ar-SA"/>
        </w:rPr>
        <w:t xml:space="preserve"> r. w sprawie sprzedaży nieruchomości </w:t>
      </w:r>
      <w:r w:rsidR="00721CD5" w:rsidRPr="005B347D">
        <w:rPr>
          <w:rFonts w:ascii="Times New Roman" w:eastAsia="Lucida Sans Unicode" w:hAnsi="Times New Roman" w:cs="Times New Roman"/>
          <w:sz w:val="22"/>
          <w:szCs w:val="22"/>
          <w:lang w:bidi="ar-SA"/>
        </w:rPr>
        <w:t xml:space="preserve">stanowiących własność Gminy Miasta Toruń, położonych w Toruniu </w:t>
      </w:r>
      <w:r w:rsidR="00721CD5" w:rsidRPr="005B347D">
        <w:rPr>
          <w:rFonts w:ascii="Times New Roman" w:eastAsia="Times New Roman" w:hAnsi="Times New Roman" w:cs="Times New Roman"/>
          <w:sz w:val="22"/>
          <w:szCs w:val="22"/>
        </w:rPr>
        <w:t xml:space="preserve">przy ul. </w:t>
      </w:r>
      <w:r w:rsidR="00994752" w:rsidRPr="005B347D">
        <w:rPr>
          <w:rFonts w:ascii="Times New Roman" w:hAnsi="Times New Roman" w:cs="Times New Roman"/>
          <w:sz w:val="22"/>
          <w:szCs w:val="22"/>
        </w:rPr>
        <w:t>Podgórskiej 36, 38, ul. gen. Józefa Dwernickiego 3A, 3B, 3, 5 i 7 oraz drogi dojazdowej,</w:t>
      </w:r>
    </w:p>
    <w:p w:rsidR="00994752" w:rsidRPr="005B347D" w:rsidRDefault="00994752" w:rsidP="001608E0">
      <w:pPr>
        <w:spacing w:line="360" w:lineRule="auto"/>
        <w:jc w:val="both"/>
        <w:rPr>
          <w:rFonts w:ascii="Times New Roman" w:hAnsi="Times New Roman" w:cs="Times New Roman"/>
          <w:sz w:val="22"/>
          <w:szCs w:val="22"/>
        </w:rPr>
      </w:pPr>
      <w:r w:rsidRPr="005B347D">
        <w:rPr>
          <w:rFonts w:ascii="Times New Roman" w:hAnsi="Times New Roman" w:cs="Times New Roman"/>
          <w:sz w:val="22"/>
          <w:szCs w:val="22"/>
        </w:rPr>
        <w:t xml:space="preserve">d) </w:t>
      </w:r>
      <w:r w:rsidRPr="005B347D">
        <w:rPr>
          <w:rFonts w:ascii="Times New Roman" w:eastAsia="Lucida Sans Unicode" w:hAnsi="Times New Roman" w:cs="Times New Roman"/>
          <w:sz w:val="22"/>
          <w:szCs w:val="22"/>
          <w:lang w:bidi="ar-SA"/>
        </w:rPr>
        <w:t xml:space="preserve">Uchwały Rady Miasta Torunia nr 126/19 z dnia 23 maja 2019 r. w sprawie sprzedaży nieruchomości gruntowych, położonych w Toruniu </w:t>
      </w:r>
      <w:r w:rsidRPr="005B347D">
        <w:rPr>
          <w:rFonts w:ascii="Times New Roman" w:eastAsia="Times New Roman" w:hAnsi="Times New Roman" w:cs="Times New Roman"/>
          <w:sz w:val="22"/>
          <w:szCs w:val="22"/>
        </w:rPr>
        <w:t xml:space="preserve">przy ul. Rypińskiej 8, Podgórskiej 25-29 i </w:t>
      </w:r>
      <w:r w:rsidRPr="005B347D">
        <w:rPr>
          <w:rFonts w:ascii="Times New Roman" w:hAnsi="Times New Roman" w:cs="Times New Roman"/>
          <w:sz w:val="22"/>
          <w:szCs w:val="22"/>
        </w:rPr>
        <w:t>Podgórskiej 40,</w:t>
      </w:r>
      <w:r w:rsidRPr="005B347D">
        <w:rPr>
          <w:rFonts w:ascii="Times New Roman" w:eastAsia="Lucida Sans Unicode" w:hAnsi="Times New Roman" w:cs="Times New Roman"/>
          <w:sz w:val="22"/>
          <w:szCs w:val="22"/>
          <w:lang w:bidi="ar-SA"/>
        </w:rPr>
        <w:t xml:space="preserve"> stanowiących własność Gminy Miasta Toruń,</w:t>
      </w:r>
    </w:p>
    <w:p w:rsidR="00E45773" w:rsidRPr="005B347D" w:rsidRDefault="00E45773" w:rsidP="001608E0">
      <w:pPr>
        <w:spacing w:line="360" w:lineRule="auto"/>
        <w:jc w:val="both"/>
        <w:rPr>
          <w:rFonts w:ascii="Times New Roman" w:eastAsia="Lucida Sans Unicode" w:hAnsi="Times New Roman" w:cs="Times New Roman"/>
          <w:sz w:val="22"/>
          <w:szCs w:val="22"/>
          <w:lang w:bidi="ar-SA"/>
        </w:rPr>
      </w:pPr>
      <w:r w:rsidRPr="005B347D">
        <w:rPr>
          <w:rFonts w:ascii="Times New Roman" w:eastAsia="Times New Roman" w:hAnsi="Times New Roman" w:cs="Times New Roman"/>
          <w:bCs/>
          <w:sz w:val="22"/>
          <w:szCs w:val="22"/>
        </w:rPr>
        <w:t>d) oraz niniejszego regulaminu.</w:t>
      </w:r>
    </w:p>
    <w:p w:rsidR="00E45773" w:rsidRPr="005B347D" w:rsidRDefault="00E45773" w:rsidP="001608E0">
      <w:pPr>
        <w:spacing w:line="360" w:lineRule="auto"/>
        <w:ind w:firstLine="708"/>
        <w:jc w:val="both"/>
        <w:rPr>
          <w:rFonts w:ascii="Times New Roman" w:eastAsia="Lucida Sans Unicode" w:hAnsi="Times New Roman" w:cs="Times New Roman"/>
          <w:sz w:val="22"/>
          <w:szCs w:val="22"/>
          <w:lang w:bidi="ar-SA"/>
        </w:rPr>
      </w:pPr>
      <w:r w:rsidRPr="005B347D">
        <w:rPr>
          <w:rFonts w:ascii="Times New Roman" w:eastAsia="Lucida Sans Unicode" w:hAnsi="Times New Roman" w:cs="Times New Roman"/>
          <w:sz w:val="22"/>
          <w:szCs w:val="22"/>
          <w:lang w:bidi="ar-SA"/>
        </w:rPr>
        <w:t>2. Czynności związ</w:t>
      </w:r>
      <w:r w:rsidR="00C81F27">
        <w:rPr>
          <w:rFonts w:ascii="Times New Roman" w:eastAsia="Lucida Sans Unicode" w:hAnsi="Times New Roman" w:cs="Times New Roman"/>
          <w:sz w:val="22"/>
          <w:szCs w:val="22"/>
          <w:lang w:bidi="ar-SA"/>
        </w:rPr>
        <w:t>ane z przeprowadzeniem przetargu</w:t>
      </w:r>
      <w:r w:rsidRPr="005B347D">
        <w:rPr>
          <w:rFonts w:ascii="Times New Roman" w:eastAsia="Lucida Sans Unicode" w:hAnsi="Times New Roman" w:cs="Times New Roman"/>
          <w:sz w:val="22"/>
          <w:szCs w:val="22"/>
          <w:lang w:bidi="ar-SA"/>
        </w:rPr>
        <w:t xml:space="preserve"> wykonuje Komisja Przetargowa, która podejmuje rozstrzygnięcia większością głosów, w drodze głosowania, w obecności co najmniej po</w:t>
      </w:r>
      <w:r w:rsidRPr="005B347D">
        <w:rPr>
          <w:rFonts w:ascii="Times New Roman" w:eastAsia="Lucida Sans Unicode" w:hAnsi="Times New Roman" w:cs="Times New Roman"/>
          <w:sz w:val="22"/>
          <w:szCs w:val="22"/>
          <w:lang w:bidi="ar-SA"/>
        </w:rPr>
        <w:softHyphen/>
        <w:t>łowy ustalonego składu. W przypadku równej liczby głosów decyduje głos przewodniczącego komi</w:t>
      </w:r>
      <w:r w:rsidRPr="005B347D">
        <w:rPr>
          <w:rFonts w:ascii="Times New Roman" w:eastAsia="Lucida Sans Unicode" w:hAnsi="Times New Roman" w:cs="Times New Roman"/>
          <w:sz w:val="22"/>
          <w:szCs w:val="22"/>
          <w:lang w:bidi="ar-SA"/>
        </w:rPr>
        <w:softHyphen/>
        <w:t xml:space="preserve">sji.  </w:t>
      </w:r>
    </w:p>
    <w:p w:rsidR="00E84026" w:rsidRDefault="00E45773" w:rsidP="001608E0">
      <w:pPr>
        <w:spacing w:line="360" w:lineRule="auto"/>
        <w:ind w:firstLine="708"/>
        <w:jc w:val="both"/>
        <w:rPr>
          <w:rFonts w:ascii="Times New Roman" w:eastAsia="Lucida Sans Unicode" w:hAnsi="Times New Roman" w:cs="Times New Roman"/>
          <w:b/>
          <w:bCs/>
          <w:color w:val="000000"/>
          <w:sz w:val="22"/>
          <w:szCs w:val="22"/>
          <w:lang w:bidi="ar-SA"/>
        </w:rPr>
      </w:pPr>
      <w:r w:rsidRPr="005B347D">
        <w:rPr>
          <w:rFonts w:ascii="Times New Roman" w:eastAsia="Lucida Sans Unicode" w:hAnsi="Times New Roman" w:cs="Times New Roman"/>
          <w:color w:val="000000"/>
          <w:sz w:val="22"/>
          <w:szCs w:val="22"/>
          <w:lang w:bidi="ar-SA"/>
        </w:rPr>
        <w:t xml:space="preserve">§ 2. Komisja Przetargowa przeprowadzi przetarg w dniu </w:t>
      </w:r>
      <w:r w:rsidR="00C81F27" w:rsidRPr="00C81F27">
        <w:rPr>
          <w:rFonts w:ascii="Times New Roman" w:eastAsia="Lucida Sans Unicode" w:hAnsi="Times New Roman" w:cs="Times New Roman"/>
          <w:b/>
          <w:color w:val="000000"/>
          <w:sz w:val="22"/>
          <w:szCs w:val="22"/>
          <w:lang w:bidi="ar-SA"/>
        </w:rPr>
        <w:t>12 września</w:t>
      </w:r>
      <w:r w:rsidR="000F4937" w:rsidRPr="005B347D">
        <w:rPr>
          <w:rFonts w:ascii="Times New Roman" w:eastAsia="Lucida Sans Unicode" w:hAnsi="Times New Roman" w:cs="Times New Roman"/>
          <w:color w:val="000000"/>
          <w:sz w:val="22"/>
          <w:szCs w:val="22"/>
          <w:lang w:bidi="ar-SA"/>
        </w:rPr>
        <w:t xml:space="preserve"> </w:t>
      </w:r>
      <w:r w:rsidR="00301285">
        <w:rPr>
          <w:rFonts w:ascii="Times New Roman" w:eastAsia="Lucida Sans Unicode" w:hAnsi="Times New Roman" w:cs="Times New Roman"/>
          <w:b/>
          <w:bCs/>
          <w:color w:val="000000"/>
          <w:sz w:val="22"/>
          <w:szCs w:val="22"/>
          <w:lang w:bidi="ar-SA"/>
        </w:rPr>
        <w:t>2023</w:t>
      </w:r>
      <w:r w:rsidRPr="005B347D">
        <w:rPr>
          <w:rFonts w:ascii="Times New Roman" w:eastAsia="Lucida Sans Unicode" w:hAnsi="Times New Roman" w:cs="Times New Roman"/>
          <w:b/>
          <w:bCs/>
          <w:color w:val="000000"/>
          <w:sz w:val="22"/>
          <w:szCs w:val="22"/>
          <w:lang w:bidi="ar-SA"/>
        </w:rPr>
        <w:t xml:space="preserve"> r. o</w:t>
      </w:r>
      <w:r w:rsidR="00C81F27">
        <w:rPr>
          <w:rFonts w:ascii="Times New Roman" w:eastAsia="Lucida Sans Unicode" w:hAnsi="Times New Roman" w:cs="Times New Roman"/>
          <w:b/>
          <w:bCs/>
          <w:color w:val="000000"/>
          <w:sz w:val="22"/>
          <w:szCs w:val="22"/>
          <w:lang w:bidi="ar-SA"/>
        </w:rPr>
        <w:t>d</w:t>
      </w:r>
      <w:r w:rsidRPr="005B347D">
        <w:rPr>
          <w:rFonts w:ascii="Times New Roman" w:eastAsia="Lucida Sans Unicode" w:hAnsi="Times New Roman" w:cs="Times New Roman"/>
          <w:b/>
          <w:bCs/>
          <w:color w:val="000000"/>
          <w:sz w:val="22"/>
          <w:szCs w:val="22"/>
          <w:lang w:bidi="ar-SA"/>
        </w:rPr>
        <w:t xml:space="preserve"> godz. </w:t>
      </w:r>
      <w:r w:rsidR="008661F0">
        <w:rPr>
          <w:rFonts w:ascii="Times New Roman" w:eastAsia="Lucida Sans Unicode" w:hAnsi="Times New Roman" w:cs="Times New Roman"/>
          <w:b/>
          <w:bCs/>
          <w:color w:val="000000"/>
          <w:sz w:val="22"/>
          <w:szCs w:val="22"/>
          <w:lang w:bidi="ar-SA"/>
        </w:rPr>
        <w:t>09</w:t>
      </w:r>
      <w:r w:rsidRPr="005B347D">
        <w:rPr>
          <w:rFonts w:ascii="Times New Roman" w:eastAsia="Lucida Sans Unicode" w:hAnsi="Times New Roman" w:cs="Times New Roman"/>
          <w:b/>
          <w:bCs/>
          <w:color w:val="000000"/>
          <w:sz w:val="22"/>
          <w:szCs w:val="22"/>
          <w:lang w:bidi="ar-SA"/>
        </w:rPr>
        <w:t>.00</w:t>
      </w:r>
      <w:r w:rsidR="00E84026">
        <w:rPr>
          <w:rFonts w:ascii="Times New Roman" w:eastAsia="Lucida Sans Unicode" w:hAnsi="Times New Roman" w:cs="Times New Roman"/>
          <w:b/>
          <w:bCs/>
          <w:color w:val="000000"/>
          <w:sz w:val="22"/>
          <w:szCs w:val="22"/>
          <w:lang w:bidi="ar-SA"/>
        </w:rPr>
        <w:t>.</w:t>
      </w:r>
    </w:p>
    <w:p w:rsidR="009E5E47" w:rsidRDefault="00C81F27" w:rsidP="001608E0">
      <w:pPr>
        <w:spacing w:line="360" w:lineRule="auto"/>
        <w:ind w:firstLine="708"/>
        <w:jc w:val="both"/>
        <w:rPr>
          <w:rFonts w:ascii="Times New Roman" w:eastAsia="Lucida Sans Unicode" w:hAnsi="Times New Roman" w:cs="Times New Roman"/>
          <w:color w:val="000000"/>
          <w:sz w:val="22"/>
          <w:szCs w:val="22"/>
          <w:lang w:bidi="ar-SA"/>
        </w:rPr>
      </w:pPr>
      <w:r>
        <w:rPr>
          <w:rFonts w:ascii="Times New Roman" w:eastAsia="Lucida Sans Unicode" w:hAnsi="Times New Roman" w:cs="Times New Roman"/>
          <w:color w:val="000000"/>
          <w:sz w:val="22"/>
          <w:szCs w:val="22"/>
          <w:lang w:bidi="ar-SA"/>
        </w:rPr>
        <w:t>§ 3. 1. Przedmiotem przetargów</w:t>
      </w:r>
      <w:r w:rsidR="00E45773" w:rsidRPr="005B347D">
        <w:rPr>
          <w:rFonts w:ascii="Times New Roman" w:eastAsia="Lucida Sans Unicode" w:hAnsi="Times New Roman" w:cs="Times New Roman"/>
          <w:color w:val="000000"/>
          <w:sz w:val="22"/>
          <w:szCs w:val="22"/>
          <w:lang w:bidi="ar-SA"/>
        </w:rPr>
        <w:t xml:space="preserve"> </w:t>
      </w:r>
      <w:r w:rsidR="00340633" w:rsidRPr="005B347D">
        <w:rPr>
          <w:rFonts w:ascii="Times New Roman" w:eastAsia="Lucida Sans Unicode" w:hAnsi="Times New Roman" w:cs="Times New Roman"/>
          <w:color w:val="000000"/>
          <w:sz w:val="22"/>
          <w:szCs w:val="22"/>
          <w:lang w:bidi="ar-SA"/>
        </w:rPr>
        <w:t xml:space="preserve">są </w:t>
      </w:r>
      <w:r w:rsidR="00E45773" w:rsidRPr="005B347D">
        <w:rPr>
          <w:rFonts w:ascii="Times New Roman" w:eastAsia="Lucida Sans Unicode" w:hAnsi="Times New Roman" w:cs="Times New Roman"/>
          <w:color w:val="000000"/>
          <w:sz w:val="22"/>
          <w:szCs w:val="22"/>
          <w:lang w:bidi="ar-SA"/>
        </w:rPr>
        <w:t>nieruchomoś</w:t>
      </w:r>
      <w:r w:rsidR="00340633" w:rsidRPr="005B347D">
        <w:rPr>
          <w:rFonts w:ascii="Times New Roman" w:eastAsia="Lucida Sans Unicode" w:hAnsi="Times New Roman" w:cs="Times New Roman"/>
          <w:color w:val="000000"/>
          <w:sz w:val="22"/>
          <w:szCs w:val="22"/>
          <w:lang w:bidi="ar-SA"/>
        </w:rPr>
        <w:t>ci</w:t>
      </w:r>
      <w:r w:rsidR="00E45773" w:rsidRPr="005B347D">
        <w:rPr>
          <w:rFonts w:ascii="Times New Roman" w:eastAsia="Lucida Sans Unicode" w:hAnsi="Times New Roman" w:cs="Times New Roman"/>
          <w:color w:val="000000"/>
          <w:sz w:val="22"/>
          <w:szCs w:val="22"/>
          <w:lang w:bidi="ar-SA"/>
        </w:rPr>
        <w:t xml:space="preserve"> gruntow</w:t>
      </w:r>
      <w:r w:rsidR="00340633" w:rsidRPr="005B347D">
        <w:rPr>
          <w:rFonts w:ascii="Times New Roman" w:eastAsia="Lucida Sans Unicode" w:hAnsi="Times New Roman" w:cs="Times New Roman"/>
          <w:color w:val="000000"/>
          <w:sz w:val="22"/>
          <w:szCs w:val="22"/>
          <w:lang w:bidi="ar-SA"/>
        </w:rPr>
        <w:t>e</w:t>
      </w:r>
      <w:r w:rsidR="00E45773" w:rsidRPr="005B347D">
        <w:rPr>
          <w:rFonts w:ascii="Times New Roman" w:eastAsia="Lucida Sans Unicode" w:hAnsi="Times New Roman" w:cs="Times New Roman"/>
          <w:color w:val="000000"/>
          <w:sz w:val="22"/>
          <w:szCs w:val="22"/>
          <w:lang w:bidi="ar-SA"/>
        </w:rPr>
        <w:t>, stanowiąc</w:t>
      </w:r>
      <w:r w:rsidR="00340633" w:rsidRPr="005B347D">
        <w:rPr>
          <w:rFonts w:ascii="Times New Roman" w:eastAsia="Lucida Sans Unicode" w:hAnsi="Times New Roman" w:cs="Times New Roman"/>
          <w:color w:val="000000"/>
          <w:sz w:val="22"/>
          <w:szCs w:val="22"/>
          <w:lang w:bidi="ar-SA"/>
        </w:rPr>
        <w:t>e</w:t>
      </w:r>
      <w:r w:rsidR="00E45773" w:rsidRPr="005B347D">
        <w:rPr>
          <w:rFonts w:ascii="Times New Roman" w:eastAsia="Lucida Sans Unicode" w:hAnsi="Times New Roman" w:cs="Times New Roman"/>
          <w:color w:val="000000"/>
          <w:sz w:val="22"/>
          <w:szCs w:val="22"/>
          <w:lang w:bidi="ar-SA"/>
        </w:rPr>
        <w:t xml:space="preserve"> własność Gminy Miasta Toruń, </w:t>
      </w:r>
      <w:r w:rsidR="00340633" w:rsidRPr="005B347D">
        <w:rPr>
          <w:rFonts w:ascii="Times New Roman" w:eastAsia="Lucida Sans Unicode" w:hAnsi="Times New Roman" w:cs="Times New Roman"/>
          <w:color w:val="000000"/>
          <w:sz w:val="22"/>
          <w:szCs w:val="22"/>
          <w:lang w:bidi="ar-SA"/>
        </w:rPr>
        <w:t xml:space="preserve">wpisane do księgi wieczystej KW nr </w:t>
      </w:r>
      <w:r w:rsidR="00D43249" w:rsidRPr="005B347D">
        <w:rPr>
          <w:rFonts w:ascii="Times New Roman" w:hAnsi="Times New Roman" w:cs="Times New Roman"/>
          <w:sz w:val="22"/>
          <w:szCs w:val="22"/>
        </w:rPr>
        <w:t>TO1T/00036054/4</w:t>
      </w:r>
      <w:r w:rsidR="00F02E6C">
        <w:rPr>
          <w:rFonts w:ascii="Times New Roman" w:eastAsia="Lucida Sans Unicode" w:hAnsi="Times New Roman" w:cs="Times New Roman"/>
          <w:color w:val="000000"/>
          <w:sz w:val="22"/>
          <w:szCs w:val="22"/>
          <w:lang w:bidi="ar-SA"/>
        </w:rPr>
        <w:t xml:space="preserve"> </w:t>
      </w:r>
      <w:r w:rsidRPr="005B347D">
        <w:rPr>
          <w:rFonts w:ascii="Times New Roman" w:eastAsia="Lucida Sans Unicode" w:hAnsi="Times New Roman" w:cs="Times New Roman"/>
          <w:color w:val="000000"/>
          <w:sz w:val="22"/>
          <w:szCs w:val="22"/>
          <w:lang w:bidi="ar-SA"/>
        </w:rPr>
        <w:t xml:space="preserve">szczegółowo opisane </w:t>
      </w:r>
      <w:r>
        <w:rPr>
          <w:rFonts w:ascii="Times New Roman" w:eastAsia="Lucida Sans Unicode" w:hAnsi="Times New Roman" w:cs="Times New Roman"/>
          <w:color w:val="000000"/>
          <w:sz w:val="22"/>
          <w:szCs w:val="22"/>
          <w:lang w:bidi="ar-SA"/>
        </w:rPr>
        <w:t xml:space="preserve">w </w:t>
      </w:r>
      <w:r w:rsidRPr="005B347D">
        <w:rPr>
          <w:rFonts w:ascii="Times New Roman" w:eastAsia="Lucida Sans Unicode" w:hAnsi="Times New Roman" w:cs="Times New Roman"/>
          <w:color w:val="000000"/>
          <w:sz w:val="22"/>
          <w:szCs w:val="22"/>
          <w:lang w:bidi="ar-SA"/>
        </w:rPr>
        <w:t>poniż</w:t>
      </w:r>
      <w:r>
        <w:rPr>
          <w:rFonts w:ascii="Times New Roman" w:eastAsia="Lucida Sans Unicode" w:hAnsi="Times New Roman" w:cs="Times New Roman"/>
          <w:color w:val="000000"/>
          <w:sz w:val="22"/>
          <w:szCs w:val="22"/>
          <w:lang w:bidi="ar-SA"/>
        </w:rPr>
        <w:t>szej tabeli wraz z udziałami w wysokości 1/5 części każdy w dro</w:t>
      </w:r>
      <w:r w:rsidR="0051713B">
        <w:rPr>
          <w:rFonts w:ascii="Times New Roman" w:eastAsia="Lucida Sans Unicode" w:hAnsi="Times New Roman" w:cs="Times New Roman"/>
          <w:color w:val="000000"/>
          <w:sz w:val="22"/>
          <w:szCs w:val="22"/>
          <w:lang w:bidi="ar-SA"/>
        </w:rPr>
        <w:t>dze</w:t>
      </w:r>
      <w:r>
        <w:rPr>
          <w:rFonts w:ascii="Times New Roman" w:eastAsia="Lucida Sans Unicode" w:hAnsi="Times New Roman" w:cs="Times New Roman"/>
          <w:color w:val="000000"/>
          <w:sz w:val="22"/>
          <w:szCs w:val="22"/>
          <w:lang w:bidi="ar-SA"/>
        </w:rPr>
        <w:t xml:space="preserve"> </w:t>
      </w:r>
      <w:r w:rsidR="0051713B">
        <w:rPr>
          <w:rFonts w:ascii="Times New Roman" w:eastAsia="Lucida Sans Unicode" w:hAnsi="Times New Roman" w:cs="Times New Roman"/>
          <w:color w:val="000000"/>
          <w:sz w:val="22"/>
          <w:szCs w:val="22"/>
          <w:lang w:bidi="ar-SA"/>
        </w:rPr>
        <w:t>dojazdowej</w:t>
      </w:r>
      <w:r>
        <w:rPr>
          <w:rFonts w:ascii="Times New Roman" w:eastAsia="Lucida Sans Unicode" w:hAnsi="Times New Roman" w:cs="Times New Roman"/>
          <w:color w:val="000000"/>
          <w:sz w:val="22"/>
          <w:szCs w:val="22"/>
          <w:lang w:bidi="ar-SA"/>
        </w:rPr>
        <w:t xml:space="preserve"> stanowiącej współwłasność Gminy Miasta Toruń i osoby fizycznej, wpisanej do księgi wieczystej </w:t>
      </w:r>
      <w:r w:rsidR="00F02E6C">
        <w:rPr>
          <w:rFonts w:ascii="Times New Roman" w:eastAsia="Lucida Sans Unicode" w:hAnsi="Times New Roman" w:cs="Times New Roman"/>
          <w:color w:val="000000"/>
          <w:sz w:val="22"/>
          <w:szCs w:val="22"/>
          <w:lang w:bidi="ar-SA"/>
        </w:rPr>
        <w:t>KW nr TO1T/00149955/5</w:t>
      </w:r>
      <w:r>
        <w:rPr>
          <w:rFonts w:ascii="Times New Roman" w:eastAsia="Lucida Sans Unicode" w:hAnsi="Times New Roman" w:cs="Times New Roman"/>
          <w:color w:val="000000"/>
          <w:sz w:val="22"/>
          <w:szCs w:val="22"/>
          <w:lang w:bidi="ar-SA"/>
        </w:rPr>
        <w:t xml:space="preserve">; Działy III i IV powołanych ksiąg wieczystych wolne są od wpisów.  </w:t>
      </w:r>
    </w:p>
    <w:p w:rsidR="003B1710" w:rsidRDefault="003B1710" w:rsidP="001608E0">
      <w:pPr>
        <w:spacing w:line="360" w:lineRule="auto"/>
        <w:ind w:firstLine="708"/>
        <w:jc w:val="both"/>
        <w:rPr>
          <w:rFonts w:ascii="Times New Roman" w:eastAsia="Lucida Sans Unicode" w:hAnsi="Times New Roman" w:cs="Times New Roman"/>
          <w:color w:val="000000"/>
          <w:sz w:val="22"/>
          <w:szCs w:val="22"/>
          <w:lang w:bidi="ar-SA"/>
        </w:rPr>
      </w:pPr>
    </w:p>
    <w:tbl>
      <w:tblPr>
        <w:tblStyle w:val="Tabela-Siatka"/>
        <w:tblW w:w="10348" w:type="dxa"/>
        <w:tblInd w:w="-714" w:type="dxa"/>
        <w:tblLook w:val="04A0" w:firstRow="1" w:lastRow="0" w:firstColumn="1" w:lastColumn="0" w:noHBand="0" w:noVBand="1"/>
      </w:tblPr>
      <w:tblGrid>
        <w:gridCol w:w="567"/>
        <w:gridCol w:w="1985"/>
        <w:gridCol w:w="2835"/>
        <w:gridCol w:w="1134"/>
        <w:gridCol w:w="3827"/>
      </w:tblGrid>
      <w:tr w:rsidR="003B1710" w:rsidTr="003B1710">
        <w:tc>
          <w:tcPr>
            <w:tcW w:w="567" w:type="dxa"/>
          </w:tcPr>
          <w:p w:rsidR="003B1710" w:rsidRPr="00803C7F" w:rsidRDefault="003B1710" w:rsidP="003B1710">
            <w:pPr>
              <w:pStyle w:val="WW-Zawartotabeli11"/>
              <w:snapToGrid w:val="0"/>
              <w:rPr>
                <w:sz w:val="21"/>
                <w:szCs w:val="21"/>
              </w:rPr>
            </w:pPr>
            <w:r w:rsidRPr="00803C7F">
              <w:rPr>
                <w:sz w:val="21"/>
                <w:szCs w:val="21"/>
              </w:rPr>
              <w:t>Lp.</w:t>
            </w:r>
          </w:p>
          <w:p w:rsidR="003B1710" w:rsidRDefault="003B1710" w:rsidP="00465568">
            <w:pPr>
              <w:spacing w:line="360" w:lineRule="auto"/>
              <w:jc w:val="both"/>
              <w:rPr>
                <w:rFonts w:ascii="Times New Roman" w:eastAsia="Lucida Sans Unicode" w:hAnsi="Times New Roman" w:cs="Times New Roman"/>
                <w:color w:val="000000"/>
                <w:sz w:val="22"/>
                <w:szCs w:val="22"/>
                <w:lang w:bidi="ar-SA"/>
              </w:rPr>
            </w:pPr>
          </w:p>
        </w:tc>
        <w:tc>
          <w:tcPr>
            <w:tcW w:w="1985" w:type="dxa"/>
          </w:tcPr>
          <w:p w:rsidR="003B1710" w:rsidRPr="003B1710" w:rsidRDefault="003B1710" w:rsidP="003B1710">
            <w:pPr>
              <w:pStyle w:val="WW-Zawartotabeli11"/>
              <w:snapToGrid w:val="0"/>
              <w:spacing w:line="240" w:lineRule="auto"/>
              <w:rPr>
                <w:sz w:val="21"/>
                <w:szCs w:val="21"/>
              </w:rPr>
            </w:pPr>
            <w:r w:rsidRPr="003B1710">
              <w:rPr>
                <w:sz w:val="21"/>
                <w:szCs w:val="21"/>
              </w:rPr>
              <w:t>Położenie</w:t>
            </w:r>
          </w:p>
          <w:p w:rsidR="003B1710" w:rsidRDefault="003B1710" w:rsidP="003B1710">
            <w:pPr>
              <w:spacing w:line="360" w:lineRule="auto"/>
              <w:jc w:val="center"/>
              <w:rPr>
                <w:rFonts w:ascii="Times New Roman" w:eastAsia="Lucida Sans Unicode" w:hAnsi="Times New Roman" w:cs="Times New Roman"/>
                <w:color w:val="000000"/>
                <w:sz w:val="22"/>
                <w:szCs w:val="22"/>
                <w:lang w:bidi="ar-SA"/>
              </w:rPr>
            </w:pPr>
            <w:r w:rsidRPr="003B1710">
              <w:rPr>
                <w:b/>
                <w:sz w:val="21"/>
                <w:szCs w:val="21"/>
              </w:rPr>
              <w:t>w obrębie 67</w:t>
            </w:r>
          </w:p>
        </w:tc>
        <w:tc>
          <w:tcPr>
            <w:tcW w:w="2835" w:type="dxa"/>
          </w:tcPr>
          <w:p w:rsidR="003B1710" w:rsidRPr="003B1710" w:rsidRDefault="003B1710" w:rsidP="003B1710">
            <w:pPr>
              <w:spacing w:line="360" w:lineRule="auto"/>
              <w:jc w:val="center"/>
              <w:rPr>
                <w:rFonts w:ascii="Times New Roman" w:eastAsia="Lucida Sans Unicode" w:hAnsi="Times New Roman" w:cs="Times New Roman"/>
                <w:b/>
                <w:color w:val="000000"/>
                <w:sz w:val="22"/>
                <w:szCs w:val="22"/>
                <w:lang w:bidi="ar-SA"/>
              </w:rPr>
            </w:pPr>
            <w:r w:rsidRPr="003B1710">
              <w:rPr>
                <w:b/>
                <w:sz w:val="21"/>
                <w:szCs w:val="21"/>
              </w:rPr>
              <w:t>Nr działki/użytek</w:t>
            </w:r>
          </w:p>
        </w:tc>
        <w:tc>
          <w:tcPr>
            <w:tcW w:w="1134" w:type="dxa"/>
          </w:tcPr>
          <w:p w:rsidR="003B1710" w:rsidRPr="003B1710" w:rsidRDefault="003B1710" w:rsidP="003B1710">
            <w:pPr>
              <w:pStyle w:val="WW-Zawartotabeli11"/>
              <w:snapToGrid w:val="0"/>
              <w:spacing w:line="240" w:lineRule="auto"/>
              <w:rPr>
                <w:sz w:val="21"/>
                <w:szCs w:val="21"/>
              </w:rPr>
            </w:pPr>
            <w:r w:rsidRPr="003B1710">
              <w:rPr>
                <w:sz w:val="21"/>
                <w:szCs w:val="21"/>
              </w:rPr>
              <w:t>Pow.</w:t>
            </w:r>
          </w:p>
          <w:p w:rsidR="003B1710" w:rsidRDefault="003B1710" w:rsidP="003B1710">
            <w:pPr>
              <w:spacing w:line="360" w:lineRule="auto"/>
              <w:jc w:val="center"/>
              <w:rPr>
                <w:rFonts w:ascii="Times New Roman" w:eastAsia="Lucida Sans Unicode" w:hAnsi="Times New Roman" w:cs="Times New Roman"/>
                <w:color w:val="000000"/>
                <w:sz w:val="22"/>
                <w:szCs w:val="22"/>
                <w:lang w:bidi="ar-SA"/>
              </w:rPr>
            </w:pPr>
            <w:r w:rsidRPr="003B1710">
              <w:rPr>
                <w:b/>
                <w:sz w:val="21"/>
                <w:szCs w:val="21"/>
              </w:rPr>
              <w:t>w ha</w:t>
            </w:r>
          </w:p>
        </w:tc>
        <w:tc>
          <w:tcPr>
            <w:tcW w:w="3827" w:type="dxa"/>
          </w:tcPr>
          <w:p w:rsidR="003B1710" w:rsidRPr="003B1710" w:rsidRDefault="003B1710" w:rsidP="003B1710">
            <w:pPr>
              <w:pStyle w:val="Tekstpodstawowy31"/>
              <w:snapToGrid w:val="0"/>
              <w:ind w:right="-68"/>
              <w:jc w:val="center"/>
              <w:rPr>
                <w:rFonts w:eastAsia="Times New Roman"/>
                <w:sz w:val="21"/>
                <w:szCs w:val="21"/>
              </w:rPr>
            </w:pPr>
            <w:r w:rsidRPr="003B1710">
              <w:rPr>
                <w:rFonts w:eastAsia="Times New Roman"/>
                <w:sz w:val="21"/>
                <w:szCs w:val="21"/>
              </w:rPr>
              <w:t>Przeznaczenie w miejscowym planie zagospodarowania przestrzennego:</w:t>
            </w:r>
          </w:p>
          <w:p w:rsidR="003B1710" w:rsidRPr="003B1710" w:rsidRDefault="003B1710" w:rsidP="003B1710">
            <w:pPr>
              <w:pStyle w:val="Tekstpodstawowy31"/>
              <w:snapToGrid w:val="0"/>
              <w:ind w:right="-68"/>
              <w:jc w:val="center"/>
              <w:rPr>
                <w:rFonts w:eastAsia="Times New Roman"/>
                <w:sz w:val="21"/>
                <w:szCs w:val="21"/>
              </w:rPr>
            </w:pPr>
            <w:r w:rsidRPr="003B1710">
              <w:rPr>
                <w:rFonts w:eastAsia="Times New Roman"/>
                <w:sz w:val="21"/>
                <w:szCs w:val="21"/>
              </w:rPr>
              <w:t>Uchwała RMT nr 694/21</w:t>
            </w:r>
          </w:p>
          <w:p w:rsidR="003B1710" w:rsidRDefault="003B1710" w:rsidP="003B1710">
            <w:pPr>
              <w:spacing w:line="360" w:lineRule="auto"/>
              <w:jc w:val="center"/>
              <w:rPr>
                <w:rFonts w:ascii="Times New Roman" w:eastAsia="Lucida Sans Unicode" w:hAnsi="Times New Roman" w:cs="Times New Roman"/>
                <w:color w:val="000000"/>
                <w:sz w:val="22"/>
                <w:szCs w:val="22"/>
                <w:lang w:bidi="ar-SA"/>
              </w:rPr>
            </w:pPr>
            <w:r w:rsidRPr="003B1710">
              <w:rPr>
                <w:b/>
                <w:sz w:val="21"/>
                <w:szCs w:val="21"/>
              </w:rPr>
              <w:t>z dnia 09.09.2021 r.</w:t>
            </w:r>
          </w:p>
        </w:tc>
      </w:tr>
      <w:tr w:rsidR="003B1710" w:rsidTr="003B1710">
        <w:tc>
          <w:tcPr>
            <w:tcW w:w="567" w:type="dxa"/>
          </w:tcPr>
          <w:p w:rsidR="003B1710" w:rsidRDefault="003B1710" w:rsidP="003B1710">
            <w:pPr>
              <w:spacing w:line="360" w:lineRule="auto"/>
              <w:jc w:val="center"/>
              <w:rPr>
                <w:rFonts w:ascii="Times New Roman" w:eastAsia="Lucida Sans Unicode" w:hAnsi="Times New Roman" w:cs="Times New Roman"/>
                <w:color w:val="000000"/>
                <w:sz w:val="22"/>
                <w:szCs w:val="22"/>
                <w:lang w:bidi="ar-SA"/>
              </w:rPr>
            </w:pPr>
            <w:r>
              <w:rPr>
                <w:rFonts w:ascii="Times New Roman" w:eastAsia="Lucida Sans Unicode" w:hAnsi="Times New Roman" w:cs="Times New Roman"/>
                <w:color w:val="000000"/>
                <w:sz w:val="22"/>
                <w:szCs w:val="22"/>
                <w:lang w:bidi="ar-SA"/>
              </w:rPr>
              <w:t>1</w:t>
            </w:r>
          </w:p>
        </w:tc>
        <w:tc>
          <w:tcPr>
            <w:tcW w:w="1985" w:type="dxa"/>
          </w:tcPr>
          <w:p w:rsidR="003B1710" w:rsidRPr="00B110DE" w:rsidRDefault="003B1710" w:rsidP="003B1710">
            <w:pPr>
              <w:widowControl/>
              <w:suppressAutoHyphens w:val="0"/>
              <w:autoSpaceDE w:val="0"/>
              <w:autoSpaceDN w:val="0"/>
              <w:adjustRightInd w:val="0"/>
              <w:rPr>
                <w:rFonts w:ascii="Times New Roman" w:eastAsiaTheme="minorHAnsi" w:hAnsi="Times New Roman" w:cs="Times New Roman"/>
                <w:kern w:val="0"/>
                <w:sz w:val="21"/>
                <w:szCs w:val="21"/>
                <w:lang w:eastAsia="en-US" w:bidi="ar-SA"/>
              </w:rPr>
            </w:pPr>
            <w:r w:rsidRPr="00B110DE">
              <w:rPr>
                <w:rFonts w:ascii="Times New Roman" w:eastAsiaTheme="minorHAnsi" w:hAnsi="Times New Roman" w:cs="Times New Roman"/>
                <w:sz w:val="21"/>
                <w:szCs w:val="21"/>
                <w:lang w:eastAsia="en-US" w:bidi="ar-SA"/>
              </w:rPr>
              <w:t xml:space="preserve">Podgórska 38, 40 </w:t>
            </w:r>
          </w:p>
          <w:p w:rsidR="003B1710" w:rsidRDefault="003B1710" w:rsidP="00465568">
            <w:pPr>
              <w:spacing w:line="360" w:lineRule="auto"/>
              <w:jc w:val="both"/>
              <w:rPr>
                <w:rFonts w:ascii="Times New Roman" w:eastAsia="Lucida Sans Unicode" w:hAnsi="Times New Roman" w:cs="Times New Roman"/>
                <w:color w:val="000000"/>
                <w:sz w:val="22"/>
                <w:szCs w:val="22"/>
                <w:lang w:bidi="ar-SA"/>
              </w:rPr>
            </w:pPr>
          </w:p>
        </w:tc>
        <w:tc>
          <w:tcPr>
            <w:tcW w:w="2835" w:type="dxa"/>
          </w:tcPr>
          <w:p w:rsidR="003B1710" w:rsidRPr="00B110DE" w:rsidRDefault="003B1710" w:rsidP="0051713B">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r w:rsidRPr="00B110DE">
              <w:rPr>
                <w:rFonts w:ascii="Times New Roman" w:eastAsiaTheme="minorHAnsi" w:hAnsi="Times New Roman" w:cs="Times New Roman"/>
                <w:color w:val="000000"/>
                <w:sz w:val="21"/>
                <w:szCs w:val="21"/>
                <w:lang w:eastAsia="en-US" w:bidi="ar-SA"/>
              </w:rPr>
              <w:t>849/5, 852/1, 852/2</w:t>
            </w:r>
          </w:p>
          <w:p w:rsidR="003B1710" w:rsidRDefault="003B1710" w:rsidP="0051713B">
            <w:pPr>
              <w:jc w:val="center"/>
              <w:rPr>
                <w:color w:val="000000"/>
                <w:sz w:val="21"/>
                <w:szCs w:val="21"/>
                <w:lang w:bidi="ar-SA"/>
              </w:rPr>
            </w:pPr>
            <w:r w:rsidRPr="00B110DE">
              <w:rPr>
                <w:color w:val="000000"/>
                <w:sz w:val="21"/>
                <w:szCs w:val="21"/>
                <w:lang w:bidi="ar-SA"/>
              </w:rPr>
              <w:t>użytek: RV – grunty orne</w:t>
            </w:r>
            <w:r w:rsidR="0051713B">
              <w:rPr>
                <w:color w:val="000000"/>
                <w:sz w:val="21"/>
                <w:szCs w:val="21"/>
                <w:lang w:bidi="ar-SA"/>
              </w:rPr>
              <w:t>;</w:t>
            </w:r>
          </w:p>
          <w:p w:rsidR="0051713B" w:rsidRDefault="0051713B" w:rsidP="0051713B">
            <w:pPr>
              <w:jc w:val="center"/>
              <w:rPr>
                <w:rFonts w:ascii="Times New Roman" w:eastAsia="Lucida Sans Unicode" w:hAnsi="Times New Roman" w:cs="Times New Roman"/>
                <w:color w:val="000000"/>
                <w:sz w:val="22"/>
                <w:szCs w:val="22"/>
                <w:lang w:bidi="ar-SA"/>
              </w:rPr>
            </w:pPr>
            <w:r>
              <w:rPr>
                <w:color w:val="000000"/>
                <w:sz w:val="21"/>
                <w:szCs w:val="21"/>
                <w:lang w:bidi="ar-SA"/>
              </w:rPr>
              <w:t>bez udziału</w:t>
            </w:r>
          </w:p>
        </w:tc>
        <w:tc>
          <w:tcPr>
            <w:tcW w:w="1134" w:type="dxa"/>
          </w:tcPr>
          <w:p w:rsidR="003B1710" w:rsidRPr="00B110DE" w:rsidRDefault="003B1710" w:rsidP="003B1710">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r w:rsidRPr="00B110DE">
              <w:rPr>
                <w:rFonts w:ascii="Times New Roman" w:eastAsiaTheme="minorHAnsi" w:hAnsi="Times New Roman" w:cs="Times New Roman"/>
                <w:color w:val="000000"/>
                <w:kern w:val="0"/>
                <w:sz w:val="21"/>
                <w:szCs w:val="21"/>
                <w:lang w:eastAsia="en-US" w:bidi="ar-SA"/>
              </w:rPr>
              <w:t>0,1969</w:t>
            </w:r>
          </w:p>
          <w:p w:rsidR="003B1710" w:rsidRDefault="003B1710" w:rsidP="003B1710">
            <w:pPr>
              <w:spacing w:line="360" w:lineRule="auto"/>
              <w:jc w:val="center"/>
              <w:rPr>
                <w:rFonts w:ascii="Times New Roman" w:eastAsia="Lucida Sans Unicode" w:hAnsi="Times New Roman" w:cs="Times New Roman"/>
                <w:color w:val="000000"/>
                <w:sz w:val="22"/>
                <w:szCs w:val="22"/>
                <w:lang w:bidi="ar-SA"/>
              </w:rPr>
            </w:pPr>
          </w:p>
        </w:tc>
        <w:tc>
          <w:tcPr>
            <w:tcW w:w="3827" w:type="dxa"/>
            <w:vMerge w:val="restart"/>
          </w:tcPr>
          <w:p w:rsidR="003B1710" w:rsidRDefault="003B1710" w:rsidP="0051713B">
            <w:pPr>
              <w:jc w:val="center"/>
              <w:rPr>
                <w:rFonts w:ascii="Times New Roman" w:eastAsia="Lucida Sans Unicode" w:hAnsi="Times New Roman" w:cs="Times New Roman"/>
                <w:color w:val="000000"/>
                <w:sz w:val="22"/>
                <w:szCs w:val="22"/>
                <w:lang w:bidi="ar-SA"/>
              </w:rPr>
            </w:pPr>
            <w:r w:rsidRPr="009E5E47">
              <w:rPr>
                <w:rFonts w:ascii="Times New Roman" w:hAnsi="Times New Roman" w:cs="Times New Roman"/>
                <w:sz w:val="21"/>
                <w:szCs w:val="21"/>
              </w:rPr>
              <w:t>153.19-MN1 przeznaczeni</w:t>
            </w:r>
            <w:r>
              <w:rPr>
                <w:rFonts w:ascii="Times New Roman" w:hAnsi="Times New Roman" w:cs="Times New Roman"/>
                <w:sz w:val="21"/>
                <w:szCs w:val="21"/>
              </w:rPr>
              <w:t>e</w:t>
            </w:r>
            <w:r w:rsidRPr="009E5E47">
              <w:rPr>
                <w:rFonts w:ascii="Times New Roman" w:hAnsi="Times New Roman" w:cs="Times New Roman"/>
                <w:sz w:val="21"/>
                <w:szCs w:val="21"/>
              </w:rPr>
              <w:t xml:space="preserve"> podstawow</w:t>
            </w:r>
            <w:r>
              <w:rPr>
                <w:rFonts w:ascii="Times New Roman" w:hAnsi="Times New Roman" w:cs="Times New Roman"/>
                <w:sz w:val="21"/>
                <w:szCs w:val="21"/>
              </w:rPr>
              <w:t>e</w:t>
            </w:r>
            <w:r w:rsidRPr="009E5E47">
              <w:rPr>
                <w:rFonts w:ascii="Times New Roman" w:hAnsi="Times New Roman" w:cs="Times New Roman"/>
                <w:sz w:val="21"/>
                <w:szCs w:val="21"/>
              </w:rPr>
              <w:t>: „zabudowa mieszkaniowa j</w:t>
            </w:r>
            <w:r>
              <w:rPr>
                <w:rFonts w:ascii="Times New Roman" w:hAnsi="Times New Roman" w:cs="Times New Roman"/>
                <w:sz w:val="21"/>
                <w:szCs w:val="21"/>
              </w:rPr>
              <w:t>ednorodzinna” oraz przeznaczenie</w:t>
            </w:r>
            <w:r w:rsidRPr="009E5E47">
              <w:rPr>
                <w:rFonts w:ascii="Times New Roman" w:hAnsi="Times New Roman" w:cs="Times New Roman"/>
                <w:sz w:val="21"/>
                <w:szCs w:val="21"/>
              </w:rPr>
              <w:t xml:space="preserve"> dopuszczaln</w:t>
            </w:r>
            <w:r>
              <w:rPr>
                <w:rFonts w:ascii="Times New Roman" w:hAnsi="Times New Roman" w:cs="Times New Roman"/>
                <w:sz w:val="21"/>
                <w:szCs w:val="21"/>
              </w:rPr>
              <w:t>e</w:t>
            </w:r>
            <w:r w:rsidRPr="009E5E47">
              <w:rPr>
                <w:rFonts w:ascii="Times New Roman" w:hAnsi="Times New Roman" w:cs="Times New Roman"/>
                <w:sz w:val="21"/>
                <w:szCs w:val="21"/>
              </w:rPr>
              <w:t>: „istniejąca zabudowa mieszkaniowa wielorodzinna na dz. nr 851/1, drogi wewnętrzne, zieleń urządzona, infrastruktura techniczna”.</w:t>
            </w:r>
          </w:p>
        </w:tc>
      </w:tr>
      <w:tr w:rsidR="003B1710" w:rsidTr="003B1710">
        <w:tc>
          <w:tcPr>
            <w:tcW w:w="567" w:type="dxa"/>
          </w:tcPr>
          <w:p w:rsidR="003B1710" w:rsidRDefault="003B1710" w:rsidP="003B1710">
            <w:pPr>
              <w:spacing w:line="360" w:lineRule="auto"/>
              <w:jc w:val="center"/>
              <w:rPr>
                <w:rFonts w:ascii="Times New Roman" w:eastAsia="Lucida Sans Unicode" w:hAnsi="Times New Roman" w:cs="Times New Roman"/>
                <w:color w:val="000000"/>
                <w:sz w:val="22"/>
                <w:szCs w:val="22"/>
                <w:lang w:bidi="ar-SA"/>
              </w:rPr>
            </w:pPr>
            <w:r>
              <w:rPr>
                <w:rFonts w:ascii="Times New Roman" w:eastAsia="Lucida Sans Unicode" w:hAnsi="Times New Roman" w:cs="Times New Roman"/>
                <w:color w:val="000000"/>
                <w:sz w:val="22"/>
                <w:szCs w:val="22"/>
                <w:lang w:bidi="ar-SA"/>
              </w:rPr>
              <w:t>2</w:t>
            </w:r>
          </w:p>
        </w:tc>
        <w:tc>
          <w:tcPr>
            <w:tcW w:w="1985" w:type="dxa"/>
          </w:tcPr>
          <w:p w:rsidR="003B1710" w:rsidRPr="00B110DE" w:rsidRDefault="003B1710" w:rsidP="003B1710">
            <w:pPr>
              <w:widowControl/>
              <w:suppressAutoHyphens w:val="0"/>
              <w:autoSpaceDE w:val="0"/>
              <w:autoSpaceDN w:val="0"/>
              <w:adjustRightInd w:val="0"/>
              <w:rPr>
                <w:rFonts w:ascii="Times New Roman" w:eastAsiaTheme="minorHAnsi" w:hAnsi="Times New Roman" w:cs="Times New Roman"/>
                <w:kern w:val="0"/>
                <w:sz w:val="21"/>
                <w:szCs w:val="21"/>
                <w:lang w:eastAsia="en-US" w:bidi="ar-SA"/>
              </w:rPr>
            </w:pPr>
            <w:r w:rsidRPr="00B110DE">
              <w:rPr>
                <w:rFonts w:ascii="Times New Roman" w:eastAsiaTheme="minorHAnsi" w:hAnsi="Times New Roman" w:cs="Times New Roman"/>
                <w:sz w:val="21"/>
                <w:szCs w:val="21"/>
                <w:lang w:eastAsia="en-US" w:bidi="ar-SA"/>
              </w:rPr>
              <w:t xml:space="preserve">Podgórska 36/ </w:t>
            </w:r>
            <w:r>
              <w:rPr>
                <w:rFonts w:ascii="Times New Roman" w:eastAsiaTheme="minorHAnsi" w:hAnsi="Times New Roman" w:cs="Times New Roman"/>
                <w:sz w:val="21"/>
                <w:szCs w:val="21"/>
                <w:lang w:eastAsia="en-US" w:bidi="ar-SA"/>
              </w:rPr>
              <w:t xml:space="preserve">Gen. J. </w:t>
            </w:r>
            <w:r w:rsidRPr="00B110DE">
              <w:rPr>
                <w:rFonts w:ascii="Times New Roman" w:eastAsiaTheme="minorHAnsi" w:hAnsi="Times New Roman" w:cs="Times New Roman"/>
                <w:sz w:val="21"/>
                <w:szCs w:val="21"/>
                <w:lang w:eastAsia="en-US" w:bidi="ar-SA"/>
              </w:rPr>
              <w:t xml:space="preserve">Dwernickiego 3A </w:t>
            </w:r>
          </w:p>
          <w:p w:rsidR="003B1710" w:rsidRPr="00B110DE" w:rsidRDefault="003B1710" w:rsidP="003B1710">
            <w:pPr>
              <w:widowControl/>
              <w:suppressAutoHyphens w:val="0"/>
              <w:autoSpaceDE w:val="0"/>
              <w:autoSpaceDN w:val="0"/>
              <w:adjustRightInd w:val="0"/>
              <w:rPr>
                <w:rFonts w:ascii="Times New Roman" w:eastAsiaTheme="minorHAnsi" w:hAnsi="Times New Roman" w:cs="Times New Roman"/>
                <w:sz w:val="21"/>
                <w:szCs w:val="21"/>
                <w:lang w:eastAsia="en-US" w:bidi="ar-SA"/>
              </w:rPr>
            </w:pPr>
          </w:p>
        </w:tc>
        <w:tc>
          <w:tcPr>
            <w:tcW w:w="2835" w:type="dxa"/>
          </w:tcPr>
          <w:p w:rsidR="003B1710" w:rsidRPr="00B110DE" w:rsidRDefault="003B1710" w:rsidP="003B1710">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r w:rsidRPr="00B110DE">
              <w:rPr>
                <w:rFonts w:ascii="Times New Roman" w:eastAsiaTheme="minorHAnsi" w:hAnsi="Times New Roman" w:cs="Times New Roman"/>
                <w:color w:val="000000"/>
                <w:sz w:val="21"/>
                <w:szCs w:val="21"/>
                <w:lang w:eastAsia="en-US" w:bidi="ar-SA"/>
              </w:rPr>
              <w:t>849/4, 852/3</w:t>
            </w:r>
          </w:p>
          <w:p w:rsidR="003B1710" w:rsidRPr="00B110DE" w:rsidRDefault="003B1710" w:rsidP="003B1710">
            <w:pPr>
              <w:pStyle w:val="WW-Zawartotabeli11"/>
              <w:snapToGrid w:val="0"/>
              <w:spacing w:line="240" w:lineRule="auto"/>
              <w:jc w:val="left"/>
              <w:rPr>
                <w:b w:val="0"/>
                <w:color w:val="000000"/>
                <w:sz w:val="21"/>
                <w:szCs w:val="21"/>
                <w:lang w:bidi="ar-SA"/>
              </w:rPr>
            </w:pPr>
            <w:r w:rsidRPr="00B110DE">
              <w:rPr>
                <w:b w:val="0"/>
                <w:color w:val="000000"/>
                <w:sz w:val="21"/>
                <w:szCs w:val="21"/>
                <w:lang w:bidi="ar-SA"/>
              </w:rPr>
              <w:t>użytek: RV – grunty orne</w:t>
            </w:r>
          </w:p>
          <w:p w:rsidR="003B1710" w:rsidRPr="00B110DE" w:rsidRDefault="003B1710" w:rsidP="003B1710">
            <w:pPr>
              <w:widowControl/>
              <w:suppressAutoHyphens w:val="0"/>
              <w:autoSpaceDE w:val="0"/>
              <w:autoSpaceDN w:val="0"/>
              <w:adjustRightInd w:val="0"/>
              <w:jc w:val="center"/>
              <w:rPr>
                <w:rFonts w:ascii="Times New Roman" w:eastAsiaTheme="minorHAnsi" w:hAnsi="Times New Roman" w:cs="Times New Roman"/>
                <w:color w:val="000000"/>
                <w:sz w:val="21"/>
                <w:szCs w:val="21"/>
                <w:lang w:eastAsia="en-US" w:bidi="ar-SA"/>
              </w:rPr>
            </w:pPr>
            <w:r w:rsidRPr="00B110DE">
              <w:rPr>
                <w:color w:val="000000"/>
                <w:sz w:val="21"/>
                <w:szCs w:val="21"/>
                <w:lang w:bidi="ar-SA"/>
              </w:rPr>
              <w:t>wraz z udziałem wynoszącym 1/5 części w działce 852/6 stanowiącej drogę dojazdową do ul. Dwernickiego</w:t>
            </w:r>
          </w:p>
        </w:tc>
        <w:tc>
          <w:tcPr>
            <w:tcW w:w="1134" w:type="dxa"/>
          </w:tcPr>
          <w:p w:rsidR="003B1710" w:rsidRPr="00B110DE" w:rsidRDefault="003B1710" w:rsidP="003B1710">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r w:rsidRPr="00B110DE">
              <w:rPr>
                <w:rFonts w:ascii="Times New Roman" w:eastAsiaTheme="minorHAnsi" w:hAnsi="Times New Roman" w:cs="Times New Roman"/>
                <w:color w:val="000000"/>
                <w:kern w:val="0"/>
                <w:sz w:val="21"/>
                <w:szCs w:val="21"/>
                <w:lang w:eastAsia="en-US" w:bidi="ar-SA"/>
              </w:rPr>
              <w:t>0,1580</w:t>
            </w:r>
          </w:p>
          <w:p w:rsidR="003B1710" w:rsidRPr="00B110DE" w:rsidRDefault="003B1710" w:rsidP="003B1710">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p>
        </w:tc>
        <w:tc>
          <w:tcPr>
            <w:tcW w:w="3827" w:type="dxa"/>
            <w:vMerge/>
          </w:tcPr>
          <w:p w:rsidR="003B1710" w:rsidRPr="009E5E47" w:rsidRDefault="003B1710" w:rsidP="003B1710">
            <w:pPr>
              <w:rPr>
                <w:rFonts w:ascii="Times New Roman" w:hAnsi="Times New Roman" w:cs="Times New Roman"/>
                <w:sz w:val="21"/>
                <w:szCs w:val="21"/>
              </w:rPr>
            </w:pPr>
          </w:p>
        </w:tc>
      </w:tr>
    </w:tbl>
    <w:p w:rsidR="003B1710" w:rsidRDefault="003B1710" w:rsidP="00465568">
      <w:pPr>
        <w:spacing w:line="360" w:lineRule="auto"/>
        <w:ind w:firstLine="708"/>
        <w:jc w:val="both"/>
        <w:rPr>
          <w:rFonts w:ascii="Times New Roman" w:eastAsia="Lucida Sans Unicode" w:hAnsi="Times New Roman" w:cs="Times New Roman"/>
          <w:color w:val="000000"/>
          <w:sz w:val="22"/>
          <w:szCs w:val="22"/>
          <w:lang w:bidi="ar-SA"/>
        </w:rPr>
      </w:pPr>
    </w:p>
    <w:p w:rsidR="003B1710" w:rsidRPr="003B1710" w:rsidRDefault="003B1710" w:rsidP="00465568">
      <w:pPr>
        <w:spacing w:line="360" w:lineRule="auto"/>
        <w:ind w:firstLine="708"/>
        <w:jc w:val="both"/>
        <w:rPr>
          <w:rFonts w:ascii="Times New Roman" w:eastAsia="Lucida Sans Unicode" w:hAnsi="Times New Roman" w:cs="Times New Roman"/>
          <w:color w:val="000000"/>
          <w:sz w:val="22"/>
          <w:szCs w:val="22"/>
          <w:lang w:bidi="ar-SA"/>
        </w:rPr>
      </w:pPr>
    </w:p>
    <w:tbl>
      <w:tblPr>
        <w:tblpPr w:leftFromText="141" w:rightFromText="141" w:vertAnchor="text" w:horzAnchor="margin" w:tblpXSpec="center" w:tblpY="74"/>
        <w:tblW w:w="10650" w:type="dxa"/>
        <w:tblLayout w:type="fixed"/>
        <w:tblCellMar>
          <w:left w:w="70" w:type="dxa"/>
          <w:right w:w="70" w:type="dxa"/>
        </w:tblCellMar>
        <w:tblLook w:val="0000" w:firstRow="0" w:lastRow="0" w:firstColumn="0" w:lastColumn="0" w:noHBand="0" w:noVBand="0"/>
      </w:tblPr>
      <w:tblGrid>
        <w:gridCol w:w="562"/>
        <w:gridCol w:w="1701"/>
        <w:gridCol w:w="3408"/>
        <w:gridCol w:w="992"/>
        <w:gridCol w:w="3987"/>
      </w:tblGrid>
      <w:tr w:rsidR="0051713B" w:rsidRPr="00803C7F" w:rsidTr="007A7FD1">
        <w:trPr>
          <w:trHeight w:val="362"/>
        </w:trPr>
        <w:tc>
          <w:tcPr>
            <w:tcW w:w="562" w:type="dxa"/>
            <w:tcBorders>
              <w:top w:val="single" w:sz="4" w:space="0" w:color="000000"/>
              <w:left w:val="single" w:sz="4" w:space="0" w:color="000000"/>
              <w:bottom w:val="single" w:sz="4" w:space="0" w:color="000000"/>
            </w:tcBorders>
          </w:tcPr>
          <w:p w:rsidR="0051713B" w:rsidRPr="003B1710" w:rsidRDefault="0051713B" w:rsidP="00465568">
            <w:pPr>
              <w:pStyle w:val="WW-Zawartotabeli11"/>
              <w:snapToGrid w:val="0"/>
              <w:rPr>
                <w:b w:val="0"/>
                <w:sz w:val="21"/>
                <w:szCs w:val="21"/>
              </w:rPr>
            </w:pPr>
            <w:r w:rsidRPr="003B1710">
              <w:rPr>
                <w:b w:val="0"/>
                <w:sz w:val="21"/>
                <w:szCs w:val="21"/>
              </w:rPr>
              <w:lastRenderedPageBreak/>
              <w:t>3</w:t>
            </w:r>
          </w:p>
        </w:tc>
        <w:tc>
          <w:tcPr>
            <w:tcW w:w="1701" w:type="dxa"/>
            <w:tcBorders>
              <w:top w:val="single" w:sz="4" w:space="0" w:color="000000"/>
              <w:left w:val="single" w:sz="4" w:space="0" w:color="000000"/>
              <w:bottom w:val="single" w:sz="4" w:space="0" w:color="000000"/>
            </w:tcBorders>
          </w:tcPr>
          <w:p w:rsidR="0051713B" w:rsidRPr="003B1710" w:rsidRDefault="0051713B" w:rsidP="003B1710">
            <w:pPr>
              <w:pStyle w:val="WW-Zawartotabeli11"/>
              <w:snapToGrid w:val="0"/>
              <w:spacing w:line="240" w:lineRule="auto"/>
              <w:rPr>
                <w:b w:val="0"/>
                <w:sz w:val="21"/>
                <w:szCs w:val="21"/>
              </w:rPr>
            </w:pPr>
            <w:r>
              <w:rPr>
                <w:rFonts w:eastAsiaTheme="minorHAnsi"/>
                <w:b w:val="0"/>
                <w:sz w:val="21"/>
                <w:szCs w:val="21"/>
                <w:lang w:eastAsia="en-US" w:bidi="ar-SA"/>
              </w:rPr>
              <w:t xml:space="preserve">Gen. J. </w:t>
            </w:r>
            <w:r w:rsidRPr="003B1710">
              <w:rPr>
                <w:rFonts w:eastAsiaTheme="minorHAnsi"/>
                <w:b w:val="0"/>
                <w:sz w:val="21"/>
                <w:szCs w:val="21"/>
                <w:lang w:eastAsia="en-US" w:bidi="ar-SA"/>
              </w:rPr>
              <w:t>Dwernickiego 3B</w:t>
            </w:r>
          </w:p>
        </w:tc>
        <w:tc>
          <w:tcPr>
            <w:tcW w:w="3408" w:type="dxa"/>
            <w:tcBorders>
              <w:top w:val="single" w:sz="4" w:space="0" w:color="000000"/>
              <w:left w:val="single" w:sz="4" w:space="0" w:color="000000"/>
              <w:bottom w:val="single" w:sz="4" w:space="0" w:color="000000"/>
            </w:tcBorders>
          </w:tcPr>
          <w:p w:rsidR="0051713B" w:rsidRPr="00B110DE" w:rsidRDefault="0051713B" w:rsidP="003B1710">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r w:rsidRPr="00B110DE">
              <w:rPr>
                <w:rFonts w:ascii="Times New Roman" w:eastAsiaTheme="minorHAnsi" w:hAnsi="Times New Roman" w:cs="Times New Roman"/>
                <w:color w:val="000000"/>
                <w:kern w:val="0"/>
                <w:sz w:val="21"/>
                <w:szCs w:val="21"/>
                <w:lang w:eastAsia="en-US" w:bidi="ar-SA"/>
              </w:rPr>
              <w:t>852/4</w:t>
            </w:r>
          </w:p>
          <w:p w:rsidR="0051713B" w:rsidRPr="00B110DE" w:rsidRDefault="0051713B" w:rsidP="003B1710">
            <w:pPr>
              <w:pStyle w:val="WW-Zawartotabeli11"/>
              <w:snapToGrid w:val="0"/>
              <w:spacing w:line="240" w:lineRule="auto"/>
              <w:jc w:val="left"/>
              <w:rPr>
                <w:b w:val="0"/>
                <w:color w:val="000000"/>
                <w:sz w:val="21"/>
                <w:szCs w:val="21"/>
                <w:lang w:bidi="ar-SA"/>
              </w:rPr>
            </w:pPr>
            <w:r w:rsidRPr="00B110DE">
              <w:rPr>
                <w:b w:val="0"/>
                <w:color w:val="000000"/>
                <w:sz w:val="21"/>
                <w:szCs w:val="21"/>
                <w:lang w:bidi="ar-SA"/>
              </w:rPr>
              <w:t>użytek: RV – grunty orne; B- tereny mieszkaniowe</w:t>
            </w:r>
          </w:p>
          <w:p w:rsidR="0051713B" w:rsidRPr="00B110DE" w:rsidRDefault="0051713B" w:rsidP="003B1710">
            <w:pPr>
              <w:widowControl/>
              <w:suppressAutoHyphens w:val="0"/>
              <w:autoSpaceDE w:val="0"/>
              <w:autoSpaceDN w:val="0"/>
              <w:adjustRightInd w:val="0"/>
              <w:rPr>
                <w:rFonts w:ascii="Times New Roman" w:eastAsiaTheme="minorHAnsi" w:hAnsi="Times New Roman" w:cs="Times New Roman"/>
                <w:color w:val="000000"/>
                <w:kern w:val="0"/>
                <w:sz w:val="21"/>
                <w:szCs w:val="21"/>
                <w:lang w:eastAsia="en-US" w:bidi="ar-SA"/>
              </w:rPr>
            </w:pPr>
            <w:r w:rsidRPr="00B110DE">
              <w:rPr>
                <w:rFonts w:ascii="Times New Roman" w:hAnsi="Times New Roman" w:cs="Times New Roman"/>
                <w:color w:val="000000"/>
                <w:sz w:val="21"/>
                <w:szCs w:val="21"/>
                <w:lang w:bidi="ar-SA"/>
              </w:rPr>
              <w:t>wraz z udziałem wynoszącym 1/5 części w działce 852/6 stanowiącej drogę dojazdową do ul. Dwernickiego</w:t>
            </w:r>
          </w:p>
          <w:p w:rsidR="0051713B" w:rsidRPr="003B1710" w:rsidRDefault="0051713B" w:rsidP="009E5E47">
            <w:pPr>
              <w:pStyle w:val="WW-Zawartotabeli11"/>
              <w:snapToGrid w:val="0"/>
              <w:spacing w:line="240" w:lineRule="auto"/>
              <w:rPr>
                <w:b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51713B" w:rsidRPr="00B110DE" w:rsidRDefault="0051713B" w:rsidP="003B1710">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r w:rsidRPr="00B110DE">
              <w:rPr>
                <w:rFonts w:ascii="Times New Roman" w:eastAsiaTheme="minorHAnsi" w:hAnsi="Times New Roman" w:cs="Times New Roman"/>
                <w:color w:val="000000"/>
                <w:kern w:val="0"/>
                <w:sz w:val="21"/>
                <w:szCs w:val="21"/>
                <w:lang w:eastAsia="en-US" w:bidi="ar-SA"/>
              </w:rPr>
              <w:t>0,1674</w:t>
            </w:r>
          </w:p>
          <w:p w:rsidR="0051713B" w:rsidRPr="003B1710" w:rsidRDefault="0051713B" w:rsidP="003B1710">
            <w:pPr>
              <w:pStyle w:val="WW-Zawartotabeli11"/>
              <w:snapToGrid w:val="0"/>
              <w:spacing w:line="240" w:lineRule="auto"/>
              <w:rPr>
                <w:b w:val="0"/>
                <w:sz w:val="21"/>
                <w:szCs w:val="21"/>
              </w:rPr>
            </w:pPr>
          </w:p>
        </w:tc>
        <w:tc>
          <w:tcPr>
            <w:tcW w:w="3987" w:type="dxa"/>
            <w:vMerge w:val="restart"/>
            <w:tcBorders>
              <w:top w:val="single" w:sz="4" w:space="0" w:color="000000"/>
              <w:left w:val="single" w:sz="4" w:space="0" w:color="000000"/>
              <w:right w:val="single" w:sz="4" w:space="0" w:color="000000"/>
            </w:tcBorders>
          </w:tcPr>
          <w:p w:rsidR="0051713B" w:rsidRDefault="0051713B" w:rsidP="003B1710">
            <w:pPr>
              <w:pStyle w:val="Tekstpodstawowy31"/>
              <w:snapToGrid w:val="0"/>
              <w:ind w:right="-68"/>
              <w:jc w:val="center"/>
              <w:rPr>
                <w:b w:val="0"/>
                <w:sz w:val="21"/>
                <w:szCs w:val="21"/>
              </w:rPr>
            </w:pPr>
          </w:p>
          <w:p w:rsidR="0051713B" w:rsidRDefault="0051713B" w:rsidP="003B1710">
            <w:pPr>
              <w:pStyle w:val="Tekstpodstawowy31"/>
              <w:snapToGrid w:val="0"/>
              <w:ind w:right="-68"/>
              <w:jc w:val="center"/>
              <w:rPr>
                <w:b w:val="0"/>
                <w:sz w:val="21"/>
                <w:szCs w:val="21"/>
              </w:rPr>
            </w:pPr>
          </w:p>
          <w:p w:rsidR="0051713B" w:rsidRDefault="0051713B" w:rsidP="003B1710">
            <w:pPr>
              <w:pStyle w:val="Tekstpodstawowy31"/>
              <w:snapToGrid w:val="0"/>
              <w:ind w:right="-68"/>
              <w:jc w:val="center"/>
              <w:rPr>
                <w:b w:val="0"/>
                <w:sz w:val="21"/>
                <w:szCs w:val="21"/>
              </w:rPr>
            </w:pPr>
          </w:p>
          <w:p w:rsidR="0051713B" w:rsidRPr="0051713B" w:rsidRDefault="0051713B" w:rsidP="003B1710">
            <w:pPr>
              <w:pStyle w:val="Tekstpodstawowy31"/>
              <w:snapToGrid w:val="0"/>
              <w:ind w:right="-68"/>
              <w:jc w:val="center"/>
              <w:rPr>
                <w:rFonts w:eastAsia="Times New Roman"/>
                <w:b w:val="0"/>
                <w:sz w:val="21"/>
                <w:szCs w:val="21"/>
              </w:rPr>
            </w:pPr>
            <w:r w:rsidRPr="0051713B">
              <w:rPr>
                <w:b w:val="0"/>
                <w:sz w:val="21"/>
                <w:szCs w:val="21"/>
              </w:rPr>
              <w:t>153.19-MN1 przeznaczenie podstawowe: „zabudowa mieszkaniowa jednorodzinna” oraz przeznaczenie dopuszczalne: „istniejąca zabudowa mieszkaniowa wielorodzinna na dz. nr 851/1, drogi wewnętrzne, zieleń urządzona, infrastruktura techniczna”.</w:t>
            </w:r>
          </w:p>
        </w:tc>
      </w:tr>
      <w:tr w:rsidR="0051713B" w:rsidRPr="00803C7F" w:rsidTr="0051713B">
        <w:trPr>
          <w:trHeight w:val="362"/>
        </w:trPr>
        <w:tc>
          <w:tcPr>
            <w:tcW w:w="562" w:type="dxa"/>
            <w:tcBorders>
              <w:top w:val="single" w:sz="4" w:space="0" w:color="000000"/>
              <w:left w:val="single" w:sz="4" w:space="0" w:color="000000"/>
              <w:bottom w:val="single" w:sz="4" w:space="0" w:color="000000"/>
            </w:tcBorders>
          </w:tcPr>
          <w:p w:rsidR="0051713B" w:rsidRPr="003B1710" w:rsidRDefault="0051713B" w:rsidP="00465568">
            <w:pPr>
              <w:pStyle w:val="WW-Zawartotabeli11"/>
              <w:snapToGrid w:val="0"/>
              <w:rPr>
                <w:b w:val="0"/>
                <w:sz w:val="21"/>
                <w:szCs w:val="21"/>
              </w:rPr>
            </w:pPr>
            <w:r>
              <w:rPr>
                <w:b w:val="0"/>
                <w:sz w:val="21"/>
                <w:szCs w:val="21"/>
              </w:rPr>
              <w:t xml:space="preserve">4 </w:t>
            </w:r>
          </w:p>
        </w:tc>
        <w:tc>
          <w:tcPr>
            <w:tcW w:w="1701" w:type="dxa"/>
            <w:tcBorders>
              <w:top w:val="single" w:sz="4" w:space="0" w:color="000000"/>
              <w:left w:val="single" w:sz="4" w:space="0" w:color="000000"/>
              <w:bottom w:val="single" w:sz="4" w:space="0" w:color="000000"/>
            </w:tcBorders>
          </w:tcPr>
          <w:p w:rsidR="0051713B" w:rsidRPr="0051713B" w:rsidRDefault="0051713B" w:rsidP="0051713B">
            <w:pPr>
              <w:pStyle w:val="WW-Zawartotabeli11"/>
              <w:tabs>
                <w:tab w:val="center" w:pos="780"/>
              </w:tabs>
              <w:snapToGrid w:val="0"/>
              <w:spacing w:line="240" w:lineRule="auto"/>
              <w:rPr>
                <w:rFonts w:eastAsiaTheme="minorHAnsi"/>
                <w:b w:val="0"/>
                <w:sz w:val="21"/>
                <w:szCs w:val="21"/>
                <w:lang w:eastAsia="en-US" w:bidi="ar-SA"/>
              </w:rPr>
            </w:pPr>
            <w:r>
              <w:rPr>
                <w:rFonts w:eastAsiaTheme="minorHAnsi"/>
                <w:b w:val="0"/>
                <w:sz w:val="21"/>
                <w:szCs w:val="21"/>
                <w:lang w:eastAsia="en-US" w:bidi="ar-SA"/>
              </w:rPr>
              <w:t xml:space="preserve">Gen. J. </w:t>
            </w:r>
            <w:r w:rsidRPr="0051713B">
              <w:rPr>
                <w:rFonts w:eastAsiaTheme="minorHAnsi"/>
                <w:b w:val="0"/>
                <w:sz w:val="21"/>
                <w:szCs w:val="21"/>
                <w:lang w:eastAsia="en-US" w:bidi="ar-SA"/>
              </w:rPr>
              <w:t>Dwernickiego 3</w:t>
            </w:r>
          </w:p>
        </w:tc>
        <w:tc>
          <w:tcPr>
            <w:tcW w:w="3408" w:type="dxa"/>
            <w:tcBorders>
              <w:top w:val="single" w:sz="4" w:space="0" w:color="000000"/>
              <w:left w:val="single" w:sz="4" w:space="0" w:color="000000"/>
              <w:bottom w:val="single" w:sz="4" w:space="0" w:color="000000"/>
            </w:tcBorders>
          </w:tcPr>
          <w:p w:rsidR="0051713B" w:rsidRPr="00B110DE" w:rsidRDefault="0051713B" w:rsidP="0051713B">
            <w:pPr>
              <w:widowControl/>
              <w:suppressAutoHyphens w:val="0"/>
              <w:autoSpaceDE w:val="0"/>
              <w:autoSpaceDN w:val="0"/>
              <w:adjustRightInd w:val="0"/>
              <w:jc w:val="center"/>
              <w:rPr>
                <w:rFonts w:ascii="Times New Roman" w:eastAsiaTheme="minorHAnsi" w:hAnsi="Times New Roman" w:cs="Times New Roman"/>
                <w:sz w:val="21"/>
                <w:szCs w:val="21"/>
                <w:lang w:eastAsia="en-US" w:bidi="ar-SA"/>
              </w:rPr>
            </w:pPr>
            <w:r w:rsidRPr="00B110DE">
              <w:rPr>
                <w:rFonts w:ascii="Times New Roman" w:eastAsiaTheme="minorHAnsi" w:hAnsi="Times New Roman" w:cs="Times New Roman"/>
                <w:sz w:val="21"/>
                <w:szCs w:val="21"/>
                <w:lang w:eastAsia="en-US" w:bidi="ar-SA"/>
              </w:rPr>
              <w:t>852/5</w:t>
            </w:r>
          </w:p>
          <w:p w:rsidR="0051713B" w:rsidRPr="00B110DE" w:rsidRDefault="0051713B" w:rsidP="0051713B">
            <w:pPr>
              <w:pStyle w:val="WW-Zawartotabeli11"/>
              <w:snapToGrid w:val="0"/>
              <w:spacing w:line="240" w:lineRule="auto"/>
              <w:jc w:val="left"/>
              <w:rPr>
                <w:b w:val="0"/>
                <w:color w:val="000000"/>
                <w:sz w:val="21"/>
                <w:szCs w:val="21"/>
                <w:lang w:bidi="ar-SA"/>
              </w:rPr>
            </w:pPr>
            <w:r w:rsidRPr="00B110DE">
              <w:rPr>
                <w:b w:val="0"/>
                <w:color w:val="000000"/>
                <w:sz w:val="21"/>
                <w:szCs w:val="21"/>
                <w:lang w:bidi="ar-SA"/>
              </w:rPr>
              <w:t>użytek: RV – grunty orne</w:t>
            </w:r>
          </w:p>
          <w:p w:rsidR="0051713B" w:rsidRPr="00B110DE" w:rsidRDefault="0051713B" w:rsidP="0051713B">
            <w:pPr>
              <w:widowControl/>
              <w:suppressAutoHyphens w:val="0"/>
              <w:autoSpaceDE w:val="0"/>
              <w:autoSpaceDN w:val="0"/>
              <w:adjustRightInd w:val="0"/>
              <w:rPr>
                <w:rFonts w:ascii="Times New Roman" w:eastAsiaTheme="minorHAnsi" w:hAnsi="Times New Roman" w:cs="Times New Roman"/>
                <w:kern w:val="0"/>
                <w:sz w:val="21"/>
                <w:szCs w:val="21"/>
                <w:lang w:eastAsia="en-US" w:bidi="ar-SA"/>
              </w:rPr>
            </w:pPr>
            <w:r w:rsidRPr="00B110DE">
              <w:rPr>
                <w:rFonts w:ascii="Times New Roman" w:hAnsi="Times New Roman" w:cs="Times New Roman"/>
                <w:color w:val="000000"/>
                <w:sz w:val="21"/>
                <w:szCs w:val="21"/>
                <w:lang w:bidi="ar-SA"/>
              </w:rPr>
              <w:t>wraz z udziałem wynoszącym 1/5 części w działce 852/6 stanowiącej drogę dojazdową do ul. Dwernickiego</w:t>
            </w:r>
          </w:p>
          <w:p w:rsidR="0051713B" w:rsidRPr="00B110DE" w:rsidRDefault="0051713B" w:rsidP="003B1710">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rsidR="0051713B" w:rsidRPr="00B110DE" w:rsidRDefault="0051713B" w:rsidP="0051713B">
            <w:pPr>
              <w:widowControl/>
              <w:suppressAutoHyphens w:val="0"/>
              <w:autoSpaceDE w:val="0"/>
              <w:autoSpaceDN w:val="0"/>
              <w:adjustRightInd w:val="0"/>
              <w:jc w:val="center"/>
              <w:rPr>
                <w:rFonts w:ascii="Times New Roman" w:eastAsiaTheme="minorHAnsi" w:hAnsi="Times New Roman" w:cs="Times New Roman"/>
                <w:kern w:val="0"/>
                <w:sz w:val="21"/>
                <w:szCs w:val="21"/>
                <w:lang w:eastAsia="en-US" w:bidi="ar-SA"/>
              </w:rPr>
            </w:pPr>
            <w:r w:rsidRPr="00B110DE">
              <w:rPr>
                <w:rFonts w:ascii="Times New Roman" w:eastAsiaTheme="minorHAnsi" w:hAnsi="Times New Roman" w:cs="Times New Roman"/>
                <w:sz w:val="21"/>
                <w:szCs w:val="21"/>
                <w:lang w:eastAsia="en-US" w:bidi="ar-SA"/>
              </w:rPr>
              <w:t xml:space="preserve">0,1079 </w:t>
            </w:r>
          </w:p>
          <w:p w:rsidR="0051713B" w:rsidRPr="00B110DE" w:rsidRDefault="0051713B" w:rsidP="003B1710">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p>
        </w:tc>
        <w:tc>
          <w:tcPr>
            <w:tcW w:w="3987" w:type="dxa"/>
            <w:vMerge/>
            <w:tcBorders>
              <w:left w:val="single" w:sz="4" w:space="0" w:color="000000"/>
              <w:right w:val="single" w:sz="4" w:space="0" w:color="000000"/>
            </w:tcBorders>
          </w:tcPr>
          <w:p w:rsidR="0051713B" w:rsidRPr="0051713B" w:rsidRDefault="0051713B" w:rsidP="003B1710">
            <w:pPr>
              <w:pStyle w:val="Tekstpodstawowy31"/>
              <w:snapToGrid w:val="0"/>
              <w:ind w:right="-68"/>
              <w:jc w:val="center"/>
              <w:rPr>
                <w:b w:val="0"/>
                <w:sz w:val="21"/>
                <w:szCs w:val="21"/>
              </w:rPr>
            </w:pPr>
          </w:p>
        </w:tc>
      </w:tr>
      <w:tr w:rsidR="0051713B" w:rsidRPr="00803C7F" w:rsidTr="007A7FD1">
        <w:trPr>
          <w:trHeight w:val="362"/>
        </w:trPr>
        <w:tc>
          <w:tcPr>
            <w:tcW w:w="562" w:type="dxa"/>
            <w:tcBorders>
              <w:top w:val="single" w:sz="4" w:space="0" w:color="000000"/>
              <w:left w:val="single" w:sz="4" w:space="0" w:color="000000"/>
              <w:bottom w:val="single" w:sz="4" w:space="0" w:color="000000"/>
            </w:tcBorders>
          </w:tcPr>
          <w:p w:rsidR="0051713B" w:rsidRDefault="0051713B" w:rsidP="00465568">
            <w:pPr>
              <w:pStyle w:val="WW-Zawartotabeli11"/>
              <w:snapToGrid w:val="0"/>
              <w:rPr>
                <w:b w:val="0"/>
                <w:sz w:val="21"/>
                <w:szCs w:val="21"/>
              </w:rPr>
            </w:pPr>
            <w:r>
              <w:rPr>
                <w:b w:val="0"/>
                <w:sz w:val="21"/>
                <w:szCs w:val="21"/>
              </w:rPr>
              <w:t>5</w:t>
            </w:r>
          </w:p>
        </w:tc>
        <w:tc>
          <w:tcPr>
            <w:tcW w:w="1701" w:type="dxa"/>
            <w:tcBorders>
              <w:top w:val="single" w:sz="4" w:space="0" w:color="000000"/>
              <w:left w:val="single" w:sz="4" w:space="0" w:color="000000"/>
              <w:bottom w:val="single" w:sz="4" w:space="0" w:color="000000"/>
            </w:tcBorders>
          </w:tcPr>
          <w:p w:rsidR="0051713B" w:rsidRDefault="0051713B" w:rsidP="0051713B">
            <w:pPr>
              <w:pStyle w:val="WW-Zawartotabeli11"/>
              <w:tabs>
                <w:tab w:val="center" w:pos="780"/>
              </w:tabs>
              <w:snapToGrid w:val="0"/>
              <w:spacing w:line="240" w:lineRule="auto"/>
              <w:rPr>
                <w:rFonts w:eastAsiaTheme="minorHAnsi"/>
                <w:b w:val="0"/>
                <w:sz w:val="21"/>
                <w:szCs w:val="21"/>
                <w:lang w:eastAsia="en-US" w:bidi="ar-SA"/>
              </w:rPr>
            </w:pPr>
            <w:r>
              <w:rPr>
                <w:rFonts w:eastAsiaTheme="minorHAnsi"/>
                <w:b w:val="0"/>
                <w:sz w:val="21"/>
                <w:szCs w:val="21"/>
                <w:lang w:eastAsia="en-US" w:bidi="ar-SA"/>
              </w:rPr>
              <w:t xml:space="preserve">Droga dojazdowa </w:t>
            </w:r>
          </w:p>
        </w:tc>
        <w:tc>
          <w:tcPr>
            <w:tcW w:w="3408" w:type="dxa"/>
            <w:tcBorders>
              <w:top w:val="single" w:sz="4" w:space="0" w:color="000000"/>
              <w:left w:val="single" w:sz="4" w:space="0" w:color="000000"/>
              <w:bottom w:val="single" w:sz="4" w:space="0" w:color="000000"/>
            </w:tcBorders>
          </w:tcPr>
          <w:p w:rsidR="0051713B" w:rsidRDefault="0051713B" w:rsidP="0051713B">
            <w:pPr>
              <w:widowControl/>
              <w:suppressAutoHyphens w:val="0"/>
              <w:autoSpaceDE w:val="0"/>
              <w:autoSpaceDN w:val="0"/>
              <w:adjustRightInd w:val="0"/>
              <w:jc w:val="center"/>
              <w:rPr>
                <w:rFonts w:ascii="Times New Roman" w:eastAsia="Lucida Sans Unicode" w:hAnsi="Times New Roman" w:cs="Times New Roman"/>
                <w:color w:val="000000"/>
                <w:sz w:val="22"/>
                <w:szCs w:val="22"/>
                <w:lang w:bidi="ar-SA"/>
              </w:rPr>
            </w:pPr>
            <w:r>
              <w:rPr>
                <w:rFonts w:ascii="Times New Roman" w:eastAsia="Lucida Sans Unicode" w:hAnsi="Times New Roman" w:cs="Times New Roman"/>
                <w:color w:val="000000"/>
                <w:sz w:val="22"/>
                <w:szCs w:val="22"/>
                <w:lang w:bidi="ar-SA"/>
              </w:rPr>
              <w:t>852/6</w:t>
            </w:r>
          </w:p>
          <w:p w:rsidR="0051713B" w:rsidRPr="00B110DE" w:rsidRDefault="0051713B" w:rsidP="0051713B">
            <w:pPr>
              <w:widowControl/>
              <w:suppressAutoHyphens w:val="0"/>
              <w:autoSpaceDE w:val="0"/>
              <w:autoSpaceDN w:val="0"/>
              <w:adjustRightInd w:val="0"/>
              <w:jc w:val="center"/>
              <w:rPr>
                <w:rFonts w:ascii="Times New Roman" w:eastAsiaTheme="minorHAnsi" w:hAnsi="Times New Roman" w:cs="Times New Roman"/>
                <w:sz w:val="21"/>
                <w:szCs w:val="21"/>
                <w:lang w:eastAsia="en-US" w:bidi="ar-SA"/>
              </w:rPr>
            </w:pPr>
            <w:r>
              <w:rPr>
                <w:rFonts w:ascii="Times New Roman" w:eastAsia="Lucida Sans Unicode" w:hAnsi="Times New Roman" w:cs="Times New Roman"/>
                <w:color w:val="000000"/>
                <w:sz w:val="22"/>
                <w:szCs w:val="22"/>
                <w:lang w:bidi="ar-SA"/>
              </w:rPr>
              <w:t xml:space="preserve">użytek: </w:t>
            </w:r>
            <w:proofErr w:type="spellStart"/>
            <w:r>
              <w:rPr>
                <w:rFonts w:ascii="Times New Roman" w:eastAsia="Lucida Sans Unicode" w:hAnsi="Times New Roman" w:cs="Times New Roman"/>
                <w:color w:val="000000"/>
                <w:sz w:val="22"/>
                <w:szCs w:val="22"/>
                <w:lang w:bidi="ar-SA"/>
              </w:rPr>
              <w:t>Tp</w:t>
            </w:r>
            <w:proofErr w:type="spellEnd"/>
            <w:r>
              <w:rPr>
                <w:rFonts w:ascii="Times New Roman" w:eastAsia="Lucida Sans Unicode" w:hAnsi="Times New Roman" w:cs="Times New Roman"/>
                <w:color w:val="000000"/>
                <w:sz w:val="22"/>
                <w:szCs w:val="22"/>
                <w:lang w:bidi="ar-SA"/>
              </w:rPr>
              <w:t xml:space="preserve"> grunty pod budowę dróg publicznych lub linii kolejowych </w:t>
            </w:r>
          </w:p>
        </w:tc>
        <w:tc>
          <w:tcPr>
            <w:tcW w:w="992" w:type="dxa"/>
            <w:tcBorders>
              <w:top w:val="single" w:sz="4" w:space="0" w:color="000000"/>
              <w:left w:val="single" w:sz="4" w:space="0" w:color="000000"/>
              <w:bottom w:val="single" w:sz="4" w:space="0" w:color="000000"/>
              <w:right w:val="single" w:sz="4" w:space="0" w:color="000000"/>
            </w:tcBorders>
          </w:tcPr>
          <w:p w:rsidR="0051713B" w:rsidRPr="00B110DE" w:rsidRDefault="0051713B" w:rsidP="0051713B">
            <w:pPr>
              <w:widowControl/>
              <w:suppressAutoHyphens w:val="0"/>
              <w:autoSpaceDE w:val="0"/>
              <w:autoSpaceDN w:val="0"/>
              <w:adjustRightInd w:val="0"/>
              <w:jc w:val="center"/>
              <w:rPr>
                <w:rFonts w:ascii="Times New Roman" w:eastAsiaTheme="minorHAnsi" w:hAnsi="Times New Roman" w:cs="Times New Roman"/>
                <w:sz w:val="21"/>
                <w:szCs w:val="21"/>
                <w:lang w:eastAsia="en-US" w:bidi="ar-SA"/>
              </w:rPr>
            </w:pPr>
            <w:r>
              <w:rPr>
                <w:rFonts w:ascii="Times New Roman" w:eastAsia="Lucida Sans Unicode" w:hAnsi="Times New Roman" w:cs="Times New Roman"/>
                <w:color w:val="000000"/>
                <w:sz w:val="22"/>
                <w:szCs w:val="22"/>
                <w:lang w:bidi="ar-SA"/>
              </w:rPr>
              <w:t xml:space="preserve">0,0377 </w:t>
            </w:r>
          </w:p>
        </w:tc>
        <w:tc>
          <w:tcPr>
            <w:tcW w:w="3987" w:type="dxa"/>
            <w:tcBorders>
              <w:left w:val="single" w:sz="4" w:space="0" w:color="000000"/>
              <w:bottom w:val="single" w:sz="4" w:space="0" w:color="000000"/>
              <w:right w:val="single" w:sz="4" w:space="0" w:color="000000"/>
            </w:tcBorders>
          </w:tcPr>
          <w:p w:rsidR="0051713B" w:rsidRPr="0051713B" w:rsidRDefault="0051713B" w:rsidP="003B1710">
            <w:pPr>
              <w:pStyle w:val="Tekstpodstawowy31"/>
              <w:snapToGrid w:val="0"/>
              <w:ind w:right="-68"/>
              <w:jc w:val="center"/>
              <w:rPr>
                <w:b w:val="0"/>
                <w:sz w:val="21"/>
                <w:szCs w:val="21"/>
              </w:rPr>
            </w:pPr>
          </w:p>
        </w:tc>
      </w:tr>
    </w:tbl>
    <w:p w:rsidR="009E5E47" w:rsidRPr="005B347D" w:rsidRDefault="00B110DE" w:rsidP="00E82635">
      <w:pPr>
        <w:pStyle w:val="Akapitzlist"/>
        <w:spacing w:line="276" w:lineRule="auto"/>
        <w:ind w:left="0"/>
        <w:jc w:val="both"/>
        <w:rPr>
          <w:rFonts w:ascii="Times New Roman" w:eastAsia="Lucida Sans Unicode" w:hAnsi="Times New Roman" w:cs="Times New Roman"/>
          <w:color w:val="000000"/>
          <w:sz w:val="22"/>
          <w:szCs w:val="22"/>
        </w:rPr>
      </w:pPr>
      <w:r>
        <w:rPr>
          <w:rFonts w:ascii="Times New Roman" w:eastAsia="Lucida Sans Unicode" w:hAnsi="Times New Roman" w:cs="Times New Roman"/>
          <w:color w:val="000000"/>
          <w:sz w:val="21"/>
        </w:rPr>
        <w:tab/>
      </w:r>
    </w:p>
    <w:p w:rsidR="00E84026" w:rsidRDefault="009E5E47" w:rsidP="001608E0">
      <w:pPr>
        <w:pStyle w:val="Akapitzlist"/>
        <w:spacing w:line="360" w:lineRule="auto"/>
        <w:ind w:left="0"/>
        <w:jc w:val="both"/>
        <w:rPr>
          <w:rFonts w:ascii="Times New Roman" w:hAnsi="Times New Roman" w:cs="Times New Roman"/>
          <w:sz w:val="22"/>
          <w:szCs w:val="22"/>
        </w:rPr>
      </w:pPr>
      <w:r w:rsidRPr="005B347D">
        <w:rPr>
          <w:rFonts w:ascii="Times New Roman" w:eastAsia="Lucida Sans Unicode" w:hAnsi="Times New Roman" w:cs="Times New Roman"/>
          <w:color w:val="000000"/>
          <w:sz w:val="22"/>
          <w:szCs w:val="22"/>
        </w:rPr>
        <w:tab/>
      </w:r>
      <w:r w:rsidR="000C76E5" w:rsidRPr="00E84026">
        <w:rPr>
          <w:rFonts w:ascii="Times New Roman" w:eastAsia="Lucida Sans Unicode" w:hAnsi="Times New Roman" w:cs="Times New Roman"/>
          <w:color w:val="000000"/>
          <w:sz w:val="22"/>
          <w:szCs w:val="22"/>
        </w:rPr>
        <w:t>§ 4. Nieruchomo</w:t>
      </w:r>
      <w:r w:rsidR="00E82635" w:rsidRPr="00E84026">
        <w:rPr>
          <w:rFonts w:ascii="Times New Roman" w:eastAsia="Lucida Sans Unicode" w:hAnsi="Times New Roman" w:cs="Times New Roman"/>
          <w:color w:val="000000"/>
          <w:sz w:val="22"/>
          <w:szCs w:val="22"/>
        </w:rPr>
        <w:t>ści będące przedmiotem przetargów</w:t>
      </w:r>
      <w:r w:rsidR="000C76E5" w:rsidRPr="00E84026">
        <w:rPr>
          <w:rFonts w:ascii="Times New Roman" w:eastAsia="Lucida Sans Unicode" w:hAnsi="Times New Roman" w:cs="Times New Roman"/>
          <w:color w:val="000000"/>
          <w:sz w:val="22"/>
          <w:szCs w:val="22"/>
        </w:rPr>
        <w:t xml:space="preserve"> położone są w </w:t>
      </w:r>
      <w:r w:rsidR="0051713B" w:rsidRPr="00E84026">
        <w:rPr>
          <w:rFonts w:ascii="Times New Roman" w:hAnsi="Times New Roman" w:cs="Times New Roman"/>
          <w:sz w:val="22"/>
          <w:szCs w:val="22"/>
        </w:rPr>
        <w:t xml:space="preserve">lewobrzeżnej części Torunia, na Osiedlu </w:t>
      </w:r>
      <w:proofErr w:type="spellStart"/>
      <w:r w:rsidR="0051713B" w:rsidRPr="00E84026">
        <w:rPr>
          <w:rFonts w:ascii="Times New Roman" w:hAnsi="Times New Roman" w:cs="Times New Roman"/>
          <w:sz w:val="22"/>
          <w:szCs w:val="22"/>
        </w:rPr>
        <w:t>Rudak</w:t>
      </w:r>
      <w:proofErr w:type="spellEnd"/>
      <w:r w:rsidR="0051713B" w:rsidRPr="00E84026">
        <w:rPr>
          <w:rFonts w:ascii="Times New Roman" w:hAnsi="Times New Roman" w:cs="Times New Roman"/>
          <w:sz w:val="22"/>
          <w:szCs w:val="22"/>
        </w:rPr>
        <w:t xml:space="preserve">, w sąsiedztwie Fortu XV Twierdzy Toruń im. gen. Henryka Dąbrowskiego. W obszarze nieruchomości znajduje się zabudowa mieszkaniowa jednorodzinna. </w:t>
      </w:r>
      <w:r w:rsidR="00E82635" w:rsidRPr="00E84026">
        <w:rPr>
          <w:rFonts w:ascii="Times New Roman" w:hAnsi="Times New Roman" w:cs="Times New Roman"/>
          <w:sz w:val="22"/>
          <w:szCs w:val="22"/>
        </w:rPr>
        <w:t xml:space="preserve">Miejscowy plan przewiduje zabudowę jednorodzinną w formie wolno stojącej, z zastrzeżeniem, że na działkach przylegających do ul. Podgórskiej możliwa jest zabudowa bliźniacza. </w:t>
      </w:r>
    </w:p>
    <w:p w:rsidR="00E82635" w:rsidRPr="00E84026" w:rsidRDefault="00E84026" w:rsidP="001608E0">
      <w:pPr>
        <w:pStyle w:val="Akapitzlist"/>
        <w:spacing w:line="360" w:lineRule="auto"/>
        <w:ind w:left="0"/>
        <w:jc w:val="both"/>
        <w:rPr>
          <w:rFonts w:ascii="Times New Roman" w:hAnsi="Times New Roman" w:cs="Times New Roman"/>
          <w:sz w:val="22"/>
          <w:szCs w:val="22"/>
        </w:rPr>
      </w:pPr>
      <w:r>
        <w:rPr>
          <w:rFonts w:ascii="Times New Roman" w:hAnsi="Times New Roman" w:cs="Times New Roman"/>
          <w:sz w:val="22"/>
          <w:szCs w:val="22"/>
        </w:rPr>
        <w:tab/>
      </w:r>
      <w:r w:rsidRPr="00E84026">
        <w:rPr>
          <w:rFonts w:ascii="Times New Roman" w:eastAsia="Lucida Sans Unicode" w:hAnsi="Times New Roman" w:cs="Times New Roman"/>
          <w:color w:val="000000"/>
          <w:sz w:val="22"/>
          <w:szCs w:val="22"/>
        </w:rPr>
        <w:t>§</w:t>
      </w:r>
      <w:r>
        <w:rPr>
          <w:rFonts w:ascii="Times New Roman" w:eastAsia="Lucida Sans Unicode" w:hAnsi="Times New Roman" w:cs="Times New Roman"/>
          <w:color w:val="000000"/>
          <w:sz w:val="22"/>
          <w:szCs w:val="22"/>
        </w:rPr>
        <w:t xml:space="preserve"> 5.1 </w:t>
      </w:r>
      <w:r w:rsidR="00B110DE" w:rsidRPr="00E84026">
        <w:rPr>
          <w:rFonts w:ascii="Times New Roman" w:eastAsia="Times New Roman" w:hAnsi="Times New Roman" w:cs="Times New Roman"/>
          <w:sz w:val="22"/>
          <w:szCs w:val="22"/>
        </w:rPr>
        <w:t>N</w:t>
      </w:r>
      <w:r w:rsidR="00E82635" w:rsidRPr="00E84026">
        <w:rPr>
          <w:rFonts w:ascii="Times New Roman" w:hAnsi="Times New Roman" w:cs="Times New Roman"/>
          <w:sz w:val="22"/>
          <w:szCs w:val="22"/>
        </w:rPr>
        <w:t xml:space="preserve">ieruchomości są niezabudowane i niezagospodarowane. Teren działek jest zróżnicowany ze względu na kształt i wielkość. Na nieruchomościach znajduje się drzewostan o różnym natężeniu, co do którego w planie </w:t>
      </w:r>
      <w:r w:rsidR="00B110DE" w:rsidRPr="00E84026">
        <w:rPr>
          <w:rFonts w:ascii="Times New Roman" w:hAnsi="Times New Roman" w:cs="Times New Roman"/>
          <w:sz w:val="22"/>
          <w:szCs w:val="22"/>
        </w:rPr>
        <w:t xml:space="preserve">miejscowym </w:t>
      </w:r>
      <w:r w:rsidR="00E82635" w:rsidRPr="00E84026">
        <w:rPr>
          <w:rFonts w:ascii="Times New Roman" w:hAnsi="Times New Roman" w:cs="Times New Roman"/>
          <w:sz w:val="22"/>
          <w:szCs w:val="22"/>
        </w:rPr>
        <w:t xml:space="preserve">wprowadzono nakaz ochrony, rozumiany jako zachowanie i wkomponowanie istniejącego zadrzewienia w zagospodarowanie terenu, przy czym dopuszcza się wycinkę zgodnie z przepisami odrębnymi. </w:t>
      </w:r>
    </w:p>
    <w:p w:rsidR="00E82635" w:rsidRPr="00E84026" w:rsidRDefault="00B110DE" w:rsidP="001608E0">
      <w:pPr>
        <w:pStyle w:val="Akapitzlist"/>
        <w:spacing w:line="360" w:lineRule="auto"/>
        <w:ind w:left="0"/>
        <w:jc w:val="both"/>
        <w:rPr>
          <w:rFonts w:ascii="Times New Roman" w:hAnsi="Times New Roman" w:cs="Times New Roman"/>
          <w:sz w:val="22"/>
          <w:szCs w:val="22"/>
        </w:rPr>
      </w:pPr>
      <w:r w:rsidRPr="00E84026">
        <w:rPr>
          <w:rFonts w:ascii="Times New Roman" w:hAnsi="Times New Roman" w:cs="Times New Roman"/>
          <w:sz w:val="22"/>
          <w:szCs w:val="22"/>
        </w:rPr>
        <w:tab/>
      </w:r>
      <w:r w:rsidR="00E82635" w:rsidRPr="00E84026">
        <w:rPr>
          <w:rFonts w:ascii="Times New Roman" w:hAnsi="Times New Roman" w:cs="Times New Roman"/>
          <w:sz w:val="22"/>
          <w:szCs w:val="22"/>
        </w:rPr>
        <w:t xml:space="preserve">2. Omawiany obszar znajduje się w strefie IV ochrony konserwatorskiej krajobrazu kulturowego elementów zewnętrznego pierścienia fortyfikacji Twierdzy Toruń, w której przedmiotem ochrony są obiekty o wartościach historyczno-kulturowych, nie będące przedmiotem sprzedaży. </w:t>
      </w:r>
    </w:p>
    <w:p w:rsidR="00E45773" w:rsidRPr="00E84026" w:rsidRDefault="005C4429" w:rsidP="001608E0">
      <w:pPr>
        <w:pStyle w:val="Akapitzlist"/>
        <w:spacing w:line="360" w:lineRule="auto"/>
        <w:ind w:left="0"/>
        <w:jc w:val="both"/>
        <w:rPr>
          <w:rFonts w:ascii="Times New Roman" w:eastAsia="Times New Roman" w:hAnsi="Times New Roman" w:cs="Times New Roman"/>
          <w:color w:val="000000"/>
          <w:sz w:val="22"/>
          <w:szCs w:val="22"/>
        </w:rPr>
      </w:pPr>
      <w:r w:rsidRPr="00E84026">
        <w:rPr>
          <w:rFonts w:ascii="Times New Roman" w:hAnsi="Times New Roman" w:cs="Times New Roman"/>
          <w:sz w:val="22"/>
          <w:szCs w:val="22"/>
        </w:rPr>
        <w:tab/>
      </w:r>
      <w:r w:rsidR="00E82635" w:rsidRPr="00E84026">
        <w:rPr>
          <w:rFonts w:ascii="Times New Roman" w:hAnsi="Times New Roman" w:cs="Times New Roman"/>
          <w:sz w:val="22"/>
          <w:szCs w:val="22"/>
        </w:rPr>
        <w:t>3</w:t>
      </w:r>
      <w:r w:rsidRPr="00E84026">
        <w:rPr>
          <w:rFonts w:ascii="Times New Roman" w:hAnsi="Times New Roman" w:cs="Times New Roman"/>
          <w:sz w:val="22"/>
          <w:szCs w:val="22"/>
        </w:rPr>
        <w:t xml:space="preserve">. </w:t>
      </w:r>
      <w:r w:rsidR="00E45773" w:rsidRPr="00E84026">
        <w:rPr>
          <w:rFonts w:ascii="Times New Roman" w:eastAsia="Times New Roman" w:hAnsi="Times New Roman" w:cs="Times New Roman"/>
          <w:color w:val="000000"/>
          <w:sz w:val="22"/>
          <w:szCs w:val="22"/>
        </w:rPr>
        <w:t>Szczegółowe ustalenia planu zawarte są w treści powołanej uchwały Rady Miasta Torunia.</w:t>
      </w:r>
      <w:r w:rsidRPr="00E84026">
        <w:rPr>
          <w:rFonts w:ascii="Times New Roman" w:eastAsia="Times New Roman" w:hAnsi="Times New Roman" w:cs="Times New Roman"/>
          <w:color w:val="000000"/>
          <w:sz w:val="22"/>
          <w:szCs w:val="22"/>
        </w:rPr>
        <w:t xml:space="preserve"> </w:t>
      </w:r>
      <w:r w:rsidR="00E45773" w:rsidRPr="00E84026">
        <w:rPr>
          <w:rFonts w:ascii="Times New Roman" w:eastAsia="Times New Roman" w:hAnsi="Times New Roman" w:cs="Times New Roman"/>
          <w:color w:val="000000"/>
          <w:sz w:val="22"/>
          <w:szCs w:val="22"/>
        </w:rPr>
        <w:t>Przed przystąpieniem do przetargu jego uczestnik powinie</w:t>
      </w:r>
      <w:r w:rsidRPr="00E84026">
        <w:rPr>
          <w:rFonts w:ascii="Times New Roman" w:eastAsia="Times New Roman" w:hAnsi="Times New Roman" w:cs="Times New Roman"/>
          <w:color w:val="000000"/>
          <w:sz w:val="22"/>
          <w:szCs w:val="22"/>
        </w:rPr>
        <w:t>n we własnym zakresie i na własną</w:t>
      </w:r>
      <w:r w:rsidR="00E45773" w:rsidRPr="00E84026">
        <w:rPr>
          <w:rFonts w:ascii="Times New Roman" w:eastAsia="Times New Roman" w:hAnsi="Times New Roman" w:cs="Times New Roman"/>
          <w:color w:val="000000"/>
          <w:sz w:val="22"/>
          <w:szCs w:val="22"/>
        </w:rPr>
        <w:t xml:space="preserve"> odpowiedzialność zapoznać się ze stanem prawnym i faktycznym przedmiotu przetargu i ustalić możliwość realizacji na nieruchomości planowanych przedsięwzięć oraz ich zgodność z przepisami odrębnymi.</w:t>
      </w:r>
    </w:p>
    <w:p w:rsidR="00E84026" w:rsidRPr="00E84026" w:rsidRDefault="00E82635" w:rsidP="001608E0">
      <w:pPr>
        <w:pStyle w:val="Akapitzlist"/>
        <w:spacing w:line="360" w:lineRule="auto"/>
        <w:ind w:left="0"/>
        <w:jc w:val="both"/>
        <w:rPr>
          <w:rFonts w:ascii="Times New Roman" w:hAnsi="Times New Roman" w:cs="Times New Roman"/>
          <w:sz w:val="22"/>
          <w:szCs w:val="22"/>
        </w:rPr>
      </w:pPr>
      <w:r w:rsidRPr="00E84026">
        <w:rPr>
          <w:rFonts w:ascii="Times New Roman" w:eastAsia="Times New Roman" w:hAnsi="Times New Roman" w:cs="Times New Roman"/>
          <w:color w:val="000000"/>
          <w:sz w:val="22"/>
          <w:szCs w:val="22"/>
        </w:rPr>
        <w:tab/>
      </w:r>
      <w:r w:rsidR="00E45773" w:rsidRPr="00E84026">
        <w:rPr>
          <w:rFonts w:ascii="Times New Roman" w:eastAsia="Times New Roman" w:hAnsi="Times New Roman" w:cs="Times New Roman"/>
          <w:color w:val="000000"/>
          <w:sz w:val="22"/>
          <w:szCs w:val="22"/>
        </w:rPr>
        <w:t>4</w:t>
      </w:r>
      <w:r w:rsidRPr="00E84026">
        <w:rPr>
          <w:rFonts w:ascii="Times New Roman" w:eastAsia="Times New Roman" w:hAnsi="Times New Roman" w:cs="Times New Roman"/>
          <w:color w:val="000000"/>
          <w:sz w:val="22"/>
          <w:szCs w:val="22"/>
        </w:rPr>
        <w:t>.</w:t>
      </w:r>
      <w:r w:rsidR="00E84026" w:rsidRPr="00E84026">
        <w:rPr>
          <w:rFonts w:ascii="Times New Roman" w:hAnsi="Times New Roman" w:cs="Times New Roman"/>
          <w:sz w:val="22"/>
          <w:szCs w:val="22"/>
        </w:rPr>
        <w:t xml:space="preserve"> Obsługa komunikacyjna nieruchomości następować będzie zgodnie z przepisami odrębnymi z przyległych dróg publicznych (bezpośrednio -</w:t>
      </w:r>
      <w:r w:rsidR="005D6E83">
        <w:rPr>
          <w:rFonts w:ascii="Times New Roman" w:hAnsi="Times New Roman" w:cs="Times New Roman"/>
          <w:sz w:val="22"/>
          <w:szCs w:val="22"/>
        </w:rPr>
        <w:t xml:space="preserve"> z</w:t>
      </w:r>
      <w:r w:rsidR="00E84026" w:rsidRPr="00E84026">
        <w:rPr>
          <w:rFonts w:ascii="Times New Roman" w:hAnsi="Times New Roman" w:cs="Times New Roman"/>
          <w:sz w:val="22"/>
          <w:szCs w:val="22"/>
        </w:rPr>
        <w:t xml:space="preserve"> </w:t>
      </w:r>
      <w:r w:rsidR="005D6E83">
        <w:rPr>
          <w:rFonts w:ascii="Times New Roman" w:hAnsi="Times New Roman" w:cs="Times New Roman"/>
          <w:sz w:val="22"/>
          <w:szCs w:val="22"/>
        </w:rPr>
        <w:t>ul. Podgórskiej</w:t>
      </w:r>
      <w:r w:rsidR="00E84026" w:rsidRPr="00E84026">
        <w:rPr>
          <w:rFonts w:ascii="Times New Roman" w:hAnsi="Times New Roman" w:cs="Times New Roman"/>
          <w:sz w:val="22"/>
          <w:szCs w:val="22"/>
        </w:rPr>
        <w:t xml:space="preserve">), bądź poprzez drogę wewnętrzną, stanowiącą działkę nr 852/6, która sprzedawana jest w udziałach po 1/5 części każdy. Według stanowiska Miejskiego Zarządu Dróg w Toruniu obsługa komunikacyjna działki nr 852/5 powinna odbywać się poprzez drogę wewnętrzną (dz. nr 852/6), która winna być urządzona staraniem i na koszt przyszłych nabywców nieruchomości obsługiwanych przez tę drogę. Obecnie droga jest nieurządzona, intensywnie zadrzewiona i zakrzaczona. </w:t>
      </w:r>
    </w:p>
    <w:p w:rsidR="00E84026" w:rsidRPr="00E84026" w:rsidRDefault="00E84026" w:rsidP="001608E0">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ab/>
      </w:r>
      <w:r w:rsidR="001861D3" w:rsidRPr="00E84026">
        <w:rPr>
          <w:rFonts w:ascii="Times New Roman" w:hAnsi="Times New Roman" w:cs="Times New Roman"/>
          <w:sz w:val="22"/>
          <w:szCs w:val="22"/>
        </w:rPr>
        <w:t xml:space="preserve">5. </w:t>
      </w:r>
      <w:r w:rsidRPr="00E84026">
        <w:rPr>
          <w:rFonts w:ascii="Times New Roman" w:hAnsi="Times New Roman" w:cs="Times New Roman"/>
          <w:sz w:val="22"/>
          <w:szCs w:val="22"/>
        </w:rPr>
        <w:t>Nieruchomości są nieuzbrojone</w:t>
      </w:r>
      <w:r w:rsidRPr="00E84026">
        <w:rPr>
          <w:rFonts w:ascii="Times New Roman" w:eastAsia="Times New Roman" w:hAnsi="Times New Roman" w:cs="Times New Roman"/>
          <w:color w:val="000000"/>
          <w:sz w:val="22"/>
          <w:szCs w:val="22"/>
        </w:rPr>
        <w:t xml:space="preserve">. </w:t>
      </w:r>
      <w:r w:rsidRPr="00E84026">
        <w:rPr>
          <w:rFonts w:ascii="Times New Roman" w:hAnsi="Times New Roman" w:cs="Times New Roman"/>
          <w:sz w:val="22"/>
          <w:szCs w:val="22"/>
        </w:rPr>
        <w:t xml:space="preserve">Sieci elektroenergetyczna, wodociągowa, kanalizacyjna, gazowa i teletechniczna znajdują się w ul. Podgórskiej oraz ul. Gen. J. Dwernickiego. Wzdłuż granicy północno-zachodniej dz. nr 849/5, nr 852/1 i nr 852/2 przebiega sieć elektroenergetyczna, a przez dz. nr 852/2 nadto sieć teletechniczna i fragment sieci wodociągowej. Przez część gruntów przebiega napowietrzna linia energetyczna ze słupem. Wszelkie zamierzenia inwestycyjne bądź zabudowa terenu wymagają uzgodnienia przez inwestora z gestorami sieci w zakresie  możliwości i warunków zaopatrzenia w media, sposobu zagospodarowania gruntu zajętego przez sieci lub urządzenia i w razie konieczności dyslokacji ich na koszt inwestora.       </w:t>
      </w:r>
    </w:p>
    <w:p w:rsidR="00E84026" w:rsidRPr="00E84026" w:rsidRDefault="00E84026" w:rsidP="001608E0">
      <w:pPr>
        <w:spacing w:line="360" w:lineRule="auto"/>
        <w:jc w:val="both"/>
        <w:rPr>
          <w:rFonts w:ascii="Times New Roman" w:hAnsi="Times New Roman" w:cs="Times New Roman"/>
          <w:sz w:val="22"/>
          <w:szCs w:val="22"/>
        </w:rPr>
      </w:pPr>
      <w:r>
        <w:rPr>
          <w:rFonts w:ascii="Times New Roman" w:hAnsi="Times New Roman" w:cs="Times New Roman"/>
          <w:sz w:val="22"/>
          <w:szCs w:val="22"/>
        </w:rPr>
        <w:tab/>
      </w:r>
      <w:r w:rsidRPr="00E84026">
        <w:rPr>
          <w:rFonts w:ascii="Times New Roman" w:hAnsi="Times New Roman" w:cs="Times New Roman"/>
          <w:sz w:val="22"/>
          <w:szCs w:val="22"/>
        </w:rPr>
        <w:t>6. Na nieruchomościach znajdują się pozostałości po poprzednich użytkownikach (fragmenty ogrodzenia, częściowe utwardzenie, stary fundament). Nie wyklucza się istnienia innych przyłączeń bądź urządzeń nie ujawnionych na mapie.</w:t>
      </w:r>
    </w:p>
    <w:p w:rsidR="00E84026" w:rsidRPr="00E84026" w:rsidRDefault="00E84026" w:rsidP="001608E0">
      <w:pPr>
        <w:spacing w:line="360" w:lineRule="auto"/>
        <w:jc w:val="both"/>
        <w:rPr>
          <w:rFonts w:ascii="Times New Roman" w:hAnsi="Times New Roman" w:cs="Times New Roman"/>
          <w:sz w:val="22"/>
          <w:szCs w:val="22"/>
        </w:rPr>
      </w:pPr>
      <w:r>
        <w:rPr>
          <w:rFonts w:ascii="Times New Roman" w:eastAsia="Times New Roman" w:hAnsi="Times New Roman" w:cs="Times New Roman"/>
          <w:color w:val="000000"/>
          <w:sz w:val="22"/>
          <w:szCs w:val="22"/>
        </w:rPr>
        <w:tab/>
      </w:r>
      <w:r w:rsidRPr="00E84026">
        <w:rPr>
          <w:rFonts w:ascii="Times New Roman" w:eastAsia="Times New Roman" w:hAnsi="Times New Roman" w:cs="Times New Roman"/>
          <w:color w:val="000000"/>
          <w:sz w:val="22"/>
          <w:szCs w:val="22"/>
        </w:rPr>
        <w:t xml:space="preserve">7. </w:t>
      </w:r>
      <w:r w:rsidR="00E45773" w:rsidRPr="00E84026">
        <w:rPr>
          <w:rFonts w:ascii="Times New Roman" w:eastAsia="Times New Roman" w:hAnsi="Times New Roman" w:cs="Times New Roman"/>
          <w:color w:val="000000"/>
          <w:sz w:val="22"/>
          <w:szCs w:val="22"/>
        </w:rPr>
        <w:t>Nabywca nieruchomości w akcie notarialnym zostanie zobowiązany do każdoczesnego nieodpłatnego udostępnienia nabywanego gruntu właścicielowi infrastruktury w celu dokonywania prac konserwatorskich lub usunięcia ewentualnych awarii oraz przyłączania nowych inwestycji do już istniejących sieci.</w:t>
      </w:r>
      <w:r w:rsidRPr="00E84026">
        <w:rPr>
          <w:rFonts w:ascii="Times New Roman" w:hAnsi="Times New Roman" w:cs="Times New Roman"/>
          <w:sz w:val="22"/>
          <w:szCs w:val="22"/>
        </w:rPr>
        <w:t xml:space="preserve">. </w:t>
      </w:r>
    </w:p>
    <w:p w:rsidR="001861D3" w:rsidRPr="00E84026" w:rsidRDefault="00E84026" w:rsidP="001608E0">
      <w:pPr>
        <w:spacing w:line="360" w:lineRule="auto"/>
        <w:jc w:val="both"/>
        <w:rPr>
          <w:rFonts w:ascii="Times New Roman" w:hAnsi="Times New Roman" w:cs="Times New Roman"/>
          <w:sz w:val="22"/>
          <w:szCs w:val="22"/>
        </w:rPr>
      </w:pPr>
      <w:r>
        <w:rPr>
          <w:rFonts w:ascii="Times New Roman" w:eastAsia="Times New Roman" w:hAnsi="Times New Roman" w:cs="Times New Roman"/>
          <w:color w:val="000000"/>
          <w:sz w:val="22"/>
          <w:szCs w:val="22"/>
        </w:rPr>
        <w:tab/>
        <w:t>8</w:t>
      </w:r>
      <w:r w:rsidR="00E45773" w:rsidRPr="00E84026">
        <w:rPr>
          <w:rFonts w:ascii="Times New Roman" w:eastAsia="Times New Roman" w:hAnsi="Times New Roman" w:cs="Times New Roman"/>
          <w:color w:val="000000"/>
          <w:sz w:val="22"/>
          <w:szCs w:val="22"/>
        </w:rPr>
        <w:t xml:space="preserve">. Na obszarze nieruchomości, w wyniku </w:t>
      </w:r>
      <w:r w:rsidR="00E45773" w:rsidRPr="00E84026">
        <w:rPr>
          <w:rFonts w:ascii="Times New Roman" w:eastAsia="Lucida Sans Unicode" w:hAnsi="Times New Roman" w:cs="Times New Roman"/>
          <w:color w:val="000000"/>
          <w:sz w:val="22"/>
          <w:szCs w:val="22"/>
        </w:rPr>
        <w:t xml:space="preserve">funkcjonowania terenu jako ogólnodostępnego dla osób trzecich, mogą wystąpić dzikie wysypiska śmieci. </w:t>
      </w:r>
    </w:p>
    <w:p w:rsidR="0047136E" w:rsidRPr="00E84026" w:rsidRDefault="00E45773" w:rsidP="001608E0">
      <w:pPr>
        <w:spacing w:line="360" w:lineRule="auto"/>
        <w:ind w:firstLine="708"/>
        <w:jc w:val="both"/>
        <w:rPr>
          <w:rFonts w:ascii="Times New Roman" w:hAnsi="Times New Roman" w:cs="Times New Roman"/>
          <w:sz w:val="22"/>
          <w:szCs w:val="22"/>
        </w:rPr>
      </w:pPr>
      <w:r w:rsidRPr="00E84026">
        <w:rPr>
          <w:rFonts w:ascii="Times New Roman" w:hAnsi="Times New Roman" w:cs="Times New Roman"/>
          <w:sz w:val="22"/>
          <w:szCs w:val="22"/>
        </w:rPr>
        <w:t xml:space="preserve">§ 6. Ustala się </w:t>
      </w:r>
      <w:r w:rsidR="001861D3" w:rsidRPr="00E84026">
        <w:rPr>
          <w:rFonts w:ascii="Times New Roman" w:hAnsi="Times New Roman" w:cs="Times New Roman"/>
          <w:sz w:val="22"/>
          <w:szCs w:val="22"/>
        </w:rPr>
        <w:t xml:space="preserve">następujące warunki </w:t>
      </w:r>
      <w:r w:rsidR="00D346E2" w:rsidRPr="00E84026">
        <w:rPr>
          <w:rFonts w:ascii="Times New Roman" w:hAnsi="Times New Roman" w:cs="Times New Roman"/>
          <w:sz w:val="22"/>
          <w:szCs w:val="22"/>
        </w:rPr>
        <w:t xml:space="preserve">i kolejność </w:t>
      </w:r>
      <w:r w:rsidR="001861D3" w:rsidRPr="00E84026">
        <w:rPr>
          <w:rFonts w:ascii="Times New Roman" w:hAnsi="Times New Roman" w:cs="Times New Roman"/>
          <w:sz w:val="22"/>
          <w:szCs w:val="22"/>
        </w:rPr>
        <w:t>przetargów</w:t>
      </w:r>
      <w:r w:rsidRPr="00E84026">
        <w:rPr>
          <w:rFonts w:ascii="Times New Roman" w:hAnsi="Times New Roman" w:cs="Times New Roman"/>
          <w:sz w:val="22"/>
          <w:szCs w:val="22"/>
        </w:rPr>
        <w:t>:</w:t>
      </w:r>
    </w:p>
    <w:tbl>
      <w:tblPr>
        <w:tblpPr w:leftFromText="141" w:rightFromText="141" w:vertAnchor="text" w:horzAnchor="margin" w:tblpXSpec="center" w:tblpY="74"/>
        <w:tblW w:w="9209" w:type="dxa"/>
        <w:tblLayout w:type="fixed"/>
        <w:tblCellMar>
          <w:left w:w="70" w:type="dxa"/>
          <w:right w:w="70" w:type="dxa"/>
        </w:tblCellMar>
        <w:tblLook w:val="0000" w:firstRow="0" w:lastRow="0" w:firstColumn="0" w:lastColumn="0" w:noHBand="0" w:noVBand="0"/>
      </w:tblPr>
      <w:tblGrid>
        <w:gridCol w:w="494"/>
        <w:gridCol w:w="1911"/>
        <w:gridCol w:w="1843"/>
        <w:gridCol w:w="3402"/>
        <w:gridCol w:w="1559"/>
      </w:tblGrid>
      <w:tr w:rsidR="00E82635" w:rsidRPr="00803C7F" w:rsidTr="00FF6EBC">
        <w:trPr>
          <w:trHeight w:val="699"/>
        </w:trPr>
        <w:tc>
          <w:tcPr>
            <w:tcW w:w="494" w:type="dxa"/>
            <w:tcBorders>
              <w:top w:val="single" w:sz="4" w:space="0" w:color="000000"/>
              <w:left w:val="single" w:sz="4" w:space="0" w:color="000000"/>
              <w:bottom w:val="single" w:sz="4" w:space="0" w:color="000000"/>
            </w:tcBorders>
          </w:tcPr>
          <w:p w:rsidR="00E82635" w:rsidRPr="00803C7F" w:rsidRDefault="00B94B8A" w:rsidP="00B94B8A">
            <w:pPr>
              <w:pStyle w:val="WW-Zawartotabeli11"/>
              <w:snapToGrid w:val="0"/>
              <w:spacing w:before="120"/>
              <w:rPr>
                <w:sz w:val="21"/>
                <w:szCs w:val="21"/>
              </w:rPr>
            </w:pPr>
            <w:proofErr w:type="spellStart"/>
            <w:r>
              <w:rPr>
                <w:sz w:val="21"/>
                <w:szCs w:val="21"/>
              </w:rPr>
              <w:t>Lp</w:t>
            </w:r>
            <w:proofErr w:type="spellEnd"/>
          </w:p>
        </w:tc>
        <w:tc>
          <w:tcPr>
            <w:tcW w:w="1911" w:type="dxa"/>
            <w:tcBorders>
              <w:top w:val="single" w:sz="4" w:space="0" w:color="000000"/>
              <w:left w:val="single" w:sz="4" w:space="0" w:color="000000"/>
              <w:bottom w:val="single" w:sz="4" w:space="0" w:color="000000"/>
            </w:tcBorders>
          </w:tcPr>
          <w:p w:rsidR="00B94B8A" w:rsidRDefault="00B94B8A" w:rsidP="00B94B8A">
            <w:pPr>
              <w:pStyle w:val="WW-Zawartotabeli11"/>
              <w:snapToGrid w:val="0"/>
              <w:spacing w:line="240" w:lineRule="auto"/>
              <w:rPr>
                <w:sz w:val="21"/>
                <w:szCs w:val="21"/>
              </w:rPr>
            </w:pPr>
          </w:p>
          <w:p w:rsidR="00E82635" w:rsidRPr="00803C7F" w:rsidRDefault="00E82635" w:rsidP="00B94B8A">
            <w:pPr>
              <w:pStyle w:val="WW-Zawartotabeli11"/>
              <w:snapToGrid w:val="0"/>
              <w:spacing w:line="240" w:lineRule="auto"/>
              <w:rPr>
                <w:sz w:val="21"/>
                <w:szCs w:val="21"/>
              </w:rPr>
            </w:pPr>
            <w:r w:rsidRPr="00803C7F">
              <w:rPr>
                <w:sz w:val="21"/>
                <w:szCs w:val="21"/>
              </w:rPr>
              <w:t>Położenie</w:t>
            </w:r>
          </w:p>
          <w:p w:rsidR="00E82635" w:rsidRPr="00803C7F" w:rsidRDefault="00E82635" w:rsidP="00B94B8A">
            <w:pPr>
              <w:pStyle w:val="WW-Zawartotabeli11"/>
              <w:spacing w:line="240" w:lineRule="auto"/>
              <w:rPr>
                <w:sz w:val="21"/>
                <w:szCs w:val="21"/>
              </w:rPr>
            </w:pPr>
          </w:p>
        </w:tc>
        <w:tc>
          <w:tcPr>
            <w:tcW w:w="1843" w:type="dxa"/>
            <w:tcBorders>
              <w:top w:val="single" w:sz="4" w:space="0" w:color="000000"/>
              <w:left w:val="single" w:sz="4" w:space="0" w:color="000000"/>
              <w:bottom w:val="single" w:sz="4" w:space="0" w:color="000000"/>
            </w:tcBorders>
          </w:tcPr>
          <w:p w:rsidR="00B94B8A" w:rsidRDefault="00B94B8A" w:rsidP="00B94B8A">
            <w:pPr>
              <w:pStyle w:val="WW-Zawartotabeli11"/>
              <w:snapToGrid w:val="0"/>
              <w:spacing w:line="240" w:lineRule="auto"/>
              <w:rPr>
                <w:sz w:val="21"/>
                <w:szCs w:val="21"/>
              </w:rPr>
            </w:pPr>
          </w:p>
          <w:p w:rsidR="00E82635" w:rsidRPr="00803C7F" w:rsidRDefault="00E82635" w:rsidP="00B94B8A">
            <w:pPr>
              <w:pStyle w:val="WW-Zawartotabeli11"/>
              <w:snapToGrid w:val="0"/>
              <w:spacing w:line="240" w:lineRule="auto"/>
              <w:rPr>
                <w:sz w:val="21"/>
                <w:szCs w:val="21"/>
              </w:rPr>
            </w:pPr>
            <w:r w:rsidRPr="00803C7F">
              <w:rPr>
                <w:sz w:val="21"/>
                <w:szCs w:val="21"/>
              </w:rPr>
              <w:t>Nr działki</w:t>
            </w:r>
          </w:p>
        </w:tc>
        <w:tc>
          <w:tcPr>
            <w:tcW w:w="3402" w:type="dxa"/>
            <w:tcBorders>
              <w:top w:val="single" w:sz="4" w:space="0" w:color="000000"/>
              <w:left w:val="single" w:sz="4" w:space="0" w:color="000000"/>
              <w:bottom w:val="single" w:sz="4" w:space="0" w:color="000000"/>
              <w:right w:val="single" w:sz="4" w:space="0" w:color="000000"/>
            </w:tcBorders>
          </w:tcPr>
          <w:p w:rsidR="00B94B8A" w:rsidRDefault="00B94B8A" w:rsidP="00B94B8A">
            <w:pPr>
              <w:pStyle w:val="Tekstpodstawowy31"/>
              <w:snapToGrid w:val="0"/>
              <w:jc w:val="center"/>
              <w:rPr>
                <w:sz w:val="21"/>
                <w:szCs w:val="21"/>
              </w:rPr>
            </w:pPr>
          </w:p>
          <w:p w:rsidR="00E82635" w:rsidRPr="00803C7F" w:rsidRDefault="00E82635" w:rsidP="00B94B8A">
            <w:pPr>
              <w:pStyle w:val="Tekstpodstawowy31"/>
              <w:snapToGrid w:val="0"/>
              <w:jc w:val="center"/>
              <w:rPr>
                <w:sz w:val="21"/>
                <w:szCs w:val="21"/>
              </w:rPr>
            </w:pPr>
            <w:r w:rsidRPr="00803C7F">
              <w:rPr>
                <w:sz w:val="21"/>
                <w:szCs w:val="21"/>
              </w:rPr>
              <w:t>Cena wywoławcza</w:t>
            </w:r>
          </w:p>
          <w:p w:rsidR="00E82635" w:rsidRPr="00803C7F" w:rsidRDefault="006A5552" w:rsidP="00B94B8A">
            <w:pPr>
              <w:pStyle w:val="Tekstpodstawowy31"/>
              <w:snapToGrid w:val="0"/>
              <w:jc w:val="center"/>
              <w:rPr>
                <w:sz w:val="21"/>
                <w:szCs w:val="21"/>
              </w:rPr>
            </w:pPr>
            <w:r w:rsidRPr="00803C7F">
              <w:rPr>
                <w:sz w:val="21"/>
                <w:szCs w:val="21"/>
              </w:rPr>
              <w:t>b</w:t>
            </w:r>
            <w:r w:rsidR="00E82635" w:rsidRPr="00803C7F">
              <w:rPr>
                <w:sz w:val="21"/>
                <w:szCs w:val="21"/>
              </w:rPr>
              <w:t xml:space="preserve">rutto </w:t>
            </w:r>
            <w:r w:rsidRPr="00803C7F">
              <w:rPr>
                <w:sz w:val="21"/>
                <w:szCs w:val="21"/>
              </w:rPr>
              <w:t>(zł)</w:t>
            </w:r>
          </w:p>
        </w:tc>
        <w:tc>
          <w:tcPr>
            <w:tcW w:w="1559" w:type="dxa"/>
            <w:tcBorders>
              <w:top w:val="single" w:sz="4" w:space="0" w:color="000000"/>
              <w:left w:val="single" w:sz="4" w:space="0" w:color="000000"/>
              <w:bottom w:val="single" w:sz="4" w:space="0" w:color="000000"/>
              <w:right w:val="single" w:sz="4" w:space="0" w:color="000000"/>
            </w:tcBorders>
          </w:tcPr>
          <w:p w:rsidR="00B94B8A" w:rsidRDefault="00B94B8A" w:rsidP="00B94B8A">
            <w:pPr>
              <w:pStyle w:val="Tekstpodstawowy31"/>
              <w:snapToGrid w:val="0"/>
              <w:jc w:val="center"/>
              <w:rPr>
                <w:sz w:val="21"/>
                <w:szCs w:val="21"/>
              </w:rPr>
            </w:pPr>
          </w:p>
          <w:p w:rsidR="00E82635" w:rsidRPr="00803C7F" w:rsidRDefault="00E82635" w:rsidP="00B94B8A">
            <w:pPr>
              <w:pStyle w:val="Tekstpodstawowy31"/>
              <w:snapToGrid w:val="0"/>
              <w:jc w:val="center"/>
              <w:rPr>
                <w:sz w:val="21"/>
                <w:szCs w:val="21"/>
              </w:rPr>
            </w:pPr>
            <w:r w:rsidRPr="00803C7F">
              <w:rPr>
                <w:sz w:val="21"/>
                <w:szCs w:val="21"/>
              </w:rPr>
              <w:t>Wadium (zł)</w:t>
            </w:r>
          </w:p>
        </w:tc>
      </w:tr>
      <w:tr w:rsidR="00E82635" w:rsidRPr="00803C7F" w:rsidTr="00FF6EBC">
        <w:trPr>
          <w:trHeight w:val="325"/>
        </w:trPr>
        <w:tc>
          <w:tcPr>
            <w:tcW w:w="494" w:type="dxa"/>
            <w:tcBorders>
              <w:top w:val="single" w:sz="4" w:space="0" w:color="auto"/>
              <w:left w:val="single" w:sz="4" w:space="0" w:color="auto"/>
              <w:bottom w:val="single" w:sz="4" w:space="0" w:color="auto"/>
              <w:right w:val="single" w:sz="4" w:space="0" w:color="auto"/>
            </w:tcBorders>
          </w:tcPr>
          <w:p w:rsidR="00E82635" w:rsidRPr="00803C7F" w:rsidRDefault="00E82635" w:rsidP="00465568">
            <w:pPr>
              <w:pStyle w:val="Zawartotabeli0"/>
              <w:spacing w:before="120" w:line="360" w:lineRule="auto"/>
              <w:jc w:val="both"/>
              <w:rPr>
                <w:sz w:val="21"/>
                <w:szCs w:val="21"/>
              </w:rPr>
            </w:pPr>
            <w:r w:rsidRPr="00803C7F">
              <w:rPr>
                <w:sz w:val="21"/>
                <w:szCs w:val="21"/>
              </w:rPr>
              <w:t>1</w:t>
            </w:r>
          </w:p>
        </w:tc>
        <w:tc>
          <w:tcPr>
            <w:tcW w:w="1911" w:type="dxa"/>
            <w:tcBorders>
              <w:top w:val="single" w:sz="4" w:space="0" w:color="auto"/>
              <w:left w:val="single" w:sz="4" w:space="0" w:color="auto"/>
              <w:bottom w:val="single" w:sz="4" w:space="0" w:color="auto"/>
              <w:right w:val="single" w:sz="4" w:space="0" w:color="auto"/>
            </w:tcBorders>
          </w:tcPr>
          <w:p w:rsidR="00E82635" w:rsidRPr="00803C7F" w:rsidRDefault="00E82635" w:rsidP="00465568">
            <w:pPr>
              <w:suppressAutoHyphens w:val="0"/>
              <w:spacing w:before="120" w:line="360" w:lineRule="auto"/>
              <w:jc w:val="both"/>
              <w:rPr>
                <w:rFonts w:ascii="Times New Roman" w:hAnsi="Times New Roman" w:cs="Times New Roman"/>
                <w:sz w:val="21"/>
                <w:szCs w:val="21"/>
              </w:rPr>
            </w:pPr>
            <w:r w:rsidRPr="00803C7F">
              <w:rPr>
                <w:rFonts w:ascii="Times New Roman" w:hAnsi="Times New Roman" w:cs="Times New Roman"/>
                <w:sz w:val="21"/>
                <w:szCs w:val="21"/>
              </w:rPr>
              <w:t>ul. Podgórska 38, 40</w:t>
            </w:r>
          </w:p>
        </w:tc>
        <w:tc>
          <w:tcPr>
            <w:tcW w:w="1843" w:type="dxa"/>
            <w:tcBorders>
              <w:top w:val="single" w:sz="4" w:space="0" w:color="auto"/>
              <w:left w:val="single" w:sz="4" w:space="0" w:color="auto"/>
              <w:bottom w:val="single" w:sz="4" w:space="0" w:color="auto"/>
              <w:right w:val="single" w:sz="4" w:space="0" w:color="auto"/>
            </w:tcBorders>
          </w:tcPr>
          <w:p w:rsidR="00E82635" w:rsidRPr="00B110DE" w:rsidRDefault="00E82635" w:rsidP="00B94B8A">
            <w:pPr>
              <w:widowControl/>
              <w:suppressAutoHyphens w:val="0"/>
              <w:autoSpaceDE w:val="0"/>
              <w:autoSpaceDN w:val="0"/>
              <w:adjustRightInd w:val="0"/>
              <w:jc w:val="center"/>
              <w:rPr>
                <w:rFonts w:ascii="Times New Roman" w:eastAsiaTheme="minorHAnsi" w:hAnsi="Times New Roman" w:cs="Times New Roman"/>
                <w:color w:val="000000"/>
                <w:kern w:val="0"/>
                <w:sz w:val="21"/>
                <w:szCs w:val="21"/>
                <w:lang w:eastAsia="en-US" w:bidi="ar-SA"/>
              </w:rPr>
            </w:pPr>
            <w:r w:rsidRPr="00B110DE">
              <w:rPr>
                <w:rFonts w:ascii="Times New Roman" w:eastAsiaTheme="minorHAnsi" w:hAnsi="Times New Roman" w:cs="Times New Roman"/>
                <w:color w:val="000000"/>
                <w:sz w:val="21"/>
                <w:szCs w:val="21"/>
                <w:lang w:eastAsia="en-US" w:bidi="ar-SA"/>
              </w:rPr>
              <w:t>849/5, 852/1, 852/2</w:t>
            </w:r>
          </w:p>
          <w:p w:rsidR="00E82635" w:rsidRPr="00803C7F" w:rsidRDefault="00E82635" w:rsidP="00B94B8A">
            <w:pPr>
              <w:spacing w:before="120" w:line="360" w:lineRule="auto"/>
              <w:jc w:val="center"/>
              <w:rPr>
                <w:rFonts w:ascii="Times New Roman" w:hAnsi="Times New Roman" w:cs="Times New Roman"/>
                <w:sz w:val="21"/>
                <w:szCs w:val="21"/>
              </w:rPr>
            </w:pPr>
          </w:p>
        </w:tc>
        <w:tc>
          <w:tcPr>
            <w:tcW w:w="3402" w:type="dxa"/>
            <w:tcBorders>
              <w:top w:val="single" w:sz="4" w:space="0" w:color="auto"/>
              <w:left w:val="single" w:sz="4" w:space="0" w:color="auto"/>
              <w:bottom w:val="single" w:sz="4" w:space="0" w:color="auto"/>
              <w:right w:val="single" w:sz="4" w:space="0" w:color="auto"/>
            </w:tcBorders>
          </w:tcPr>
          <w:p w:rsidR="00E82635" w:rsidRPr="009E5E47" w:rsidRDefault="00DE6818" w:rsidP="00DE6818">
            <w:pPr>
              <w:spacing w:before="120" w:line="360" w:lineRule="auto"/>
              <w:jc w:val="center"/>
              <w:rPr>
                <w:rFonts w:ascii="Times New Roman" w:hAnsi="Times New Roman" w:cs="Times New Roman"/>
                <w:b/>
                <w:sz w:val="21"/>
                <w:szCs w:val="21"/>
              </w:rPr>
            </w:pPr>
            <w:r>
              <w:rPr>
                <w:rFonts w:ascii="Times New Roman" w:hAnsi="Times New Roman" w:cs="Times New Roman"/>
                <w:b/>
                <w:sz w:val="21"/>
                <w:szCs w:val="21"/>
              </w:rPr>
              <w:t xml:space="preserve">768 </w:t>
            </w:r>
            <w:r w:rsidR="006A5552" w:rsidRPr="009E5E47">
              <w:rPr>
                <w:rFonts w:ascii="Times New Roman" w:hAnsi="Times New Roman" w:cs="Times New Roman"/>
                <w:b/>
                <w:sz w:val="21"/>
                <w:szCs w:val="21"/>
              </w:rPr>
              <w:t>000</w:t>
            </w:r>
          </w:p>
        </w:tc>
        <w:tc>
          <w:tcPr>
            <w:tcW w:w="1559" w:type="dxa"/>
            <w:tcBorders>
              <w:top w:val="single" w:sz="4" w:space="0" w:color="auto"/>
              <w:left w:val="single" w:sz="4" w:space="0" w:color="auto"/>
              <w:bottom w:val="single" w:sz="4" w:space="0" w:color="auto"/>
              <w:right w:val="single" w:sz="4" w:space="0" w:color="auto"/>
            </w:tcBorders>
          </w:tcPr>
          <w:p w:rsidR="00E82635" w:rsidRPr="009E5E47" w:rsidRDefault="00DE6818" w:rsidP="009E5E47">
            <w:pPr>
              <w:suppressAutoHyphens w:val="0"/>
              <w:spacing w:before="120" w:line="360" w:lineRule="auto"/>
              <w:jc w:val="center"/>
              <w:rPr>
                <w:rFonts w:ascii="Times New Roman" w:hAnsi="Times New Roman" w:cs="Times New Roman"/>
                <w:b/>
                <w:sz w:val="21"/>
                <w:szCs w:val="21"/>
              </w:rPr>
            </w:pPr>
            <w:r>
              <w:rPr>
                <w:rFonts w:ascii="Times New Roman" w:hAnsi="Times New Roman" w:cs="Times New Roman"/>
                <w:b/>
                <w:sz w:val="21"/>
                <w:szCs w:val="21"/>
              </w:rPr>
              <w:t>76 8</w:t>
            </w:r>
            <w:r w:rsidR="006A5552" w:rsidRPr="009E5E47">
              <w:rPr>
                <w:rFonts w:ascii="Times New Roman" w:hAnsi="Times New Roman" w:cs="Times New Roman"/>
                <w:b/>
                <w:sz w:val="21"/>
                <w:szCs w:val="21"/>
              </w:rPr>
              <w:t>00</w:t>
            </w:r>
          </w:p>
        </w:tc>
      </w:tr>
      <w:tr w:rsidR="00E82635" w:rsidRPr="00803C7F" w:rsidTr="00FF6EBC">
        <w:trPr>
          <w:trHeight w:val="325"/>
        </w:trPr>
        <w:tc>
          <w:tcPr>
            <w:tcW w:w="494" w:type="dxa"/>
            <w:tcBorders>
              <w:top w:val="single" w:sz="4" w:space="0" w:color="auto"/>
              <w:left w:val="single" w:sz="4" w:space="0" w:color="auto"/>
              <w:bottom w:val="single" w:sz="4" w:space="0" w:color="auto"/>
              <w:right w:val="single" w:sz="4" w:space="0" w:color="auto"/>
            </w:tcBorders>
          </w:tcPr>
          <w:p w:rsidR="00E82635" w:rsidRPr="00803C7F" w:rsidRDefault="00E82635" w:rsidP="00465568">
            <w:pPr>
              <w:pStyle w:val="Zawartotabeli0"/>
              <w:spacing w:before="120" w:line="360" w:lineRule="auto"/>
              <w:jc w:val="both"/>
              <w:rPr>
                <w:sz w:val="21"/>
                <w:szCs w:val="21"/>
              </w:rPr>
            </w:pPr>
            <w:r w:rsidRPr="00803C7F">
              <w:rPr>
                <w:sz w:val="21"/>
                <w:szCs w:val="21"/>
              </w:rPr>
              <w:t>2</w:t>
            </w:r>
          </w:p>
        </w:tc>
        <w:tc>
          <w:tcPr>
            <w:tcW w:w="1911" w:type="dxa"/>
            <w:tcBorders>
              <w:top w:val="single" w:sz="4" w:space="0" w:color="auto"/>
              <w:left w:val="single" w:sz="4" w:space="0" w:color="auto"/>
              <w:bottom w:val="single" w:sz="4" w:space="0" w:color="auto"/>
              <w:right w:val="single" w:sz="4" w:space="0" w:color="auto"/>
            </w:tcBorders>
          </w:tcPr>
          <w:p w:rsidR="00E82635" w:rsidRPr="00DE6818" w:rsidRDefault="00DE6818" w:rsidP="00DE6818">
            <w:pPr>
              <w:widowControl/>
              <w:suppressAutoHyphens w:val="0"/>
              <w:autoSpaceDE w:val="0"/>
              <w:autoSpaceDN w:val="0"/>
              <w:adjustRightInd w:val="0"/>
              <w:rPr>
                <w:rFonts w:ascii="Times New Roman" w:eastAsiaTheme="minorHAnsi" w:hAnsi="Times New Roman" w:cs="Times New Roman"/>
                <w:kern w:val="0"/>
                <w:sz w:val="21"/>
                <w:szCs w:val="21"/>
                <w:lang w:eastAsia="en-US" w:bidi="ar-SA"/>
              </w:rPr>
            </w:pPr>
            <w:r w:rsidRPr="00B110DE">
              <w:rPr>
                <w:rFonts w:ascii="Times New Roman" w:eastAsiaTheme="minorHAnsi" w:hAnsi="Times New Roman" w:cs="Times New Roman"/>
                <w:sz w:val="21"/>
                <w:szCs w:val="21"/>
                <w:lang w:eastAsia="en-US" w:bidi="ar-SA"/>
              </w:rPr>
              <w:t xml:space="preserve">Podgórska 36/ </w:t>
            </w:r>
            <w:r>
              <w:rPr>
                <w:rFonts w:ascii="Times New Roman" w:eastAsiaTheme="minorHAnsi" w:hAnsi="Times New Roman" w:cs="Times New Roman"/>
                <w:sz w:val="21"/>
                <w:szCs w:val="21"/>
                <w:lang w:eastAsia="en-US" w:bidi="ar-SA"/>
              </w:rPr>
              <w:t xml:space="preserve">Gen. J. </w:t>
            </w:r>
            <w:r w:rsidRPr="00B110DE">
              <w:rPr>
                <w:rFonts w:ascii="Times New Roman" w:eastAsiaTheme="minorHAnsi" w:hAnsi="Times New Roman" w:cs="Times New Roman"/>
                <w:sz w:val="21"/>
                <w:szCs w:val="21"/>
                <w:lang w:eastAsia="en-US" w:bidi="ar-SA"/>
              </w:rPr>
              <w:t xml:space="preserve">Dwernickiego 3A </w:t>
            </w:r>
          </w:p>
        </w:tc>
        <w:tc>
          <w:tcPr>
            <w:tcW w:w="1843" w:type="dxa"/>
            <w:tcBorders>
              <w:top w:val="single" w:sz="4" w:space="0" w:color="auto"/>
              <w:left w:val="single" w:sz="4" w:space="0" w:color="auto"/>
              <w:bottom w:val="single" w:sz="4" w:space="0" w:color="auto"/>
              <w:right w:val="single" w:sz="4" w:space="0" w:color="auto"/>
            </w:tcBorders>
          </w:tcPr>
          <w:p w:rsidR="00E82635" w:rsidRPr="00803C7F" w:rsidRDefault="00B110DE" w:rsidP="00B94B8A">
            <w:pPr>
              <w:spacing w:before="120" w:line="360" w:lineRule="auto"/>
              <w:jc w:val="center"/>
              <w:rPr>
                <w:rFonts w:ascii="Times New Roman" w:hAnsi="Times New Roman" w:cs="Times New Roman"/>
                <w:color w:val="000000"/>
                <w:sz w:val="21"/>
                <w:szCs w:val="21"/>
                <w:lang w:bidi="ar-SA"/>
              </w:rPr>
            </w:pPr>
            <w:r>
              <w:rPr>
                <w:rFonts w:ascii="Times New Roman" w:hAnsi="Times New Roman" w:cs="Times New Roman"/>
                <w:sz w:val="21"/>
                <w:szCs w:val="21"/>
              </w:rPr>
              <w:t xml:space="preserve">849/4, </w:t>
            </w:r>
            <w:r w:rsidR="00A81EA9" w:rsidRPr="00803C7F">
              <w:rPr>
                <w:rFonts w:ascii="Times New Roman" w:hAnsi="Times New Roman" w:cs="Times New Roman"/>
                <w:sz w:val="21"/>
                <w:szCs w:val="21"/>
              </w:rPr>
              <w:t>852/3</w:t>
            </w:r>
          </w:p>
        </w:tc>
        <w:tc>
          <w:tcPr>
            <w:tcW w:w="3402" w:type="dxa"/>
            <w:tcBorders>
              <w:top w:val="single" w:sz="4" w:space="0" w:color="auto"/>
              <w:left w:val="single" w:sz="4" w:space="0" w:color="auto"/>
              <w:bottom w:val="single" w:sz="4" w:space="0" w:color="auto"/>
              <w:right w:val="single" w:sz="4" w:space="0" w:color="auto"/>
            </w:tcBorders>
          </w:tcPr>
          <w:p w:rsidR="00E82635" w:rsidRPr="009E5E47" w:rsidRDefault="00DE6818" w:rsidP="009E5E47">
            <w:pPr>
              <w:jc w:val="center"/>
              <w:rPr>
                <w:rFonts w:ascii="Times New Roman" w:hAnsi="Times New Roman" w:cs="Times New Roman"/>
                <w:b/>
                <w:sz w:val="21"/>
                <w:szCs w:val="21"/>
              </w:rPr>
            </w:pPr>
            <w:r>
              <w:rPr>
                <w:rFonts w:ascii="Times New Roman" w:hAnsi="Times New Roman" w:cs="Times New Roman"/>
                <w:b/>
                <w:sz w:val="21"/>
                <w:szCs w:val="21"/>
              </w:rPr>
              <w:t>648</w:t>
            </w:r>
            <w:r w:rsidR="00B110DE" w:rsidRPr="009E5E47">
              <w:rPr>
                <w:rFonts w:ascii="Times New Roman" w:hAnsi="Times New Roman" w:cs="Times New Roman"/>
                <w:b/>
                <w:sz w:val="21"/>
                <w:szCs w:val="21"/>
              </w:rPr>
              <w:t> </w:t>
            </w:r>
            <w:r w:rsidR="006A5552" w:rsidRPr="009E5E47">
              <w:rPr>
                <w:rFonts w:ascii="Times New Roman" w:hAnsi="Times New Roman" w:cs="Times New Roman"/>
                <w:b/>
                <w:sz w:val="21"/>
                <w:szCs w:val="21"/>
              </w:rPr>
              <w:t>000</w:t>
            </w:r>
          </w:p>
          <w:p w:rsidR="00B110DE" w:rsidRPr="00803C7F" w:rsidRDefault="00B110DE" w:rsidP="00B94B8A">
            <w:pPr>
              <w:rPr>
                <w:rFonts w:ascii="Times New Roman" w:hAnsi="Times New Roman" w:cs="Times New Roman"/>
                <w:bCs/>
                <w:color w:val="000000"/>
                <w:sz w:val="21"/>
                <w:szCs w:val="21"/>
                <w:lang w:bidi="ar-SA"/>
              </w:rPr>
            </w:pPr>
            <w:r>
              <w:rPr>
                <w:rFonts w:ascii="Times New Roman" w:hAnsi="Times New Roman" w:cs="Times New Roman"/>
                <w:sz w:val="21"/>
                <w:szCs w:val="21"/>
              </w:rPr>
              <w:t xml:space="preserve">wraz z udziałem 1/5 części w drodze dojazdowej </w:t>
            </w:r>
          </w:p>
        </w:tc>
        <w:tc>
          <w:tcPr>
            <w:tcW w:w="1559" w:type="dxa"/>
            <w:tcBorders>
              <w:top w:val="single" w:sz="4" w:space="0" w:color="auto"/>
              <w:left w:val="single" w:sz="4" w:space="0" w:color="auto"/>
              <w:bottom w:val="single" w:sz="4" w:space="0" w:color="auto"/>
              <w:right w:val="single" w:sz="4" w:space="0" w:color="auto"/>
            </w:tcBorders>
          </w:tcPr>
          <w:p w:rsidR="00E82635" w:rsidRPr="009E5E47" w:rsidRDefault="006A5552" w:rsidP="00DE6818">
            <w:pPr>
              <w:suppressAutoHyphens w:val="0"/>
              <w:spacing w:before="120" w:line="360" w:lineRule="auto"/>
              <w:jc w:val="center"/>
              <w:rPr>
                <w:rFonts w:ascii="Times New Roman" w:hAnsi="Times New Roman" w:cs="Times New Roman"/>
                <w:b/>
                <w:sz w:val="21"/>
                <w:szCs w:val="21"/>
              </w:rPr>
            </w:pPr>
            <w:r w:rsidRPr="009E5E47">
              <w:rPr>
                <w:rFonts w:ascii="Times New Roman" w:hAnsi="Times New Roman" w:cs="Times New Roman"/>
                <w:b/>
                <w:sz w:val="21"/>
                <w:szCs w:val="21"/>
              </w:rPr>
              <w:t>6</w:t>
            </w:r>
            <w:r w:rsidR="00DE6818">
              <w:rPr>
                <w:rFonts w:ascii="Times New Roman" w:hAnsi="Times New Roman" w:cs="Times New Roman"/>
                <w:b/>
                <w:sz w:val="21"/>
                <w:szCs w:val="21"/>
              </w:rPr>
              <w:t>4 8</w:t>
            </w:r>
            <w:r w:rsidRPr="009E5E47">
              <w:rPr>
                <w:rFonts w:ascii="Times New Roman" w:hAnsi="Times New Roman" w:cs="Times New Roman"/>
                <w:b/>
                <w:sz w:val="21"/>
                <w:szCs w:val="21"/>
              </w:rPr>
              <w:t>00</w:t>
            </w:r>
          </w:p>
        </w:tc>
      </w:tr>
      <w:tr w:rsidR="006A5552" w:rsidRPr="00803C7F" w:rsidTr="00FF6EBC">
        <w:trPr>
          <w:trHeight w:val="325"/>
        </w:trPr>
        <w:tc>
          <w:tcPr>
            <w:tcW w:w="494" w:type="dxa"/>
            <w:tcBorders>
              <w:top w:val="single" w:sz="4" w:space="0" w:color="auto"/>
              <w:left w:val="single" w:sz="4" w:space="0" w:color="auto"/>
              <w:bottom w:val="single" w:sz="4" w:space="0" w:color="auto"/>
              <w:right w:val="single" w:sz="4" w:space="0" w:color="auto"/>
            </w:tcBorders>
          </w:tcPr>
          <w:p w:rsidR="006A5552" w:rsidRPr="00803C7F" w:rsidRDefault="006A5552" w:rsidP="00465568">
            <w:pPr>
              <w:pStyle w:val="Zawartotabeli0"/>
              <w:spacing w:before="120" w:line="360" w:lineRule="auto"/>
              <w:jc w:val="both"/>
              <w:rPr>
                <w:sz w:val="21"/>
                <w:szCs w:val="21"/>
              </w:rPr>
            </w:pPr>
            <w:r w:rsidRPr="00803C7F">
              <w:rPr>
                <w:sz w:val="21"/>
                <w:szCs w:val="21"/>
              </w:rPr>
              <w:t>3</w:t>
            </w:r>
          </w:p>
        </w:tc>
        <w:tc>
          <w:tcPr>
            <w:tcW w:w="1911" w:type="dxa"/>
            <w:tcBorders>
              <w:top w:val="single" w:sz="4" w:space="0" w:color="auto"/>
              <w:left w:val="single" w:sz="4" w:space="0" w:color="auto"/>
              <w:bottom w:val="single" w:sz="4" w:space="0" w:color="auto"/>
              <w:right w:val="single" w:sz="4" w:space="0" w:color="auto"/>
            </w:tcBorders>
          </w:tcPr>
          <w:p w:rsidR="006A5552" w:rsidRPr="00DE6818" w:rsidRDefault="00DE6818" w:rsidP="00DE6818">
            <w:pPr>
              <w:suppressAutoHyphens w:val="0"/>
              <w:autoSpaceDE w:val="0"/>
              <w:autoSpaceDN w:val="0"/>
              <w:adjustRightInd w:val="0"/>
              <w:spacing w:before="120"/>
              <w:rPr>
                <w:rFonts w:ascii="Times New Roman" w:hAnsi="Times New Roman" w:cs="Times New Roman"/>
                <w:sz w:val="21"/>
                <w:szCs w:val="21"/>
              </w:rPr>
            </w:pPr>
            <w:r w:rsidRPr="00DE6818">
              <w:rPr>
                <w:rFonts w:eastAsiaTheme="minorHAnsi"/>
                <w:sz w:val="21"/>
                <w:szCs w:val="21"/>
                <w:lang w:eastAsia="en-US" w:bidi="ar-SA"/>
              </w:rPr>
              <w:t xml:space="preserve">Gen. J. </w:t>
            </w:r>
            <w:r w:rsidRPr="00DE6818">
              <w:rPr>
                <w:rFonts w:ascii="Times New Roman" w:eastAsiaTheme="minorHAnsi" w:hAnsi="Times New Roman" w:cs="Times New Roman"/>
                <w:sz w:val="21"/>
                <w:szCs w:val="21"/>
                <w:lang w:eastAsia="en-US" w:bidi="ar-SA"/>
              </w:rPr>
              <w:t>Dwernickiego 3B</w:t>
            </w:r>
          </w:p>
        </w:tc>
        <w:tc>
          <w:tcPr>
            <w:tcW w:w="1843" w:type="dxa"/>
            <w:tcBorders>
              <w:top w:val="single" w:sz="4" w:space="0" w:color="auto"/>
              <w:left w:val="single" w:sz="4" w:space="0" w:color="auto"/>
              <w:bottom w:val="single" w:sz="4" w:space="0" w:color="auto"/>
              <w:right w:val="single" w:sz="4" w:space="0" w:color="auto"/>
            </w:tcBorders>
          </w:tcPr>
          <w:p w:rsidR="006A5552" w:rsidRPr="00803C7F" w:rsidRDefault="006A5552" w:rsidP="00B94B8A">
            <w:pPr>
              <w:spacing w:before="120" w:line="360" w:lineRule="auto"/>
              <w:jc w:val="center"/>
              <w:rPr>
                <w:rFonts w:ascii="Times New Roman" w:hAnsi="Times New Roman" w:cs="Times New Roman"/>
                <w:sz w:val="21"/>
                <w:szCs w:val="21"/>
              </w:rPr>
            </w:pPr>
            <w:r w:rsidRPr="00803C7F">
              <w:rPr>
                <w:rFonts w:ascii="Times New Roman" w:hAnsi="Times New Roman" w:cs="Times New Roman"/>
                <w:sz w:val="21"/>
                <w:szCs w:val="21"/>
              </w:rPr>
              <w:t>852/4</w:t>
            </w:r>
          </w:p>
        </w:tc>
        <w:tc>
          <w:tcPr>
            <w:tcW w:w="3402" w:type="dxa"/>
            <w:tcBorders>
              <w:top w:val="single" w:sz="4" w:space="0" w:color="auto"/>
              <w:left w:val="single" w:sz="4" w:space="0" w:color="auto"/>
              <w:bottom w:val="single" w:sz="4" w:space="0" w:color="auto"/>
              <w:right w:val="single" w:sz="4" w:space="0" w:color="auto"/>
            </w:tcBorders>
          </w:tcPr>
          <w:p w:rsidR="00B110DE" w:rsidRPr="009E5E47" w:rsidRDefault="00DE6818" w:rsidP="009E5E47">
            <w:pPr>
              <w:jc w:val="center"/>
              <w:rPr>
                <w:rFonts w:ascii="Times New Roman" w:hAnsi="Times New Roman" w:cs="Times New Roman"/>
                <w:b/>
                <w:sz w:val="21"/>
                <w:szCs w:val="21"/>
              </w:rPr>
            </w:pPr>
            <w:r>
              <w:rPr>
                <w:rFonts w:ascii="Times New Roman" w:hAnsi="Times New Roman" w:cs="Times New Roman"/>
                <w:b/>
                <w:sz w:val="21"/>
                <w:szCs w:val="21"/>
              </w:rPr>
              <w:t>687</w:t>
            </w:r>
            <w:r w:rsidR="00B110DE" w:rsidRPr="009E5E47">
              <w:rPr>
                <w:rFonts w:ascii="Times New Roman" w:hAnsi="Times New Roman" w:cs="Times New Roman"/>
                <w:b/>
                <w:sz w:val="21"/>
                <w:szCs w:val="21"/>
              </w:rPr>
              <w:t> </w:t>
            </w:r>
            <w:r w:rsidR="006A5552" w:rsidRPr="009E5E47">
              <w:rPr>
                <w:rFonts w:ascii="Times New Roman" w:hAnsi="Times New Roman" w:cs="Times New Roman"/>
                <w:b/>
                <w:sz w:val="21"/>
                <w:szCs w:val="21"/>
              </w:rPr>
              <w:t>000</w:t>
            </w:r>
          </w:p>
          <w:p w:rsidR="006A5552" w:rsidRPr="00803C7F" w:rsidRDefault="00B110DE" w:rsidP="00B94B8A">
            <w:pPr>
              <w:rPr>
                <w:rFonts w:ascii="Times New Roman" w:hAnsi="Times New Roman" w:cs="Times New Roman"/>
                <w:sz w:val="21"/>
                <w:szCs w:val="21"/>
              </w:rPr>
            </w:pPr>
            <w:r>
              <w:rPr>
                <w:rFonts w:ascii="Times New Roman" w:hAnsi="Times New Roman" w:cs="Times New Roman"/>
                <w:sz w:val="21"/>
                <w:szCs w:val="21"/>
              </w:rPr>
              <w:t>wraz z udziałem 1/5 części w drodze dojazdowej</w:t>
            </w:r>
          </w:p>
        </w:tc>
        <w:tc>
          <w:tcPr>
            <w:tcW w:w="1559" w:type="dxa"/>
            <w:tcBorders>
              <w:top w:val="single" w:sz="4" w:space="0" w:color="auto"/>
              <w:left w:val="single" w:sz="4" w:space="0" w:color="auto"/>
              <w:bottom w:val="single" w:sz="4" w:space="0" w:color="auto"/>
              <w:right w:val="single" w:sz="4" w:space="0" w:color="auto"/>
            </w:tcBorders>
          </w:tcPr>
          <w:p w:rsidR="006A5552" w:rsidRPr="009E5E47" w:rsidRDefault="00DE6818" w:rsidP="009E5E47">
            <w:pPr>
              <w:suppressAutoHyphens w:val="0"/>
              <w:spacing w:before="120" w:line="360" w:lineRule="auto"/>
              <w:jc w:val="center"/>
              <w:rPr>
                <w:rFonts w:ascii="Times New Roman" w:hAnsi="Times New Roman" w:cs="Times New Roman"/>
                <w:b/>
                <w:sz w:val="21"/>
                <w:szCs w:val="21"/>
              </w:rPr>
            </w:pPr>
            <w:r>
              <w:rPr>
                <w:rFonts w:ascii="Times New Roman" w:hAnsi="Times New Roman" w:cs="Times New Roman"/>
                <w:b/>
                <w:sz w:val="21"/>
                <w:szCs w:val="21"/>
              </w:rPr>
              <w:t>68 7</w:t>
            </w:r>
            <w:r w:rsidR="006A5552" w:rsidRPr="009E5E47">
              <w:rPr>
                <w:rFonts w:ascii="Times New Roman" w:hAnsi="Times New Roman" w:cs="Times New Roman"/>
                <w:b/>
                <w:sz w:val="21"/>
                <w:szCs w:val="21"/>
              </w:rPr>
              <w:t>00</w:t>
            </w:r>
          </w:p>
        </w:tc>
      </w:tr>
      <w:tr w:rsidR="006A5552" w:rsidRPr="00803C7F" w:rsidTr="00FF6EBC">
        <w:trPr>
          <w:trHeight w:val="325"/>
        </w:trPr>
        <w:tc>
          <w:tcPr>
            <w:tcW w:w="494" w:type="dxa"/>
            <w:tcBorders>
              <w:top w:val="single" w:sz="4" w:space="0" w:color="auto"/>
              <w:left w:val="single" w:sz="4" w:space="0" w:color="auto"/>
              <w:bottom w:val="single" w:sz="4" w:space="0" w:color="auto"/>
              <w:right w:val="single" w:sz="4" w:space="0" w:color="auto"/>
            </w:tcBorders>
          </w:tcPr>
          <w:p w:rsidR="006A5552" w:rsidRPr="00803C7F" w:rsidRDefault="006A5552" w:rsidP="00465568">
            <w:pPr>
              <w:pStyle w:val="Zawartotabeli0"/>
              <w:spacing w:before="120" w:line="360" w:lineRule="auto"/>
              <w:jc w:val="both"/>
              <w:rPr>
                <w:sz w:val="21"/>
                <w:szCs w:val="21"/>
              </w:rPr>
            </w:pPr>
            <w:r w:rsidRPr="00803C7F">
              <w:rPr>
                <w:sz w:val="21"/>
                <w:szCs w:val="21"/>
              </w:rPr>
              <w:t>4</w:t>
            </w:r>
          </w:p>
        </w:tc>
        <w:tc>
          <w:tcPr>
            <w:tcW w:w="1911" w:type="dxa"/>
            <w:tcBorders>
              <w:top w:val="single" w:sz="4" w:space="0" w:color="auto"/>
              <w:left w:val="single" w:sz="4" w:space="0" w:color="auto"/>
              <w:bottom w:val="single" w:sz="4" w:space="0" w:color="auto"/>
              <w:right w:val="single" w:sz="4" w:space="0" w:color="auto"/>
            </w:tcBorders>
          </w:tcPr>
          <w:p w:rsidR="006A5552" w:rsidRPr="00803C7F" w:rsidRDefault="00DE6818" w:rsidP="00DE6818">
            <w:pPr>
              <w:suppressAutoHyphens w:val="0"/>
              <w:autoSpaceDE w:val="0"/>
              <w:autoSpaceDN w:val="0"/>
              <w:adjustRightInd w:val="0"/>
              <w:spacing w:before="120"/>
              <w:rPr>
                <w:rFonts w:ascii="Times New Roman" w:hAnsi="Times New Roman" w:cs="Times New Roman"/>
                <w:sz w:val="21"/>
                <w:szCs w:val="21"/>
              </w:rPr>
            </w:pPr>
            <w:r>
              <w:rPr>
                <w:rFonts w:ascii="Times New Roman" w:hAnsi="Times New Roman" w:cs="Times New Roman"/>
                <w:sz w:val="21"/>
                <w:szCs w:val="21"/>
              </w:rPr>
              <w:t xml:space="preserve">Gen. J. </w:t>
            </w:r>
            <w:r w:rsidR="006A5552" w:rsidRPr="00803C7F">
              <w:rPr>
                <w:rFonts w:ascii="Times New Roman" w:hAnsi="Times New Roman" w:cs="Times New Roman"/>
                <w:sz w:val="21"/>
                <w:szCs w:val="21"/>
              </w:rPr>
              <w:t>Dwernickiego 3</w:t>
            </w:r>
          </w:p>
        </w:tc>
        <w:tc>
          <w:tcPr>
            <w:tcW w:w="1843" w:type="dxa"/>
            <w:tcBorders>
              <w:top w:val="single" w:sz="4" w:space="0" w:color="auto"/>
              <w:left w:val="single" w:sz="4" w:space="0" w:color="auto"/>
              <w:bottom w:val="single" w:sz="4" w:space="0" w:color="auto"/>
              <w:right w:val="single" w:sz="4" w:space="0" w:color="auto"/>
            </w:tcBorders>
          </w:tcPr>
          <w:p w:rsidR="006A5552" w:rsidRPr="00803C7F" w:rsidRDefault="006A5552" w:rsidP="00B94B8A">
            <w:pPr>
              <w:spacing w:before="120" w:line="360" w:lineRule="auto"/>
              <w:jc w:val="center"/>
              <w:rPr>
                <w:rFonts w:ascii="Times New Roman" w:hAnsi="Times New Roman" w:cs="Times New Roman"/>
                <w:sz w:val="21"/>
                <w:szCs w:val="21"/>
              </w:rPr>
            </w:pPr>
            <w:r w:rsidRPr="00803C7F">
              <w:rPr>
                <w:rFonts w:ascii="Times New Roman" w:hAnsi="Times New Roman" w:cs="Times New Roman"/>
                <w:sz w:val="21"/>
                <w:szCs w:val="21"/>
              </w:rPr>
              <w:t>852/5</w:t>
            </w:r>
          </w:p>
        </w:tc>
        <w:tc>
          <w:tcPr>
            <w:tcW w:w="3402" w:type="dxa"/>
            <w:tcBorders>
              <w:top w:val="single" w:sz="4" w:space="0" w:color="auto"/>
              <w:left w:val="single" w:sz="4" w:space="0" w:color="auto"/>
              <w:bottom w:val="single" w:sz="4" w:space="0" w:color="auto"/>
              <w:right w:val="single" w:sz="4" w:space="0" w:color="auto"/>
            </w:tcBorders>
          </w:tcPr>
          <w:p w:rsidR="006A5552" w:rsidRPr="00B94B8A" w:rsidRDefault="00DE6818" w:rsidP="009E5E47">
            <w:pPr>
              <w:jc w:val="center"/>
              <w:rPr>
                <w:rFonts w:ascii="Times New Roman" w:hAnsi="Times New Roman" w:cs="Times New Roman"/>
                <w:b/>
                <w:sz w:val="21"/>
                <w:szCs w:val="21"/>
              </w:rPr>
            </w:pPr>
            <w:r>
              <w:rPr>
                <w:rFonts w:ascii="Times New Roman" w:hAnsi="Times New Roman" w:cs="Times New Roman"/>
                <w:b/>
                <w:sz w:val="21"/>
                <w:szCs w:val="21"/>
              </w:rPr>
              <w:t>482</w:t>
            </w:r>
            <w:r w:rsidR="00B110DE" w:rsidRPr="00B94B8A">
              <w:rPr>
                <w:rFonts w:ascii="Times New Roman" w:hAnsi="Times New Roman" w:cs="Times New Roman"/>
                <w:b/>
                <w:sz w:val="21"/>
                <w:szCs w:val="21"/>
              </w:rPr>
              <w:t> </w:t>
            </w:r>
            <w:r w:rsidR="006A5552" w:rsidRPr="00B94B8A">
              <w:rPr>
                <w:rFonts w:ascii="Times New Roman" w:hAnsi="Times New Roman" w:cs="Times New Roman"/>
                <w:b/>
                <w:sz w:val="21"/>
                <w:szCs w:val="21"/>
              </w:rPr>
              <w:t>000</w:t>
            </w:r>
          </w:p>
          <w:p w:rsidR="00B110DE" w:rsidRPr="00803C7F" w:rsidRDefault="00B110DE" w:rsidP="00B94B8A">
            <w:pPr>
              <w:rPr>
                <w:rFonts w:ascii="Times New Roman" w:hAnsi="Times New Roman" w:cs="Times New Roman"/>
                <w:sz w:val="21"/>
                <w:szCs w:val="21"/>
              </w:rPr>
            </w:pPr>
            <w:r>
              <w:rPr>
                <w:rFonts w:ascii="Times New Roman" w:hAnsi="Times New Roman" w:cs="Times New Roman"/>
                <w:sz w:val="21"/>
                <w:szCs w:val="21"/>
              </w:rPr>
              <w:t>wraz z udziałem 1/5 części w drodze dojazdowej</w:t>
            </w:r>
          </w:p>
        </w:tc>
        <w:tc>
          <w:tcPr>
            <w:tcW w:w="1559" w:type="dxa"/>
            <w:tcBorders>
              <w:top w:val="single" w:sz="4" w:space="0" w:color="auto"/>
              <w:left w:val="single" w:sz="4" w:space="0" w:color="auto"/>
              <w:bottom w:val="single" w:sz="4" w:space="0" w:color="auto"/>
              <w:right w:val="single" w:sz="4" w:space="0" w:color="auto"/>
            </w:tcBorders>
          </w:tcPr>
          <w:p w:rsidR="006A5552" w:rsidRPr="00B94B8A" w:rsidRDefault="00DE6818" w:rsidP="009E5E47">
            <w:pPr>
              <w:suppressAutoHyphens w:val="0"/>
              <w:spacing w:before="120" w:line="360" w:lineRule="auto"/>
              <w:jc w:val="center"/>
              <w:rPr>
                <w:rFonts w:ascii="Times New Roman" w:hAnsi="Times New Roman" w:cs="Times New Roman"/>
                <w:b/>
                <w:sz w:val="21"/>
                <w:szCs w:val="21"/>
              </w:rPr>
            </w:pPr>
            <w:r>
              <w:rPr>
                <w:rFonts w:ascii="Times New Roman" w:hAnsi="Times New Roman" w:cs="Times New Roman"/>
                <w:b/>
                <w:sz w:val="21"/>
                <w:szCs w:val="21"/>
              </w:rPr>
              <w:t>48 2</w:t>
            </w:r>
            <w:r w:rsidR="006A5552" w:rsidRPr="00B94B8A">
              <w:rPr>
                <w:rFonts w:ascii="Times New Roman" w:hAnsi="Times New Roman" w:cs="Times New Roman"/>
                <w:b/>
                <w:sz w:val="21"/>
                <w:szCs w:val="21"/>
              </w:rPr>
              <w:t>00</w:t>
            </w:r>
          </w:p>
        </w:tc>
      </w:tr>
    </w:tbl>
    <w:p w:rsidR="00465568" w:rsidRPr="001608E0" w:rsidRDefault="0047136E" w:rsidP="00465568">
      <w:pPr>
        <w:spacing w:line="360" w:lineRule="auto"/>
        <w:ind w:firstLine="708"/>
        <w:jc w:val="both"/>
        <w:rPr>
          <w:rFonts w:ascii="Times New Roman" w:eastAsia="Lucida Sans Unicode" w:hAnsi="Times New Roman" w:cs="Times New Roman"/>
          <w:color w:val="000000"/>
          <w:sz w:val="16"/>
          <w:szCs w:val="16"/>
          <w:lang w:bidi="ar-SA"/>
        </w:rPr>
      </w:pPr>
      <w:r w:rsidRPr="00803C7F">
        <w:rPr>
          <w:rFonts w:ascii="Times New Roman" w:eastAsia="Lucida Sans Unicode" w:hAnsi="Times New Roman" w:cs="Times New Roman"/>
          <w:color w:val="000000"/>
          <w:sz w:val="21"/>
          <w:szCs w:val="21"/>
          <w:lang w:bidi="ar-SA"/>
        </w:rPr>
        <w:t xml:space="preserve"> </w:t>
      </w:r>
    </w:p>
    <w:p w:rsidR="00E45773" w:rsidRPr="005B347D" w:rsidRDefault="00E45773" w:rsidP="001608E0">
      <w:pPr>
        <w:spacing w:line="360" w:lineRule="auto"/>
        <w:ind w:firstLine="709"/>
        <w:jc w:val="both"/>
        <w:rPr>
          <w:rFonts w:ascii="Times New Roman" w:eastAsia="Arial" w:hAnsi="Times New Roman" w:cs="Times New Roman"/>
          <w:b/>
          <w:color w:val="000000"/>
          <w:sz w:val="22"/>
          <w:szCs w:val="22"/>
          <w:lang w:bidi="ar-SA"/>
        </w:rPr>
      </w:pPr>
      <w:r w:rsidRPr="005B347D">
        <w:rPr>
          <w:rFonts w:ascii="Times New Roman" w:eastAsia="Lucida Sans Unicode" w:hAnsi="Times New Roman" w:cs="Times New Roman"/>
          <w:color w:val="000000"/>
          <w:sz w:val="22"/>
          <w:szCs w:val="22"/>
          <w:lang w:bidi="ar-SA"/>
        </w:rPr>
        <w:t xml:space="preserve">§ 7. 1. W przetargu mogą wziąć udział podmioty, które wpłacą </w:t>
      </w:r>
      <w:r w:rsidRPr="005B347D">
        <w:rPr>
          <w:rFonts w:ascii="Times New Roman" w:eastAsia="Lucida Sans Unicode" w:hAnsi="Times New Roman" w:cs="Times New Roman"/>
          <w:b/>
          <w:color w:val="000000"/>
          <w:sz w:val="22"/>
          <w:szCs w:val="22"/>
          <w:lang w:bidi="ar-SA"/>
        </w:rPr>
        <w:t>wadium</w:t>
      </w:r>
      <w:r w:rsidRPr="005B347D">
        <w:rPr>
          <w:rFonts w:ascii="Times New Roman" w:eastAsia="Lucida Sans Unicode" w:hAnsi="Times New Roman" w:cs="Times New Roman"/>
          <w:color w:val="000000"/>
          <w:sz w:val="22"/>
          <w:szCs w:val="22"/>
          <w:lang w:bidi="ar-SA"/>
        </w:rPr>
        <w:t xml:space="preserve"> </w:t>
      </w:r>
      <w:r w:rsidRPr="005B347D">
        <w:rPr>
          <w:rFonts w:ascii="Times New Roman" w:eastAsia="Lucida Sans Unicode" w:hAnsi="Times New Roman" w:cs="Times New Roman"/>
          <w:b/>
          <w:color w:val="000000"/>
          <w:sz w:val="22"/>
          <w:szCs w:val="22"/>
          <w:lang w:bidi="ar-SA"/>
        </w:rPr>
        <w:t>w pieniądzu</w:t>
      </w:r>
      <w:r w:rsidRPr="005B347D">
        <w:rPr>
          <w:rFonts w:ascii="Times New Roman" w:eastAsia="Lucida Sans Unicode" w:hAnsi="Times New Roman" w:cs="Times New Roman"/>
          <w:color w:val="000000"/>
          <w:sz w:val="22"/>
          <w:szCs w:val="22"/>
          <w:lang w:bidi="ar-SA"/>
        </w:rPr>
        <w:t xml:space="preserve"> w drodze jednorazowego przelewu na konto Urzędu Miasta Torunia - BANK MILLENNIUM S.A. Oddział Toruń </w:t>
      </w:r>
      <w:r w:rsidRPr="005B347D">
        <w:rPr>
          <w:rFonts w:ascii="Times New Roman" w:eastAsia="Lucida Sans Unicode" w:hAnsi="Times New Roman" w:cs="Times New Roman"/>
          <w:b/>
          <w:bCs/>
          <w:color w:val="000000"/>
          <w:sz w:val="22"/>
          <w:szCs w:val="22"/>
          <w:lang w:bidi="ar-SA"/>
        </w:rPr>
        <w:t>nr 62 1160 2202 0000 0003 3943 1400</w:t>
      </w:r>
      <w:r w:rsidRPr="005B347D">
        <w:rPr>
          <w:rFonts w:ascii="Times New Roman" w:eastAsia="Lucida Sans Unicode" w:hAnsi="Times New Roman" w:cs="Times New Roman"/>
          <w:color w:val="000000"/>
          <w:sz w:val="22"/>
          <w:szCs w:val="22"/>
          <w:lang w:bidi="ar-SA"/>
        </w:rPr>
        <w:t xml:space="preserve"> w terminie </w:t>
      </w:r>
      <w:r w:rsidRPr="005B347D">
        <w:rPr>
          <w:rFonts w:ascii="Times New Roman" w:eastAsia="Lucida Sans Unicode" w:hAnsi="Times New Roman" w:cs="Times New Roman"/>
          <w:b/>
          <w:color w:val="000000"/>
          <w:sz w:val="22"/>
          <w:szCs w:val="22"/>
          <w:lang w:bidi="ar-SA"/>
        </w:rPr>
        <w:t xml:space="preserve">do dnia </w:t>
      </w:r>
      <w:r w:rsidR="00DE6818">
        <w:rPr>
          <w:rFonts w:ascii="Times New Roman" w:eastAsia="Lucida Sans Unicode" w:hAnsi="Times New Roman" w:cs="Times New Roman"/>
          <w:b/>
          <w:color w:val="000000"/>
          <w:sz w:val="22"/>
          <w:szCs w:val="22"/>
          <w:lang w:bidi="ar-SA"/>
        </w:rPr>
        <w:t xml:space="preserve">06 września </w:t>
      </w:r>
      <w:r w:rsidRPr="005B347D">
        <w:rPr>
          <w:rFonts w:ascii="Times New Roman" w:eastAsia="Lucida Sans Unicode" w:hAnsi="Times New Roman" w:cs="Times New Roman"/>
          <w:b/>
          <w:color w:val="000000"/>
          <w:sz w:val="22"/>
          <w:szCs w:val="22"/>
          <w:lang w:bidi="ar-SA"/>
        </w:rPr>
        <w:t>202</w:t>
      </w:r>
      <w:r w:rsidR="00B92840">
        <w:rPr>
          <w:rFonts w:ascii="Times New Roman" w:eastAsia="Lucida Sans Unicode" w:hAnsi="Times New Roman" w:cs="Times New Roman"/>
          <w:b/>
          <w:color w:val="000000"/>
          <w:sz w:val="22"/>
          <w:szCs w:val="22"/>
          <w:lang w:bidi="ar-SA"/>
        </w:rPr>
        <w:t>3</w:t>
      </w:r>
      <w:r w:rsidR="00AD397C">
        <w:rPr>
          <w:rFonts w:ascii="Times New Roman" w:eastAsia="Lucida Sans Unicode" w:hAnsi="Times New Roman" w:cs="Times New Roman"/>
          <w:b/>
          <w:color w:val="000000"/>
          <w:sz w:val="22"/>
          <w:szCs w:val="22"/>
          <w:lang w:bidi="ar-SA"/>
        </w:rPr>
        <w:t xml:space="preserve"> </w:t>
      </w:r>
      <w:r w:rsidRPr="005B347D">
        <w:rPr>
          <w:rFonts w:ascii="Times New Roman" w:eastAsia="Lucida Sans Unicode" w:hAnsi="Times New Roman" w:cs="Times New Roman"/>
          <w:b/>
          <w:color w:val="000000"/>
          <w:sz w:val="22"/>
          <w:szCs w:val="22"/>
          <w:lang w:bidi="ar-SA"/>
        </w:rPr>
        <w:t>r. włącz</w:t>
      </w:r>
      <w:r w:rsidRPr="005B347D">
        <w:rPr>
          <w:rFonts w:ascii="Times New Roman" w:eastAsia="Lucida Sans Unicode" w:hAnsi="Times New Roman" w:cs="Times New Roman"/>
          <w:b/>
          <w:color w:val="000000"/>
          <w:sz w:val="22"/>
          <w:szCs w:val="22"/>
          <w:lang w:bidi="ar-SA"/>
        </w:rPr>
        <w:softHyphen/>
        <w:t>nie</w:t>
      </w:r>
      <w:r w:rsidRPr="005B347D">
        <w:rPr>
          <w:rFonts w:ascii="Times New Roman" w:eastAsia="Lucida Sans Unicode" w:hAnsi="Times New Roman" w:cs="Times New Roman"/>
          <w:color w:val="000000"/>
          <w:sz w:val="22"/>
          <w:szCs w:val="22"/>
          <w:lang w:bidi="ar-SA"/>
        </w:rPr>
        <w:t>. Za datę wpłaty wadium uznaje się dzień wpływu środków pieniężnych na konto Gminy. Na dowodzie wpłaty należy umieścić dopisek wskazujący oznaczenie nieruchomości, do licytacji której uczestnik zamierza przystąpić. Wpłacone wadium uprawnia do uczestnictwa wyłącznie w przetargu, którego dotyczy.</w:t>
      </w:r>
    </w:p>
    <w:p w:rsidR="00E45773" w:rsidRPr="005B347D" w:rsidRDefault="00E45773" w:rsidP="001608E0">
      <w:pPr>
        <w:spacing w:line="360" w:lineRule="auto"/>
        <w:ind w:firstLine="709"/>
        <w:jc w:val="both"/>
        <w:rPr>
          <w:rFonts w:ascii="Times New Roman" w:eastAsia="Arial" w:hAnsi="Times New Roman" w:cs="Times New Roman"/>
          <w:color w:val="000000"/>
          <w:sz w:val="22"/>
          <w:szCs w:val="22"/>
          <w:lang w:bidi="ar-SA"/>
        </w:rPr>
      </w:pPr>
      <w:r w:rsidRPr="005B347D">
        <w:rPr>
          <w:rFonts w:ascii="Times New Roman" w:eastAsia="Lucida Sans Unicode" w:hAnsi="Times New Roman" w:cs="Times New Roman"/>
          <w:color w:val="000000"/>
          <w:sz w:val="22"/>
          <w:szCs w:val="22"/>
          <w:lang w:bidi="ar-SA"/>
        </w:rPr>
        <w:t>2.</w:t>
      </w:r>
      <w:r w:rsidRPr="005B347D">
        <w:rPr>
          <w:rFonts w:ascii="Times New Roman" w:eastAsia="Lucida Sans Unicode" w:hAnsi="Times New Roman" w:cs="Times New Roman"/>
          <w:b/>
          <w:color w:val="000000"/>
          <w:sz w:val="22"/>
          <w:szCs w:val="22"/>
          <w:lang w:bidi="ar-SA"/>
        </w:rPr>
        <w:t xml:space="preserve"> </w:t>
      </w:r>
      <w:r w:rsidRPr="005B347D">
        <w:rPr>
          <w:rFonts w:ascii="Times New Roman" w:eastAsia="Lucida Sans Unicode" w:hAnsi="Times New Roman" w:cs="Times New Roman"/>
          <w:color w:val="000000"/>
          <w:sz w:val="22"/>
          <w:szCs w:val="22"/>
          <w:lang w:bidi="ar-SA"/>
        </w:rPr>
        <w:t xml:space="preserve">Podmioty, które wpłacą wadium w sposób niezgodny z postanowieniami ust. 1, w szczególności, gdy wadium zostanie wpłacone w gotówce w kasie Urzędu Miasta Torunia, nie zostaną </w:t>
      </w:r>
      <w:r w:rsidRPr="005B347D">
        <w:rPr>
          <w:rFonts w:ascii="Times New Roman" w:eastAsia="Lucida Sans Unicode" w:hAnsi="Times New Roman" w:cs="Times New Roman"/>
          <w:color w:val="000000"/>
          <w:sz w:val="22"/>
          <w:szCs w:val="22"/>
          <w:lang w:bidi="ar-SA"/>
        </w:rPr>
        <w:lastRenderedPageBreak/>
        <w:t>dopusz</w:t>
      </w:r>
      <w:r w:rsidRPr="005B347D">
        <w:rPr>
          <w:rFonts w:ascii="Times New Roman" w:eastAsia="Lucida Sans Unicode" w:hAnsi="Times New Roman" w:cs="Times New Roman"/>
          <w:color w:val="000000"/>
          <w:sz w:val="22"/>
          <w:szCs w:val="22"/>
          <w:lang w:bidi="ar-SA"/>
        </w:rPr>
        <w:softHyphen/>
        <w:t>czone do udziału w przetargu.</w:t>
      </w:r>
      <w:r w:rsidRPr="005B347D">
        <w:rPr>
          <w:rFonts w:ascii="Times New Roman" w:eastAsia="Lucida Sans Unicode" w:hAnsi="Times New Roman" w:cs="Times New Roman"/>
          <w:b/>
          <w:color w:val="000000"/>
          <w:sz w:val="22"/>
          <w:szCs w:val="22"/>
          <w:lang w:bidi="ar-SA"/>
        </w:rPr>
        <w:t xml:space="preserve"> </w:t>
      </w:r>
    </w:p>
    <w:p w:rsidR="00E45773" w:rsidRPr="005B347D" w:rsidRDefault="00DE6818" w:rsidP="001608E0">
      <w:pPr>
        <w:spacing w:line="360" w:lineRule="auto"/>
        <w:ind w:firstLine="709"/>
        <w:jc w:val="both"/>
        <w:rPr>
          <w:rFonts w:ascii="Times New Roman" w:eastAsia="Arial" w:hAnsi="Times New Roman" w:cs="Times New Roman"/>
          <w:color w:val="000000"/>
          <w:sz w:val="22"/>
          <w:szCs w:val="22"/>
          <w:lang w:bidi="ar-SA"/>
        </w:rPr>
      </w:pPr>
      <w:r>
        <w:rPr>
          <w:rFonts w:ascii="Times New Roman" w:eastAsia="Lucida Sans Unicode" w:hAnsi="Times New Roman" w:cs="Times New Roman"/>
          <w:color w:val="000000"/>
          <w:sz w:val="22"/>
          <w:szCs w:val="22"/>
          <w:lang w:bidi="ar-SA"/>
        </w:rPr>
        <w:t xml:space="preserve">3. </w:t>
      </w:r>
      <w:r w:rsidRPr="005E7FA1">
        <w:rPr>
          <w:rFonts w:ascii="Times New Roman" w:eastAsia="Lucida Sans Unicode" w:hAnsi="Times New Roman" w:cs="Times New Roman"/>
          <w:color w:val="000000"/>
          <w:sz w:val="22"/>
          <w:szCs w:val="22"/>
          <w:lang w:bidi="ar-SA"/>
        </w:rPr>
        <w:t xml:space="preserve">Komisja przetargowa przed otwarciem przetargu stwierdzi </w:t>
      </w:r>
      <w:r>
        <w:rPr>
          <w:rFonts w:ascii="Times New Roman" w:eastAsia="Lucida Sans Unicode" w:hAnsi="Times New Roman" w:cs="Times New Roman"/>
          <w:color w:val="000000"/>
          <w:sz w:val="22"/>
          <w:szCs w:val="22"/>
          <w:lang w:bidi="ar-SA"/>
        </w:rPr>
        <w:t>wniesienie wadium przez uczestników przetargu</w:t>
      </w:r>
      <w:r w:rsidRPr="005E7FA1">
        <w:rPr>
          <w:rFonts w:ascii="Times New Roman" w:eastAsia="Lucida Sans Unicode" w:hAnsi="Times New Roman" w:cs="Times New Roman"/>
          <w:color w:val="000000"/>
          <w:sz w:val="22"/>
          <w:szCs w:val="22"/>
          <w:lang w:bidi="ar-SA"/>
        </w:rPr>
        <w:t xml:space="preserve"> </w:t>
      </w:r>
      <w:r w:rsidR="00E45773" w:rsidRPr="005B347D">
        <w:rPr>
          <w:rFonts w:ascii="Times New Roman" w:eastAsia="Lucida Sans Unicode" w:hAnsi="Times New Roman" w:cs="Times New Roman"/>
          <w:color w:val="000000"/>
          <w:sz w:val="22"/>
          <w:szCs w:val="22"/>
          <w:lang w:bidi="ar-SA"/>
        </w:rPr>
        <w:t>na podstawie wyciągu bankowego z wskazanego rachunku bankowego i sporządzi wykaz osób, które spełniły ten warunek.</w:t>
      </w:r>
    </w:p>
    <w:p w:rsidR="00DE6818" w:rsidRPr="005E7FA1" w:rsidRDefault="00DE6818" w:rsidP="001608E0">
      <w:pPr>
        <w:spacing w:line="360" w:lineRule="auto"/>
        <w:ind w:firstLine="709"/>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 8. 1. Uczestnicy przetargu i osoby działające w ich imieniu winni przed przystąpieniem do licy</w:t>
      </w:r>
      <w:r w:rsidRPr="005E7FA1">
        <w:rPr>
          <w:rFonts w:ascii="Times New Roman" w:eastAsia="Lucida Sans Unicode" w:hAnsi="Times New Roman" w:cs="Times New Roman"/>
          <w:color w:val="000000"/>
          <w:sz w:val="22"/>
          <w:szCs w:val="22"/>
          <w:lang w:bidi="ar-SA"/>
        </w:rPr>
        <w:softHyphen/>
        <w:t>tacji przedstawić Komisji Przetargowej:</w:t>
      </w:r>
    </w:p>
    <w:p w:rsidR="00DE6818" w:rsidRPr="005E7FA1" w:rsidRDefault="00DE6818" w:rsidP="001608E0">
      <w:pPr>
        <w:spacing w:line="360" w:lineRule="auto"/>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1) wszyscy: dokument potwierdzający tożsamość np. dowód osobisty lub paszport;</w:t>
      </w:r>
    </w:p>
    <w:p w:rsidR="00DE6818" w:rsidRPr="005E7FA1" w:rsidRDefault="00DE6818" w:rsidP="001608E0">
      <w:pPr>
        <w:spacing w:line="360" w:lineRule="auto"/>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2) osoby prawne i jednostki organizacyjne nie będące osobami prawnymi, którym ustawa przyzna</w:t>
      </w:r>
      <w:r w:rsidRPr="005E7FA1">
        <w:rPr>
          <w:rFonts w:ascii="Times New Roman" w:eastAsia="Lucida Sans Unicode" w:hAnsi="Times New Roman" w:cs="Times New Roman"/>
          <w:color w:val="000000"/>
          <w:sz w:val="22"/>
          <w:szCs w:val="22"/>
          <w:lang w:bidi="ar-SA"/>
        </w:rPr>
        <w:softHyphen/>
        <w:t>ła zdolność prawną: aktualny wypis z właściwego rejestru oraz upoważnienie organu uprawnione</w:t>
      </w:r>
      <w:r w:rsidRPr="005E7FA1">
        <w:rPr>
          <w:rFonts w:ascii="Times New Roman" w:eastAsia="Lucida Sans Unicode" w:hAnsi="Times New Roman" w:cs="Times New Roman"/>
          <w:color w:val="000000"/>
          <w:sz w:val="22"/>
          <w:szCs w:val="22"/>
          <w:lang w:bidi="ar-SA"/>
        </w:rPr>
        <w:softHyphen/>
        <w:t>go do reprezentowania podmiotu;</w:t>
      </w:r>
    </w:p>
    <w:p w:rsidR="00DE6818" w:rsidRPr="005E7FA1" w:rsidRDefault="00DE6818" w:rsidP="001608E0">
      <w:pPr>
        <w:spacing w:line="360" w:lineRule="auto"/>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3) pełnomocnicy - pełnomocnictwo do uczestnictwa w przetargu (w formie pisemnej) lub pełnomoc</w:t>
      </w:r>
      <w:r w:rsidRPr="005E7FA1">
        <w:rPr>
          <w:rFonts w:ascii="Times New Roman" w:eastAsia="Lucida Sans Unicode" w:hAnsi="Times New Roman" w:cs="Times New Roman"/>
          <w:color w:val="000000"/>
          <w:sz w:val="22"/>
          <w:szCs w:val="22"/>
          <w:lang w:bidi="ar-SA"/>
        </w:rPr>
        <w:softHyphen/>
        <w:t>nictwo do nabycia nieruchomości (w formie aktu notarialnego);</w:t>
      </w:r>
    </w:p>
    <w:p w:rsidR="00DE6818" w:rsidRPr="005E7FA1" w:rsidRDefault="00DE6818" w:rsidP="001608E0">
      <w:pPr>
        <w:spacing w:line="360" w:lineRule="auto"/>
        <w:jc w:val="both"/>
        <w:rPr>
          <w:rFonts w:ascii="Times New Roman" w:eastAsia="Arial"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4) małżonek zamierzający samodzielnie licytować nieruchomość nabywaną do majątku wspólnego – pisemną zgodę współmałżonka na udział w licytacji i odpłatne nabycie nieruchomości.</w:t>
      </w:r>
    </w:p>
    <w:p w:rsidR="00DE6818" w:rsidRPr="005E7FA1" w:rsidRDefault="00DE6818" w:rsidP="001608E0">
      <w:pPr>
        <w:spacing w:line="360" w:lineRule="auto"/>
        <w:ind w:firstLine="708"/>
        <w:jc w:val="both"/>
        <w:rPr>
          <w:rFonts w:ascii="Times New Roman" w:eastAsia="Arial"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2. Nie przedłożenie wymaganych dokumentów wymienionych w ust. 1 skutkować będzie nie dopuszczeniem do uczestnictwa w przetargu.</w:t>
      </w:r>
    </w:p>
    <w:p w:rsidR="00DE6818" w:rsidRPr="005E7FA1" w:rsidRDefault="00DE6818" w:rsidP="001608E0">
      <w:pPr>
        <w:spacing w:line="360" w:lineRule="auto"/>
        <w:ind w:firstLine="708"/>
        <w:jc w:val="both"/>
        <w:rPr>
          <w:rFonts w:ascii="Times New Roman" w:eastAsia="Lucida Sans Unicode" w:hAnsi="Times New Roman" w:cs="Times New Roman"/>
          <w:b/>
          <w:color w:val="000000"/>
          <w:sz w:val="22"/>
          <w:szCs w:val="22"/>
          <w:lang w:bidi="ar-SA"/>
        </w:rPr>
      </w:pPr>
      <w:r w:rsidRPr="005E7FA1">
        <w:rPr>
          <w:rFonts w:ascii="Times New Roman" w:eastAsia="Lucida Sans Unicode" w:hAnsi="Times New Roman" w:cs="Times New Roman"/>
          <w:color w:val="000000"/>
          <w:sz w:val="22"/>
          <w:szCs w:val="22"/>
          <w:lang w:bidi="ar-SA"/>
        </w:rPr>
        <w:t>3. W przetargu nie mogą uczestniczyć osoby wchodzące w skład Komisji Przetargowej, osoby im bliskie, lub pozostające w takim stosunku prawnym lub faktycznym, że może budzić to uzasadnione wątpliwości co do bezstronności Komisji Przetargowej.</w:t>
      </w:r>
      <w:r w:rsidRPr="005E7FA1">
        <w:rPr>
          <w:rFonts w:ascii="Times New Roman" w:eastAsia="Lucida Sans Unicode" w:hAnsi="Times New Roman" w:cs="Times New Roman"/>
          <w:b/>
          <w:color w:val="000000"/>
          <w:sz w:val="22"/>
          <w:szCs w:val="22"/>
          <w:lang w:bidi="ar-SA"/>
        </w:rPr>
        <w:tab/>
      </w:r>
    </w:p>
    <w:p w:rsidR="00DE6818" w:rsidRPr="005E7FA1" w:rsidRDefault="00DE6818" w:rsidP="001608E0">
      <w:pPr>
        <w:spacing w:line="360" w:lineRule="auto"/>
        <w:ind w:firstLine="708"/>
        <w:jc w:val="both"/>
        <w:rPr>
          <w:rFonts w:ascii="Times New Roman" w:eastAsia="Arial"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 9. 1. Licytacja odbywa się przez podniesienie ręki osoby biorącej udział w przetargu oraz głośne podanie oferowanej ceny, będącej powiększeniem ceny wywoławczej o kolejne postąpienia.</w:t>
      </w:r>
    </w:p>
    <w:p w:rsidR="00DE6818" w:rsidRPr="005E7FA1" w:rsidRDefault="00DE6818" w:rsidP="001608E0">
      <w:pPr>
        <w:spacing w:line="360" w:lineRule="auto"/>
        <w:ind w:firstLine="708"/>
        <w:jc w:val="both"/>
        <w:rPr>
          <w:rFonts w:ascii="Times New Roman" w:eastAsia="Lucida Sans Unicode" w:hAnsi="Times New Roman" w:cs="Times New Roman"/>
          <w:color w:val="CC3300"/>
          <w:sz w:val="22"/>
          <w:szCs w:val="22"/>
          <w:lang w:bidi="ar-SA"/>
        </w:rPr>
      </w:pPr>
      <w:r w:rsidRPr="005E7FA1">
        <w:rPr>
          <w:rFonts w:ascii="Times New Roman" w:eastAsia="Lucida Sans Unicode" w:hAnsi="Times New Roman" w:cs="Times New Roman"/>
          <w:color w:val="000000"/>
          <w:sz w:val="22"/>
          <w:szCs w:val="22"/>
          <w:lang w:bidi="ar-SA"/>
        </w:rPr>
        <w:t xml:space="preserve">2. Uczestnicy przetargu zgłaszają kolejne postąpienie w wysokości nie niższej niż 1% ceny wywoławczej z zaokrągleniem w górę do pełnych dziesiątek złotych. </w:t>
      </w:r>
      <w:r w:rsidRPr="005E7FA1">
        <w:rPr>
          <w:rFonts w:ascii="Times New Roman" w:eastAsia="Lucida Sans Unicode" w:hAnsi="Times New Roman" w:cs="Times New Roman"/>
          <w:color w:val="000000"/>
          <w:sz w:val="22"/>
          <w:szCs w:val="22"/>
          <w:lang w:bidi="ar-SA"/>
        </w:rPr>
        <w:tab/>
      </w:r>
    </w:p>
    <w:p w:rsidR="00DE6818" w:rsidRPr="005E7FA1" w:rsidRDefault="00DE6818" w:rsidP="001608E0">
      <w:pPr>
        <w:spacing w:line="360" w:lineRule="auto"/>
        <w:ind w:firstLine="708"/>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 10. 1. O rozstrzygnięciu licytacji decyduje wielkość i kolejność zaoferowanej ceny.</w:t>
      </w:r>
    </w:p>
    <w:p w:rsidR="00DE6818" w:rsidRPr="005E7FA1" w:rsidRDefault="00DE6818" w:rsidP="001608E0">
      <w:pPr>
        <w:spacing w:line="360" w:lineRule="auto"/>
        <w:ind w:firstLine="708"/>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2. Po trzecim wywołaniu najwyższej zaoferowanej ceny dalsze postąpienia nie zostaną przyjęte.</w:t>
      </w:r>
    </w:p>
    <w:p w:rsidR="00DE6818" w:rsidRPr="005E7FA1" w:rsidRDefault="00DE6818" w:rsidP="001608E0">
      <w:pPr>
        <w:spacing w:line="360" w:lineRule="auto"/>
        <w:ind w:firstLine="708"/>
        <w:jc w:val="both"/>
        <w:rPr>
          <w:rFonts w:ascii="Times New Roman" w:eastAsia="Lucida Sans Unicode" w:hAnsi="Times New Roman" w:cs="Times New Roman"/>
          <w:color w:val="CC3300"/>
          <w:sz w:val="22"/>
          <w:szCs w:val="22"/>
          <w:lang w:bidi="ar-SA"/>
        </w:rPr>
      </w:pPr>
      <w:r w:rsidRPr="005E7FA1">
        <w:rPr>
          <w:rFonts w:ascii="Times New Roman" w:eastAsia="Lucida Sans Unicode" w:hAnsi="Times New Roman" w:cs="Times New Roman"/>
          <w:color w:val="000000"/>
          <w:sz w:val="22"/>
          <w:szCs w:val="22"/>
          <w:lang w:bidi="ar-SA"/>
        </w:rPr>
        <w:t xml:space="preserve">§ 11. Sprzedaż nieruchomości będącej przedmiotem przetargu jest opodatkowana podatkiem od towarów i usług według stawki 23%, a cena wywoławcza nieruchomości i ustalona w przetargu cena nieruchomości stanowi cenę brutto w rozumieniu przepisów ustawy z dnia 11 marca 2004 o podatku od towarów i usług. </w:t>
      </w:r>
    </w:p>
    <w:p w:rsidR="00DE6818" w:rsidRPr="005E7FA1" w:rsidRDefault="00DE6818" w:rsidP="001608E0">
      <w:pPr>
        <w:spacing w:line="360" w:lineRule="auto"/>
        <w:ind w:firstLine="708"/>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 12. Przetarg jest ważny bez względu na liczbę uczestników przetargu, jeżeli przynajmniej je</w:t>
      </w:r>
      <w:r w:rsidRPr="005E7FA1">
        <w:rPr>
          <w:rFonts w:ascii="Times New Roman" w:eastAsia="Lucida Sans Unicode" w:hAnsi="Times New Roman" w:cs="Times New Roman"/>
          <w:color w:val="000000"/>
          <w:sz w:val="22"/>
          <w:szCs w:val="22"/>
          <w:lang w:bidi="ar-SA"/>
        </w:rPr>
        <w:softHyphen/>
        <w:t>den uczestnik zaoferuje co najmniej jedno postąpienie powyżej ceny wywoławczej.</w:t>
      </w:r>
    </w:p>
    <w:p w:rsidR="00DE6818" w:rsidRPr="005E7FA1" w:rsidRDefault="00DE6818" w:rsidP="001608E0">
      <w:pPr>
        <w:spacing w:line="360" w:lineRule="auto"/>
        <w:ind w:firstLine="708"/>
        <w:jc w:val="both"/>
        <w:rPr>
          <w:rFonts w:ascii="Times New Roman" w:eastAsia="Lucida Sans Unicode" w:hAnsi="Times New Roman" w:cs="Times New Roman"/>
          <w:color w:val="CC3300"/>
          <w:sz w:val="22"/>
          <w:szCs w:val="22"/>
          <w:lang w:bidi="ar-SA"/>
        </w:rPr>
      </w:pPr>
      <w:r w:rsidRPr="005E7FA1">
        <w:rPr>
          <w:rFonts w:ascii="Times New Roman" w:eastAsia="Lucida Sans Unicode" w:hAnsi="Times New Roman" w:cs="Times New Roman"/>
          <w:color w:val="000000"/>
          <w:sz w:val="22"/>
          <w:szCs w:val="22"/>
          <w:lang w:bidi="ar-SA"/>
        </w:rPr>
        <w:t>§ 13. Wadium wpłacone przez uczestnika, który przetarg wygrał zalicza się na poczet ceny sprzedaży z chwilą zawarcia umowy sprzedaży w formie aktu notarialnego. Wadium ulega prze</w:t>
      </w:r>
      <w:r w:rsidRPr="005E7FA1">
        <w:rPr>
          <w:rFonts w:ascii="Times New Roman" w:eastAsia="Lucida Sans Unicode" w:hAnsi="Times New Roman" w:cs="Times New Roman"/>
          <w:color w:val="000000"/>
          <w:sz w:val="22"/>
          <w:szCs w:val="22"/>
          <w:lang w:bidi="ar-SA"/>
        </w:rPr>
        <w:softHyphen/>
        <w:t xml:space="preserve">padkowi w wypadku uchylenia się od zawarcia aktu notarialnego przez uczestnika, który przetarg wygrał. </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 14. Pozostałym uczestnikom przetargu, wadium zostanie niezwłocznie – nie później niż przed upływem 3 dni od dnia odwołania, unieważnienia lub rozstrzygnięcia przetargu – zwrócone przele</w:t>
      </w:r>
      <w:r w:rsidRPr="005E7FA1">
        <w:rPr>
          <w:rFonts w:ascii="Times New Roman" w:eastAsia="Lucida Sans Unicode" w:hAnsi="Times New Roman" w:cs="Times New Roman"/>
          <w:color w:val="000000"/>
          <w:sz w:val="22"/>
          <w:szCs w:val="22"/>
          <w:lang w:bidi="ar-SA"/>
        </w:rPr>
        <w:softHyphen/>
        <w:t>wem w wysokości nominalnej, na wskazane przez nich na piśmie konto. W przypadku braku pi</w:t>
      </w:r>
      <w:r w:rsidRPr="005E7FA1">
        <w:rPr>
          <w:rFonts w:ascii="Times New Roman" w:eastAsia="Lucida Sans Unicode" w:hAnsi="Times New Roman" w:cs="Times New Roman"/>
          <w:color w:val="000000"/>
          <w:sz w:val="22"/>
          <w:szCs w:val="22"/>
          <w:lang w:bidi="ar-SA"/>
        </w:rPr>
        <w:softHyphen/>
        <w:t xml:space="preserve">semnego </w:t>
      </w:r>
      <w:r w:rsidRPr="005E7FA1">
        <w:rPr>
          <w:rFonts w:ascii="Times New Roman" w:eastAsia="Lucida Sans Unicode" w:hAnsi="Times New Roman" w:cs="Times New Roman"/>
          <w:color w:val="000000"/>
          <w:sz w:val="22"/>
          <w:szCs w:val="22"/>
          <w:lang w:bidi="ar-SA"/>
        </w:rPr>
        <w:lastRenderedPageBreak/>
        <w:t>wskazania – najpóźniej w dniu przetargu – rachunku bankowego, na które ma być doko</w:t>
      </w:r>
      <w:r w:rsidRPr="005E7FA1">
        <w:rPr>
          <w:rFonts w:ascii="Times New Roman" w:eastAsia="Lucida Sans Unicode" w:hAnsi="Times New Roman" w:cs="Times New Roman"/>
          <w:color w:val="000000"/>
          <w:sz w:val="22"/>
          <w:szCs w:val="22"/>
          <w:lang w:bidi="ar-SA"/>
        </w:rPr>
        <w:softHyphen/>
        <w:t xml:space="preserve">nany zwrot wadium zostanie zwrócone na konto, z którego wpłynęło. </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 xml:space="preserve">§ 15. 1. Protokół z przetargu sporządza się w 3 jednobrzmiących egzemplarzach. </w:t>
      </w:r>
    </w:p>
    <w:p w:rsidR="00DE6818" w:rsidRPr="005E7FA1" w:rsidRDefault="00DE6818" w:rsidP="001608E0">
      <w:pPr>
        <w:spacing w:line="360" w:lineRule="auto"/>
        <w:ind w:firstLine="284"/>
        <w:jc w:val="both"/>
        <w:rPr>
          <w:rFonts w:ascii="Times New Roman" w:eastAsia="Lucida Sans Unicode" w:hAnsi="Times New Roman" w:cs="Times New Roman"/>
          <w:color w:val="CC3300"/>
          <w:sz w:val="22"/>
          <w:szCs w:val="22"/>
          <w:lang w:bidi="ar-SA"/>
        </w:rPr>
      </w:pPr>
      <w:r w:rsidRPr="005E7FA1">
        <w:rPr>
          <w:rFonts w:ascii="Times New Roman" w:eastAsia="Lucida Sans Unicode" w:hAnsi="Times New Roman" w:cs="Times New Roman"/>
          <w:color w:val="000000"/>
          <w:sz w:val="22"/>
          <w:szCs w:val="22"/>
          <w:lang w:bidi="ar-SA"/>
        </w:rPr>
        <w:tab/>
        <w:t>2. Protokół stanowi podstawę zawarcia umowy w formie aktu notarialnego.</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 xml:space="preserve">§ 16. 1. Prezydent Miasta Torunia zawiadomi osobę ustaloną jako nabywca nieruchomości o terminie i miejscu zawarcia umowy sprzedaży nieruchomości, najpóźniej w ciągu 21 dni od dnia rozstrzygnięcia przetargu. Wyznaczony termin nie może być krótszy niż 7 dni od dnia doręczenia zawiadomienia.  </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2. Umowa sprzedaży nieruchomości, w formie aktu notarialnego winna zostać zawarta w ter</w:t>
      </w:r>
      <w:r w:rsidRPr="005E7FA1">
        <w:rPr>
          <w:rFonts w:ascii="Times New Roman" w:eastAsia="Lucida Sans Unicode" w:hAnsi="Times New Roman" w:cs="Times New Roman"/>
          <w:color w:val="000000"/>
          <w:sz w:val="22"/>
          <w:szCs w:val="22"/>
          <w:lang w:bidi="ar-SA"/>
        </w:rPr>
        <w:softHyphen/>
        <w:t>minie 2 miesięcy od dnia rozstrzygnięcia przetargu. W przypadku wystąpienia wyjątkowych okoliczności, których osoba ustalona jako nabywca nieruchomości nie mogła przewidzieć w dniu przetargu, Prezydent Miasta Torunia może zadecydować o przesunięciu terminu zawarcia umowy.</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 xml:space="preserve">3. Jeżeli osoba ustalona jako nabywca nieruchomości nie przystąpi bez usprawiedliwienia do zawarcia umowy w miejscu i terminie podanych w zawiadomieniu, o którym mowa w ust. 1, z zastrzeżeniem ust. 2, Prezydent Miasta Torunia może odstąpić od zawarcia umowy, a wpłacone wadium nie podlega zwrotowi.  </w:t>
      </w:r>
    </w:p>
    <w:p w:rsidR="00DE6818" w:rsidRPr="005E7FA1" w:rsidRDefault="00DE6818" w:rsidP="001608E0">
      <w:pPr>
        <w:spacing w:line="360" w:lineRule="auto"/>
        <w:ind w:firstLine="285"/>
        <w:jc w:val="both"/>
        <w:rPr>
          <w:rFonts w:ascii="Times New Roman" w:eastAsia="Lucida Sans Unicode" w:hAnsi="Times New Roman" w:cs="Times New Roman"/>
          <w:color w:val="CC3300"/>
          <w:sz w:val="22"/>
          <w:szCs w:val="22"/>
          <w:lang w:bidi="ar-SA"/>
        </w:rPr>
      </w:pPr>
      <w:r w:rsidRPr="005E7FA1">
        <w:rPr>
          <w:rFonts w:ascii="Times New Roman" w:eastAsia="Lucida Sans Unicode" w:hAnsi="Times New Roman" w:cs="Times New Roman"/>
          <w:color w:val="000000"/>
          <w:sz w:val="22"/>
          <w:szCs w:val="22"/>
          <w:lang w:bidi="ar-SA"/>
        </w:rPr>
        <w:tab/>
        <w:t>§ 17. Zwycięzca przetargu zobowiązany jest zapłacić ustaloną w przetargu cenę sprzedaży po</w:t>
      </w:r>
      <w:r w:rsidRPr="005E7FA1">
        <w:rPr>
          <w:rFonts w:ascii="Times New Roman" w:eastAsia="Lucida Sans Unicode" w:hAnsi="Times New Roman" w:cs="Times New Roman"/>
          <w:color w:val="000000"/>
          <w:sz w:val="22"/>
          <w:szCs w:val="22"/>
          <w:lang w:bidi="ar-SA"/>
        </w:rPr>
        <w:softHyphen/>
        <w:t xml:space="preserve">mniejszoną o wpłacone wadium przelewem na rachunek bankowy Urzędu Miasta Torunia BANK MILLENNIUM S.A. O/Toruń nr </w:t>
      </w:r>
      <w:r w:rsidRPr="005E7FA1">
        <w:rPr>
          <w:rFonts w:ascii="Times New Roman" w:eastAsia="Lucida Sans Unicode" w:hAnsi="Times New Roman" w:cs="Times New Roman"/>
          <w:b/>
          <w:bCs/>
          <w:color w:val="000000"/>
          <w:sz w:val="22"/>
          <w:szCs w:val="22"/>
          <w:lang w:bidi="ar-SA"/>
        </w:rPr>
        <w:t>95 1160 2202 0000 0000 6171 9127</w:t>
      </w:r>
      <w:r w:rsidRPr="005E7FA1">
        <w:rPr>
          <w:rFonts w:ascii="Times New Roman" w:eastAsia="Lucida Sans Unicode" w:hAnsi="Times New Roman" w:cs="Times New Roman"/>
          <w:color w:val="000000"/>
          <w:sz w:val="22"/>
          <w:szCs w:val="22"/>
          <w:lang w:bidi="ar-SA"/>
        </w:rPr>
        <w:t xml:space="preserve"> przed zawarciem umowy notarialnej przenoszącej własność, w terminie i w sposób umożliwiający potwierdzenie wpływu środków pieniężnych na powyżej wskazany rachunek bankowy. Za datę wpłaty ceny sprzedaży uznaje się dzień wpływu środków pieniężnych na konto Gminy Miasta Toruń.</w:t>
      </w:r>
    </w:p>
    <w:p w:rsidR="00DE6818" w:rsidRPr="005E7FA1" w:rsidRDefault="00DE6818" w:rsidP="001608E0">
      <w:pPr>
        <w:spacing w:line="360" w:lineRule="auto"/>
        <w:ind w:firstLine="284"/>
        <w:jc w:val="both"/>
        <w:rPr>
          <w:rFonts w:ascii="Times New Roman" w:hAnsi="Times New Roman" w:cs="Times New Roman"/>
          <w:sz w:val="22"/>
          <w:szCs w:val="22"/>
        </w:rPr>
      </w:pPr>
      <w:r w:rsidRPr="005E7FA1">
        <w:rPr>
          <w:rFonts w:ascii="Times New Roman" w:eastAsia="Lucida Sans Unicode" w:hAnsi="Times New Roman" w:cs="Times New Roman"/>
          <w:color w:val="000000"/>
          <w:sz w:val="22"/>
          <w:szCs w:val="22"/>
          <w:lang w:bidi="ar-SA"/>
        </w:rPr>
        <w:tab/>
        <w:t>§ 18. Nabycie nieruchomości przez cudzoziemca następuje z uwzględnieniem przepisów usta</w:t>
      </w:r>
      <w:r w:rsidRPr="005E7FA1">
        <w:rPr>
          <w:rFonts w:ascii="Times New Roman" w:eastAsia="Lucida Sans Unicode" w:hAnsi="Times New Roman" w:cs="Times New Roman"/>
          <w:color w:val="000000"/>
          <w:sz w:val="22"/>
          <w:szCs w:val="22"/>
          <w:lang w:bidi="ar-SA"/>
        </w:rPr>
        <w:softHyphen/>
        <w:t xml:space="preserve">wy z dnia 24 marca 1920 roku o nabywaniu nieruchomości przez </w:t>
      </w:r>
      <w:r w:rsidRPr="005E7FA1">
        <w:rPr>
          <w:rFonts w:ascii="Times New Roman" w:eastAsia="Lucida Sans Unicode" w:hAnsi="Times New Roman" w:cs="Times New Roman"/>
          <w:sz w:val="22"/>
          <w:szCs w:val="22"/>
          <w:lang w:bidi="ar-SA"/>
        </w:rPr>
        <w:t xml:space="preserve">cudzoziemców. </w:t>
      </w:r>
    </w:p>
    <w:p w:rsidR="00DE6818" w:rsidRPr="005E7FA1" w:rsidRDefault="00DE6818" w:rsidP="001608E0">
      <w:pPr>
        <w:spacing w:line="360" w:lineRule="auto"/>
        <w:jc w:val="both"/>
        <w:rPr>
          <w:rFonts w:ascii="Times New Roman" w:eastAsia="Lucida Sans Unicode" w:hAnsi="Times New Roman" w:cs="Times New Roman"/>
          <w:color w:val="000000"/>
          <w:sz w:val="22"/>
          <w:szCs w:val="22"/>
          <w:lang w:bidi="ar-SA"/>
        </w:rPr>
      </w:pPr>
      <w:r w:rsidRPr="005E7FA1">
        <w:rPr>
          <w:rFonts w:ascii="Times New Roman" w:eastAsia="Arial" w:hAnsi="Times New Roman" w:cs="Times New Roman"/>
          <w:color w:val="000000"/>
          <w:sz w:val="22"/>
          <w:szCs w:val="22"/>
          <w:lang w:bidi="ar-SA"/>
        </w:rPr>
        <w:t xml:space="preserve">   </w:t>
      </w:r>
      <w:r w:rsidRPr="005E7FA1">
        <w:rPr>
          <w:rFonts w:ascii="Times New Roman" w:eastAsia="Arial" w:hAnsi="Times New Roman" w:cs="Times New Roman"/>
          <w:color w:val="000000"/>
          <w:sz w:val="22"/>
          <w:szCs w:val="22"/>
          <w:lang w:bidi="ar-SA"/>
        </w:rPr>
        <w:tab/>
      </w:r>
      <w:r w:rsidRPr="005E7FA1">
        <w:rPr>
          <w:rFonts w:ascii="Times New Roman" w:eastAsia="Lucida Sans Unicode" w:hAnsi="Times New Roman" w:cs="Times New Roman"/>
          <w:color w:val="000000"/>
          <w:sz w:val="22"/>
          <w:szCs w:val="22"/>
          <w:lang w:bidi="ar-SA"/>
        </w:rPr>
        <w:t>§ 19. Wszelkie koszty nabycia nieruchomości, w tym koszty notarialne i sądowe ponosi jej nabywca.</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 20. 1. Geodezyjne dane nieruchomości zostały podane na podstawie informacji z ewidencji gruntów i budynków.</w:t>
      </w:r>
    </w:p>
    <w:p w:rsidR="00DE6818" w:rsidRPr="005E7FA1" w:rsidRDefault="00DE6818" w:rsidP="001608E0">
      <w:pPr>
        <w:spacing w:line="360" w:lineRule="auto"/>
        <w:ind w:firstLine="300"/>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2. Okazanie przez geodetę granic nieruchomości odbyć się może na koszt i wniosek nabywcy.</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 21. Prezydent Miasta Torunia może z ważnych powodów odwołać przetarg.</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 xml:space="preserve">§ 22. Uczestnik przetargu może zaskarżyć czynności związane z przeprowadzeniem przetargu do Prezydenta Miasta Torunia. Skarga winna być wniesiona w terminie 7 dni od dnia ogłoszenia wyniku przetargu. </w:t>
      </w:r>
    </w:p>
    <w:p w:rsidR="00DE6818" w:rsidRPr="005E7FA1" w:rsidRDefault="00DE6818" w:rsidP="001608E0">
      <w:pPr>
        <w:spacing w:line="360" w:lineRule="auto"/>
        <w:ind w:firstLine="284"/>
        <w:jc w:val="both"/>
        <w:rPr>
          <w:rFonts w:ascii="Times New Roman" w:eastAsia="Lucida Sans Unicode" w:hAnsi="Times New Roman" w:cs="Times New Roman"/>
          <w:color w:val="000000"/>
          <w:sz w:val="22"/>
          <w:szCs w:val="22"/>
          <w:lang w:bidi="ar-SA"/>
        </w:rPr>
      </w:pPr>
      <w:r w:rsidRPr="005E7FA1">
        <w:rPr>
          <w:rFonts w:ascii="Times New Roman" w:eastAsia="Lucida Sans Unicode" w:hAnsi="Times New Roman" w:cs="Times New Roman"/>
          <w:color w:val="000000"/>
          <w:sz w:val="22"/>
          <w:szCs w:val="22"/>
          <w:lang w:bidi="ar-SA"/>
        </w:rPr>
        <w:tab/>
        <w:t xml:space="preserve">§ 23. Prezydent Miasta Torunia rozpatrzy skargę w terminie 7 dni od dnia jej otrzymania. </w:t>
      </w:r>
    </w:p>
    <w:p w:rsidR="00DE6818" w:rsidRPr="005E7FA1" w:rsidRDefault="00DE6818" w:rsidP="001608E0">
      <w:pPr>
        <w:spacing w:line="360" w:lineRule="auto"/>
        <w:ind w:firstLine="284"/>
        <w:jc w:val="both"/>
        <w:rPr>
          <w:rFonts w:ascii="Times New Roman" w:hAnsi="Times New Roman" w:cs="Times New Roman"/>
          <w:sz w:val="22"/>
          <w:szCs w:val="22"/>
        </w:rPr>
      </w:pPr>
      <w:r w:rsidRPr="005E7FA1">
        <w:rPr>
          <w:rFonts w:ascii="Times New Roman" w:eastAsia="Lucida Sans Unicode" w:hAnsi="Times New Roman" w:cs="Times New Roman"/>
          <w:color w:val="000000"/>
          <w:sz w:val="22"/>
          <w:szCs w:val="22"/>
          <w:lang w:bidi="ar-SA"/>
        </w:rPr>
        <w:tab/>
        <w:t xml:space="preserve">§24. Do czasu rozpatrzenia skargi wstrzymane zostają czynności związane ze zbyciem nieruchomości. </w:t>
      </w:r>
    </w:p>
    <w:p w:rsidR="00D07FD8" w:rsidRPr="005B347D" w:rsidRDefault="00D07FD8" w:rsidP="00DE6818">
      <w:pPr>
        <w:spacing w:line="360" w:lineRule="auto"/>
        <w:ind w:firstLine="709"/>
        <w:jc w:val="both"/>
        <w:rPr>
          <w:rFonts w:ascii="Times New Roman" w:hAnsi="Times New Roman" w:cs="Times New Roman"/>
          <w:sz w:val="22"/>
          <w:szCs w:val="22"/>
        </w:rPr>
      </w:pPr>
    </w:p>
    <w:sectPr w:rsidR="00D07FD8" w:rsidRPr="005B347D" w:rsidSect="00831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Lucida Sans Unicode" w:hAnsi="Arial" w:cs="Arial"/>
        <w:sz w:val="21"/>
        <w:szCs w:val="21"/>
        <w:lang w:bidi="ar-SA"/>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5FD4F51"/>
    <w:multiLevelType w:val="hybridMultilevel"/>
    <w:tmpl w:val="56C89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D6A46"/>
    <w:multiLevelType w:val="hybridMultilevel"/>
    <w:tmpl w:val="435C7670"/>
    <w:lvl w:ilvl="0" w:tplc="A40CD140">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4" w15:restartNumberingAfterBreak="0">
    <w:nsid w:val="4CC56347"/>
    <w:multiLevelType w:val="hybridMultilevel"/>
    <w:tmpl w:val="10F017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3A6F84"/>
    <w:multiLevelType w:val="hybridMultilevel"/>
    <w:tmpl w:val="6C0C7F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73"/>
    <w:rsid w:val="00025395"/>
    <w:rsid w:val="000400AF"/>
    <w:rsid w:val="00054C0D"/>
    <w:rsid w:val="000959ED"/>
    <w:rsid w:val="000B33F5"/>
    <w:rsid w:val="000C76E5"/>
    <w:rsid w:val="000E4767"/>
    <w:rsid w:val="000F4937"/>
    <w:rsid w:val="001253B9"/>
    <w:rsid w:val="001608E0"/>
    <w:rsid w:val="001861D3"/>
    <w:rsid w:val="00214534"/>
    <w:rsid w:val="00222F26"/>
    <w:rsid w:val="00246E76"/>
    <w:rsid w:val="002B7E21"/>
    <w:rsid w:val="002C64D1"/>
    <w:rsid w:val="002F1FAF"/>
    <w:rsid w:val="00301285"/>
    <w:rsid w:val="00307D9C"/>
    <w:rsid w:val="00310E32"/>
    <w:rsid w:val="0032423C"/>
    <w:rsid w:val="00340633"/>
    <w:rsid w:val="00375D5C"/>
    <w:rsid w:val="003B1710"/>
    <w:rsid w:val="003D1BB7"/>
    <w:rsid w:val="00403C52"/>
    <w:rsid w:val="00426689"/>
    <w:rsid w:val="00465568"/>
    <w:rsid w:val="0047136E"/>
    <w:rsid w:val="004A047C"/>
    <w:rsid w:val="004C0BD7"/>
    <w:rsid w:val="004E4540"/>
    <w:rsid w:val="0051713B"/>
    <w:rsid w:val="00521677"/>
    <w:rsid w:val="00544831"/>
    <w:rsid w:val="00562C6B"/>
    <w:rsid w:val="00571ABA"/>
    <w:rsid w:val="005B347D"/>
    <w:rsid w:val="005C4429"/>
    <w:rsid w:val="005D6E83"/>
    <w:rsid w:val="00693FFA"/>
    <w:rsid w:val="00694F00"/>
    <w:rsid w:val="00696CAE"/>
    <w:rsid w:val="006A5552"/>
    <w:rsid w:val="006B6C9A"/>
    <w:rsid w:val="007001B7"/>
    <w:rsid w:val="00721CD5"/>
    <w:rsid w:val="007321E7"/>
    <w:rsid w:val="007526F7"/>
    <w:rsid w:val="00786028"/>
    <w:rsid w:val="007931D8"/>
    <w:rsid w:val="007C4AD1"/>
    <w:rsid w:val="00803C7F"/>
    <w:rsid w:val="00863FBE"/>
    <w:rsid w:val="008661F0"/>
    <w:rsid w:val="00983737"/>
    <w:rsid w:val="00994752"/>
    <w:rsid w:val="009E5E47"/>
    <w:rsid w:val="009F78C6"/>
    <w:rsid w:val="00A22123"/>
    <w:rsid w:val="00A81EA9"/>
    <w:rsid w:val="00AD397C"/>
    <w:rsid w:val="00AF2C5D"/>
    <w:rsid w:val="00B01308"/>
    <w:rsid w:val="00B110DE"/>
    <w:rsid w:val="00B275A0"/>
    <w:rsid w:val="00B57F8D"/>
    <w:rsid w:val="00B708FA"/>
    <w:rsid w:val="00B75FD2"/>
    <w:rsid w:val="00B92840"/>
    <w:rsid w:val="00B94B8A"/>
    <w:rsid w:val="00B96F10"/>
    <w:rsid w:val="00BB7A17"/>
    <w:rsid w:val="00C019CC"/>
    <w:rsid w:val="00C66768"/>
    <w:rsid w:val="00C81F27"/>
    <w:rsid w:val="00CA29A4"/>
    <w:rsid w:val="00CB1A73"/>
    <w:rsid w:val="00CC5F04"/>
    <w:rsid w:val="00CE2904"/>
    <w:rsid w:val="00D07FD8"/>
    <w:rsid w:val="00D346E2"/>
    <w:rsid w:val="00D43249"/>
    <w:rsid w:val="00D76E7F"/>
    <w:rsid w:val="00D847B9"/>
    <w:rsid w:val="00DC7D04"/>
    <w:rsid w:val="00DE6818"/>
    <w:rsid w:val="00E0603E"/>
    <w:rsid w:val="00E14F17"/>
    <w:rsid w:val="00E43CBF"/>
    <w:rsid w:val="00E45773"/>
    <w:rsid w:val="00E82635"/>
    <w:rsid w:val="00E84026"/>
    <w:rsid w:val="00E85828"/>
    <w:rsid w:val="00ED046C"/>
    <w:rsid w:val="00F02E6C"/>
    <w:rsid w:val="00FF6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FB5D"/>
  <w15:chartTrackingRefBased/>
  <w15:docId w15:val="{7A6249CD-734C-4AE0-81B7-18135C25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5773"/>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Nagwek2">
    <w:name w:val="heading 2"/>
    <w:basedOn w:val="Normalny"/>
    <w:next w:val="Normalny"/>
    <w:link w:val="Nagwek2Znak"/>
    <w:qFormat/>
    <w:rsid w:val="00E45773"/>
    <w:pPr>
      <w:keepNext/>
      <w:widowControl/>
      <w:numPr>
        <w:ilvl w:val="1"/>
        <w:numId w:val="1"/>
      </w:numPr>
      <w:spacing w:line="380" w:lineRule="exact"/>
      <w:jc w:val="center"/>
      <w:outlineLvl w:val="1"/>
    </w:pPr>
    <w:rPr>
      <w:rFonts w:ascii="Times New Roman" w:eastAsia="Times New Roman" w:hAnsi="Times New Roman" w:cs="Times New Roman"/>
      <w:kern w:val="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5773"/>
    <w:rPr>
      <w:rFonts w:ascii="Times New Roman" w:eastAsia="Times New Roman" w:hAnsi="Times New Roman" w:cs="Times New Roman"/>
      <w:sz w:val="24"/>
      <w:szCs w:val="20"/>
      <w:lang w:eastAsia="zh-CN"/>
    </w:rPr>
  </w:style>
  <w:style w:type="paragraph" w:customStyle="1" w:styleId="Zawartotabeli">
    <w:name w:val="Zawartość tabeli"/>
    <w:basedOn w:val="Normalny"/>
    <w:rsid w:val="00E45773"/>
    <w:pPr>
      <w:suppressLineNumbers/>
    </w:pPr>
  </w:style>
  <w:style w:type="paragraph" w:styleId="Tekstpodstawowywcity">
    <w:name w:val="Body Text Indent"/>
    <w:basedOn w:val="Normalny"/>
    <w:link w:val="TekstpodstawowywcityZnak"/>
    <w:rsid w:val="00E85828"/>
    <w:pPr>
      <w:ind w:firstLine="567"/>
      <w:jc w:val="both"/>
    </w:pPr>
    <w:rPr>
      <w:rFonts w:ascii="Arial" w:hAnsi="Arial" w:cs="Arial"/>
      <w:sz w:val="22"/>
    </w:rPr>
  </w:style>
  <w:style w:type="character" w:customStyle="1" w:styleId="TekstpodstawowywcityZnak">
    <w:name w:val="Tekst podstawowy wcięty Znak"/>
    <w:basedOn w:val="Domylnaczcionkaakapitu"/>
    <w:link w:val="Tekstpodstawowywcity"/>
    <w:rsid w:val="00E85828"/>
    <w:rPr>
      <w:rFonts w:ascii="Arial" w:eastAsia="SimSun" w:hAnsi="Arial" w:cs="Arial"/>
      <w:kern w:val="1"/>
      <w:szCs w:val="24"/>
      <w:lang w:eastAsia="zh-CN" w:bidi="hi-IN"/>
    </w:rPr>
  </w:style>
  <w:style w:type="paragraph" w:styleId="Tekstdymka">
    <w:name w:val="Balloon Text"/>
    <w:basedOn w:val="Normalny"/>
    <w:link w:val="TekstdymkaZnak"/>
    <w:uiPriority w:val="99"/>
    <w:semiHidden/>
    <w:unhideWhenUsed/>
    <w:rsid w:val="00D07FD8"/>
    <w:rPr>
      <w:rFonts w:ascii="Segoe UI" w:hAnsi="Segoe UI"/>
      <w:sz w:val="18"/>
      <w:szCs w:val="16"/>
    </w:rPr>
  </w:style>
  <w:style w:type="character" w:customStyle="1" w:styleId="TekstdymkaZnak">
    <w:name w:val="Tekst dymka Znak"/>
    <w:basedOn w:val="Domylnaczcionkaakapitu"/>
    <w:link w:val="Tekstdymka"/>
    <w:uiPriority w:val="99"/>
    <w:semiHidden/>
    <w:rsid w:val="00D07FD8"/>
    <w:rPr>
      <w:rFonts w:ascii="Segoe UI" w:eastAsia="SimSun" w:hAnsi="Segoe UI" w:cs="Mangal"/>
      <w:kern w:val="1"/>
      <w:sz w:val="18"/>
      <w:szCs w:val="16"/>
      <w:lang w:eastAsia="zh-CN" w:bidi="hi-IN"/>
    </w:rPr>
  </w:style>
  <w:style w:type="paragraph" w:styleId="Akapitzlist">
    <w:name w:val="List Paragraph"/>
    <w:basedOn w:val="Normalny"/>
    <w:uiPriority w:val="34"/>
    <w:qFormat/>
    <w:rsid w:val="00D847B9"/>
    <w:pPr>
      <w:ind w:left="720"/>
      <w:contextualSpacing/>
    </w:pPr>
    <w:rPr>
      <w:szCs w:val="21"/>
    </w:rPr>
  </w:style>
  <w:style w:type="paragraph" w:customStyle="1" w:styleId="Tekstpodstawowy31">
    <w:name w:val="Tekst podstawowy 31"/>
    <w:basedOn w:val="Normalny"/>
    <w:rsid w:val="00340633"/>
    <w:pPr>
      <w:autoSpaceDN w:val="0"/>
      <w:ind w:right="-69"/>
      <w:jc w:val="both"/>
    </w:pPr>
    <w:rPr>
      <w:rFonts w:ascii="Times New Roman" w:eastAsia="Lucida Sans Unicode" w:hAnsi="Times New Roman" w:cs="Times New Roman"/>
      <w:b/>
      <w:kern w:val="3"/>
      <w:lang w:eastAsia="pl-PL" w:bidi="ar-SA"/>
    </w:rPr>
  </w:style>
  <w:style w:type="paragraph" w:customStyle="1" w:styleId="WW-Zawartotabeli11">
    <w:name w:val="WW-Zawartość tabeli11"/>
    <w:basedOn w:val="Tekstpodstawowy"/>
    <w:rsid w:val="00340633"/>
    <w:pPr>
      <w:widowControl/>
      <w:suppressLineNumbers/>
      <w:spacing w:after="0" w:line="360" w:lineRule="auto"/>
      <w:jc w:val="center"/>
    </w:pPr>
    <w:rPr>
      <w:rFonts w:ascii="Times New Roman" w:eastAsia="Times New Roman" w:hAnsi="Times New Roman" w:cs="Times New Roman"/>
      <w:b/>
      <w:kern w:val="0"/>
      <w:szCs w:val="20"/>
      <w:lang w:eastAsia="pl-PL" w:bidi="pl-PL"/>
    </w:rPr>
  </w:style>
  <w:style w:type="paragraph" w:styleId="Tekstpodstawowy">
    <w:name w:val="Body Text"/>
    <w:basedOn w:val="Normalny"/>
    <w:link w:val="TekstpodstawowyZnak"/>
    <w:uiPriority w:val="99"/>
    <w:semiHidden/>
    <w:unhideWhenUsed/>
    <w:rsid w:val="00340633"/>
    <w:pPr>
      <w:spacing w:after="120"/>
    </w:pPr>
    <w:rPr>
      <w:szCs w:val="21"/>
    </w:rPr>
  </w:style>
  <w:style w:type="character" w:customStyle="1" w:styleId="TekstpodstawowyZnak">
    <w:name w:val="Tekst podstawowy Znak"/>
    <w:basedOn w:val="Domylnaczcionkaakapitu"/>
    <w:link w:val="Tekstpodstawowy"/>
    <w:uiPriority w:val="99"/>
    <w:semiHidden/>
    <w:rsid w:val="00340633"/>
    <w:rPr>
      <w:rFonts w:ascii="Liberation Serif" w:eastAsia="SimSun" w:hAnsi="Liberation Serif" w:cs="Mangal"/>
      <w:kern w:val="1"/>
      <w:sz w:val="24"/>
      <w:szCs w:val="21"/>
      <w:lang w:eastAsia="zh-CN" w:bidi="hi-IN"/>
    </w:rPr>
  </w:style>
  <w:style w:type="paragraph" w:customStyle="1" w:styleId="Zawartotabeli0">
    <w:name w:val="Zawarto?? tabeli"/>
    <w:basedOn w:val="Normalny"/>
    <w:rsid w:val="0047136E"/>
    <w:pPr>
      <w:suppressLineNumbers/>
      <w:overflowPunct w:val="0"/>
      <w:autoSpaceDE w:val="0"/>
      <w:autoSpaceDN w:val="0"/>
    </w:pPr>
    <w:rPr>
      <w:rFonts w:ascii="Times New Roman" w:eastAsia="Times New Roman" w:hAnsi="Times New Roman" w:cs="Times New Roman"/>
      <w:kern w:val="0"/>
      <w:szCs w:val="20"/>
      <w:lang w:eastAsia="pl-PL" w:bidi="ar-SA"/>
    </w:rPr>
  </w:style>
  <w:style w:type="table" w:styleId="Tabela-Siatka">
    <w:name w:val="Table Grid"/>
    <w:basedOn w:val="Standardowy"/>
    <w:uiPriority w:val="39"/>
    <w:rsid w:val="003B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CB2D-B9F5-40F5-BD5B-E3409E94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13153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Wesołowska</dc:creator>
  <cp:keywords/>
  <dc:description/>
  <cp:lastModifiedBy>Anna Jargiło</cp:lastModifiedBy>
  <cp:revision>2</cp:revision>
  <cp:lastPrinted>2023-01-16T11:46:00Z</cp:lastPrinted>
  <dcterms:created xsi:type="dcterms:W3CDTF">2023-06-27T06:33:00Z</dcterms:created>
  <dcterms:modified xsi:type="dcterms:W3CDTF">2023-06-27T06:33:00Z</dcterms:modified>
</cp:coreProperties>
</file>