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A83543">
        <w:rPr>
          <w:rFonts w:ascii="Times New Roman" w:hAnsi="Times New Roman" w:cs="Times New Roman"/>
          <w:b/>
        </w:rPr>
        <w:t>24 maja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="003D100F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>I</w:t>
      </w:r>
      <w:r w:rsidR="003D100F">
        <w:rPr>
          <w:rFonts w:ascii="Times New Roman" w:hAnsi="Times New Roman" w:cs="Times New Roman"/>
        </w:rPr>
        <w:t>I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PMT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A83543">
        <w:rPr>
          <w:rFonts w:ascii="Times New Roman" w:hAnsi="Times New Roman" w:cs="Times New Roman"/>
        </w:rPr>
        <w:t>24 maja 2023r.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E240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5E240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  <w:r w:rsidR="005E2408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2023r. o godz. </w:t>
      </w:r>
      <w:r w:rsidR="005E240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5E2408">
        <w:rPr>
          <w:rFonts w:ascii="Times New Roman" w:hAnsi="Times New Roman" w:cs="Times New Roman"/>
          <w:b/>
        </w:rPr>
        <w:t>300</w:t>
      </w:r>
      <w:r w:rsidRPr="00EB6DE1">
        <w:rPr>
          <w:rFonts w:ascii="Times New Roman" w:hAnsi="Times New Roman" w:cs="Times New Roman"/>
          <w:b/>
        </w:rPr>
        <w:t>.000,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5E2408">
        <w:rPr>
          <w:rFonts w:ascii="Times New Roman" w:hAnsi="Times New Roman" w:cs="Times New Roman"/>
          <w:b/>
        </w:rPr>
        <w:t>30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Pr="00155431" w:rsidRDefault="00F3274C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2. 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</w:t>
      </w:r>
      <w:r>
        <w:rPr>
          <w:rFonts w:ascii="Times New Roman" w:hAnsi="Times New Roman" w:cs="Times New Roman"/>
          <w:szCs w:val="24"/>
        </w:rPr>
        <w:t>Zabytkowa część nieruchomości stanowi 97,7929 %.</w:t>
      </w: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5E2408">
        <w:rPr>
          <w:rFonts w:ascii="Times New Roman" w:hAnsi="Times New Roman" w:cs="Times New Roman"/>
          <w:b/>
        </w:rPr>
        <w:t>28</w:t>
      </w:r>
      <w:r w:rsidR="007F069E">
        <w:rPr>
          <w:rFonts w:ascii="Times New Roman" w:hAnsi="Times New Roman" w:cs="Times New Roman"/>
          <w:b/>
        </w:rPr>
        <w:t xml:space="preserve"> </w:t>
      </w:r>
      <w:r w:rsidR="005E2408">
        <w:rPr>
          <w:rFonts w:ascii="Times New Roman" w:hAnsi="Times New Roman" w:cs="Times New Roman"/>
          <w:b/>
        </w:rPr>
        <w:t>czerwca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E240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5E2408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sectPr w:rsid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167B1E"/>
    <w:rsid w:val="00211AAC"/>
    <w:rsid w:val="00245BDD"/>
    <w:rsid w:val="002A51B4"/>
    <w:rsid w:val="002D4525"/>
    <w:rsid w:val="00317EBF"/>
    <w:rsid w:val="003D100F"/>
    <w:rsid w:val="0048119E"/>
    <w:rsid w:val="00586645"/>
    <w:rsid w:val="005A1B17"/>
    <w:rsid w:val="005B3534"/>
    <w:rsid w:val="005C5988"/>
    <w:rsid w:val="005E2408"/>
    <w:rsid w:val="005E330B"/>
    <w:rsid w:val="00684FC8"/>
    <w:rsid w:val="006C42BE"/>
    <w:rsid w:val="00724029"/>
    <w:rsid w:val="007F069E"/>
    <w:rsid w:val="00910CCB"/>
    <w:rsid w:val="00A83543"/>
    <w:rsid w:val="00AD6C33"/>
    <w:rsid w:val="00C36A49"/>
    <w:rsid w:val="00D15E18"/>
    <w:rsid w:val="00D26653"/>
    <w:rsid w:val="00E35768"/>
    <w:rsid w:val="00EB6DE1"/>
    <w:rsid w:val="00EC09BC"/>
    <w:rsid w:val="00EC4221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9486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739C-151D-401F-BA3C-607F828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2023-05-02T10:04:00Z</cp:lastPrinted>
  <dcterms:created xsi:type="dcterms:W3CDTF">2023-05-02T09:27:00Z</dcterms:created>
  <dcterms:modified xsi:type="dcterms:W3CDTF">2023-06-01T09:55:00Z</dcterms:modified>
</cp:coreProperties>
</file>