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09" w:rsidRDefault="00A633BF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CE41AA">
        <w:rPr>
          <w:rFonts w:ascii="Times New Roman" w:hAnsi="Times New Roman" w:cs="Times New Roman"/>
          <w:b/>
        </w:rPr>
        <w:t>64</w:t>
      </w:r>
    </w:p>
    <w:p w:rsidR="00877509" w:rsidRDefault="00877509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77509" w:rsidRDefault="00877509" w:rsidP="00102391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CE41AA">
        <w:rPr>
          <w:rFonts w:ascii="Times New Roman" w:hAnsi="Times New Roman" w:cs="Times New Roman"/>
          <w:b/>
        </w:rPr>
        <w:t xml:space="preserve">22.03.2023 r. </w:t>
      </w:r>
      <w:bookmarkStart w:id="0" w:name="_GoBack"/>
      <w:bookmarkEnd w:id="0"/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375F53" w:rsidRPr="006A3F8B" w:rsidRDefault="00375F53" w:rsidP="00102391">
      <w:pPr>
        <w:jc w:val="both"/>
        <w:rPr>
          <w:rFonts w:ascii="Times New Roman" w:hAnsi="Times New Roman" w:cs="Times New Roman"/>
          <w:b/>
        </w:rPr>
      </w:pPr>
    </w:p>
    <w:p w:rsidR="00877509" w:rsidRPr="006A3F8B" w:rsidRDefault="00877509" w:rsidP="00102391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>w sprawie ustalenia regulaminu I</w:t>
      </w:r>
      <w:r w:rsidR="00D61C2F">
        <w:rPr>
          <w:rFonts w:ascii="Times New Roman" w:hAnsi="Times New Roman" w:cs="Times New Roman"/>
          <w:b/>
        </w:rPr>
        <w:t>I</w:t>
      </w:r>
      <w:r w:rsidRPr="006A3F8B">
        <w:rPr>
          <w:rFonts w:ascii="Times New Roman" w:hAnsi="Times New Roman" w:cs="Times New Roman"/>
          <w:b/>
        </w:rPr>
        <w:t xml:space="preserve">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F604C9">
        <w:rPr>
          <w:rFonts w:ascii="Times New Roman" w:hAnsi="Times New Roman" w:cs="Times New Roman"/>
          <w:b/>
        </w:rPr>
        <w:t xml:space="preserve">dwóch </w:t>
      </w:r>
      <w:r w:rsidR="006A3F8B" w:rsidRPr="006A3F8B">
        <w:rPr>
          <w:rFonts w:ascii="Times New Roman" w:hAnsi="Times New Roman" w:cs="Times New Roman"/>
          <w:b/>
        </w:rPr>
        <w:t>nieruchomości,  położon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 Toruniu przy </w:t>
      </w:r>
      <w:r w:rsidR="00CC5884">
        <w:rPr>
          <w:rFonts w:ascii="Times New Roman" w:hAnsi="Times New Roman" w:cs="Times New Roman"/>
          <w:b/>
        </w:rPr>
        <w:t xml:space="preserve">ul. </w:t>
      </w:r>
      <w:r w:rsidR="00F604C9">
        <w:rPr>
          <w:rFonts w:ascii="Times New Roman" w:hAnsi="Times New Roman" w:cs="Times New Roman"/>
          <w:b/>
        </w:rPr>
        <w:t>Rybaki  57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="00F604C9">
        <w:rPr>
          <w:rFonts w:ascii="Times New Roman" w:hAnsi="Times New Roman" w:cs="Times New Roman"/>
          <w:b/>
        </w:rPr>
        <w:t>oraz własność Skarbu Państwa i</w:t>
      </w:r>
      <w:r w:rsidRPr="006A3F8B">
        <w:rPr>
          <w:rFonts w:ascii="Times New Roman" w:hAnsi="Times New Roman" w:cs="Times New Roman"/>
          <w:b/>
        </w:rPr>
        <w:t xml:space="preserve"> powołania Komisji do przeprowadzenia  przetargu.</w:t>
      </w:r>
    </w:p>
    <w:p w:rsidR="00001558" w:rsidRPr="00050EE0" w:rsidRDefault="00001558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877509" w:rsidRPr="00050EE0" w:rsidRDefault="00877509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D61C2F">
        <w:rPr>
          <w:rFonts w:ascii="Times New Roman" w:hAnsi="Times New Roman" w:cs="Times New Roman"/>
        </w:rPr>
        <w:t xml:space="preserve">3 </w:t>
      </w:r>
      <w:r w:rsidRPr="00050EE0">
        <w:rPr>
          <w:rFonts w:ascii="Times New Roman" w:hAnsi="Times New Roman" w:cs="Times New Roman"/>
        </w:rPr>
        <w:t>r</w:t>
      </w:r>
      <w:r w:rsidR="00D61C2F">
        <w:rPr>
          <w:rFonts w:ascii="Times New Roman" w:hAnsi="Times New Roman" w:cs="Times New Roman"/>
        </w:rPr>
        <w:t>.</w:t>
      </w:r>
      <w:r w:rsidRPr="00050EE0">
        <w:rPr>
          <w:rFonts w:ascii="Times New Roman" w:hAnsi="Times New Roman" w:cs="Times New Roman"/>
        </w:rPr>
        <w:t xml:space="preserve"> poz. </w:t>
      </w:r>
      <w:r w:rsidR="00D61C2F">
        <w:rPr>
          <w:rFonts w:ascii="Times New Roman" w:hAnsi="Times New Roman" w:cs="Times New Roman"/>
        </w:rPr>
        <w:t>40</w:t>
      </w:r>
      <w:r w:rsidR="00261267">
        <w:rPr>
          <w:rFonts w:ascii="Times New Roman" w:hAnsi="Times New Roman" w:cs="Times New Roman"/>
        </w:rPr>
        <w:t>)</w:t>
      </w:r>
      <w:r w:rsidR="003D2391">
        <w:rPr>
          <w:rFonts w:ascii="Times New Roman" w:hAnsi="Times New Roman" w:cs="Times New Roman"/>
        </w:rPr>
        <w:t>,</w:t>
      </w:r>
      <w:r w:rsidR="007B0B5E" w:rsidRPr="00050EE0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 xml:space="preserve"> art. 23 ust. 1 pkt 7 ustawy z dnia 21 sierpnia 1997r. o gospodarce nieruchomościami (Dz. U. z 202</w:t>
      </w:r>
      <w:r w:rsidR="00D61C2F">
        <w:rPr>
          <w:rFonts w:ascii="Times New Roman" w:hAnsi="Times New Roman" w:cs="Times New Roman"/>
        </w:rPr>
        <w:t xml:space="preserve">3 </w:t>
      </w:r>
      <w:r w:rsidR="00261267">
        <w:rPr>
          <w:rFonts w:ascii="Times New Roman" w:hAnsi="Times New Roman" w:cs="Times New Roman"/>
        </w:rPr>
        <w:t xml:space="preserve">r. poz. </w:t>
      </w:r>
      <w:r w:rsidR="00D61C2F">
        <w:rPr>
          <w:rFonts w:ascii="Times New Roman" w:hAnsi="Times New Roman" w:cs="Times New Roman"/>
        </w:rPr>
        <w:t>344</w:t>
      </w:r>
      <w:r w:rsidR="00261267">
        <w:rPr>
          <w:rFonts w:ascii="Times New Roman" w:hAnsi="Times New Roman" w:cs="Times New Roman"/>
        </w:rPr>
        <w:t xml:space="preserve">), </w:t>
      </w:r>
      <w:r w:rsidR="007B0B5E" w:rsidRPr="00050EE0">
        <w:rPr>
          <w:rFonts w:ascii="Times New Roman" w:hAnsi="Times New Roman" w:cs="Times New Roman"/>
        </w:rPr>
        <w:t xml:space="preserve">Uchwały Nr </w:t>
      </w:r>
      <w:r w:rsidR="00261267">
        <w:rPr>
          <w:rFonts w:ascii="Times New Roman" w:hAnsi="Times New Roman" w:cs="Times New Roman"/>
        </w:rPr>
        <w:t>678</w:t>
      </w:r>
      <w:r w:rsidR="007B0B5E" w:rsidRPr="00050EE0">
        <w:rPr>
          <w:rFonts w:ascii="Times New Roman" w:hAnsi="Times New Roman" w:cs="Times New Roman"/>
        </w:rPr>
        <w:t>/</w:t>
      </w:r>
      <w:r w:rsidR="00261267">
        <w:rPr>
          <w:rFonts w:ascii="Times New Roman" w:hAnsi="Times New Roman" w:cs="Times New Roman"/>
        </w:rPr>
        <w:t>21</w:t>
      </w:r>
      <w:r w:rsidR="007B0B5E" w:rsidRPr="00050EE0">
        <w:rPr>
          <w:rFonts w:ascii="Times New Roman" w:hAnsi="Times New Roman" w:cs="Times New Roman"/>
        </w:rPr>
        <w:t xml:space="preserve"> Rady Miasta Torunia </w:t>
      </w:r>
      <w:r w:rsidR="00261267">
        <w:rPr>
          <w:rFonts w:ascii="Times New Roman" w:hAnsi="Times New Roman" w:cs="Times New Roman"/>
        </w:rPr>
        <w:t>z dnia 22 lipca 2021</w:t>
      </w:r>
      <w:r w:rsidR="00D61C2F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>r. w sprawie sprzedaży nieruchomości stanowiącej własność Gminy Miasta Toruń, położonej przy w Toruniu przy ul. Rybaki 57, Zarządzenia Nr 183/2022 Wojewody Kujawsko-Pomorskiego z dnia 13 września 2022</w:t>
      </w:r>
      <w:r w:rsidR="00D61C2F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>r. w sprawie wyrażenia zgody na zbycie, w drodze przetargu nieograniczonego nieruchomości stanowiącej własność Skarbu Państwa</w:t>
      </w:r>
      <w:r w:rsidR="00EE3614" w:rsidRPr="00050EE0">
        <w:rPr>
          <w:rFonts w:ascii="Times New Roman" w:hAnsi="Times New Roman" w:cs="Times New Roman"/>
        </w:rPr>
        <w:t xml:space="preserve"> </w:t>
      </w:r>
      <w:r w:rsidRPr="00050EE0">
        <w:rPr>
          <w:rFonts w:ascii="Times New Roman" w:hAnsi="Times New Roman" w:cs="Times New Roman"/>
        </w:rPr>
        <w:t>zarządza się, co następuje: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Pr="009502B4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</w:t>
      </w:r>
      <w:r w:rsidRPr="009502B4">
        <w:rPr>
          <w:rFonts w:ascii="Times New Roman" w:hAnsi="Times New Roman" w:cs="Times New Roman"/>
        </w:rPr>
        <w:t xml:space="preserve">Powołać Komisję do przeprowadzenia </w:t>
      </w:r>
      <w:r w:rsidR="00D61C2F">
        <w:rPr>
          <w:rFonts w:ascii="Times New Roman" w:hAnsi="Times New Roman" w:cs="Times New Roman"/>
        </w:rPr>
        <w:t>I</w:t>
      </w:r>
      <w:r w:rsidRPr="009502B4">
        <w:rPr>
          <w:rFonts w:ascii="Times New Roman" w:hAnsi="Times New Roman" w:cs="Times New Roman"/>
        </w:rPr>
        <w:t>I przetargu ustnego nieograniczonego na sprzedaż</w:t>
      </w:r>
      <w:r w:rsidR="00D73F4E" w:rsidRPr="009502B4">
        <w:rPr>
          <w:rFonts w:ascii="Times New Roman" w:hAnsi="Times New Roman" w:cs="Times New Roman"/>
        </w:rPr>
        <w:t xml:space="preserve"> </w:t>
      </w:r>
      <w:r w:rsidR="009502B4" w:rsidRPr="009502B4">
        <w:rPr>
          <w:rFonts w:ascii="Times New Roman" w:hAnsi="Times New Roman" w:cs="Times New Roman"/>
        </w:rPr>
        <w:t xml:space="preserve">dwóch nieruchomości,  położonych w Toruniu przy ul. Rybaki  57, stanowiących własność Gminy Miasta Toruń oraz własność Skarbu Państwa </w:t>
      </w:r>
      <w:r w:rsidRPr="009502B4">
        <w:rPr>
          <w:rFonts w:ascii="Times New Roman" w:hAnsi="Times New Roman" w:cs="Times New Roman"/>
        </w:rPr>
        <w:t>w następującym składzie: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7B0B5E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558" w:rsidRDefault="00001558" w:rsidP="00102391">
      <w:pPr>
        <w:pStyle w:val="Tekstpodstawowy"/>
        <w:spacing w:line="240" w:lineRule="auto"/>
        <w:rPr>
          <w:rFonts w:ascii="Times New Roman" w:hAnsi="Times New Roman" w:cs="Times New Roman"/>
          <w:vertAlign w:val="superscript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513537" w:rsidRDefault="00513537" w:rsidP="00513537">
      <w:pPr>
        <w:pStyle w:val="Akapitzlist"/>
        <w:autoSpaceDN w:val="0"/>
        <w:ind w:left="786"/>
        <w:jc w:val="both"/>
        <w:textAlignment w:val="top"/>
      </w:pPr>
      <w:r>
        <w:t xml:space="preserve"> </w:t>
      </w:r>
    </w:p>
    <w:p w:rsidR="00513537" w:rsidRDefault="00513537" w:rsidP="00513537">
      <w:pPr>
        <w:pStyle w:val="Akapitzlist"/>
        <w:autoSpaceDN w:val="0"/>
        <w:ind w:left="786"/>
        <w:jc w:val="both"/>
        <w:textAlignment w:val="top"/>
      </w:pPr>
    </w:p>
    <w:p w:rsidR="00877509" w:rsidRPr="00850056" w:rsidRDefault="00850056" w:rsidP="00513537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  <w:r w:rsidRPr="00850056">
        <w:rPr>
          <w:sz w:val="24"/>
          <w:szCs w:val="24"/>
        </w:rPr>
        <w:lastRenderedPageBreak/>
        <w:t xml:space="preserve">                                                                      </w:t>
      </w:r>
      <w:r w:rsidR="00877509" w:rsidRPr="00850056">
        <w:rPr>
          <w:sz w:val="24"/>
          <w:szCs w:val="24"/>
        </w:rPr>
        <w:t xml:space="preserve">Załącznik do Zarządzenia  nr </w:t>
      </w:r>
      <w:r w:rsidR="00CE41AA">
        <w:rPr>
          <w:sz w:val="24"/>
          <w:szCs w:val="24"/>
        </w:rPr>
        <w:t>64</w:t>
      </w:r>
    </w:p>
    <w:p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CE41AA">
        <w:rPr>
          <w:rFonts w:ascii="Times New Roman" w:hAnsi="Times New Roman" w:cs="Times New Roman"/>
        </w:rPr>
        <w:t>22.03.2023 r.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</w:t>
      </w:r>
      <w:r w:rsidR="00D61C2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PRZETARGU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D61C2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o gospodarce nieruchomościami oraz w Rozporządzeniu Rady Ministrów z dnia 14 września 2004 r</w:t>
      </w:r>
      <w:r w:rsidR="00D61C2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</w:t>
      </w:r>
      <w:r w:rsidR="009502B4">
        <w:rPr>
          <w:rFonts w:ascii="Times New Roman" w:hAnsi="Times New Roman" w:cs="Times New Roman"/>
        </w:rPr>
        <w:t>678/21</w:t>
      </w:r>
      <w:r w:rsidR="0073779F">
        <w:rPr>
          <w:rFonts w:ascii="Times New Roman" w:hAnsi="Times New Roman" w:cs="Times New Roman"/>
        </w:rPr>
        <w:t xml:space="preserve"> Rady Miasta Torunia z dnia </w:t>
      </w:r>
      <w:r w:rsidR="009502B4">
        <w:rPr>
          <w:rFonts w:ascii="Times New Roman" w:hAnsi="Times New Roman" w:cs="Times New Roman"/>
        </w:rPr>
        <w:t>22</w:t>
      </w:r>
      <w:r w:rsidR="0073779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>lipca</w:t>
      </w:r>
      <w:r w:rsidR="0073779F">
        <w:rPr>
          <w:rFonts w:ascii="Times New Roman" w:hAnsi="Times New Roman" w:cs="Times New Roman"/>
        </w:rPr>
        <w:t xml:space="preserve"> 202</w:t>
      </w:r>
      <w:r w:rsidR="009502B4">
        <w:rPr>
          <w:rFonts w:ascii="Times New Roman" w:hAnsi="Times New Roman" w:cs="Times New Roman"/>
        </w:rPr>
        <w:t>1</w:t>
      </w:r>
      <w:r w:rsidR="00D61C2F">
        <w:rPr>
          <w:rFonts w:ascii="Times New Roman" w:hAnsi="Times New Roman" w:cs="Times New Roman"/>
        </w:rPr>
        <w:t xml:space="preserve"> </w:t>
      </w:r>
      <w:r w:rsidR="0073779F">
        <w:rPr>
          <w:rFonts w:ascii="Times New Roman" w:hAnsi="Times New Roman" w:cs="Times New Roman"/>
        </w:rPr>
        <w:t xml:space="preserve">r. w </w:t>
      </w:r>
      <w:r w:rsidR="009502B4">
        <w:rPr>
          <w:rFonts w:ascii="Times New Roman" w:hAnsi="Times New Roman" w:cs="Times New Roman"/>
          <w:szCs w:val="24"/>
        </w:rPr>
        <w:t>sprawie sprzedaży nieruchomości</w:t>
      </w:r>
      <w:r w:rsidR="0073779F">
        <w:rPr>
          <w:rFonts w:ascii="Times New Roman" w:hAnsi="Times New Roman" w:cs="Times New Roman"/>
          <w:szCs w:val="24"/>
        </w:rPr>
        <w:t>, stanowiącej własność Gminy Miasta Toruń położonej przy</w:t>
      </w:r>
      <w:r w:rsidR="00261267">
        <w:rPr>
          <w:rFonts w:ascii="Times New Roman" w:hAnsi="Times New Roman" w:cs="Times New Roman"/>
          <w:szCs w:val="24"/>
        </w:rPr>
        <w:t xml:space="preserve"> </w:t>
      </w:r>
      <w:r w:rsidR="009502B4">
        <w:rPr>
          <w:rFonts w:ascii="Times New Roman" w:hAnsi="Times New Roman" w:cs="Times New Roman"/>
          <w:szCs w:val="24"/>
        </w:rPr>
        <w:t>w Toruniu przy</w:t>
      </w:r>
      <w:r w:rsidR="00D61C2F">
        <w:rPr>
          <w:rFonts w:ascii="Times New Roman" w:hAnsi="Times New Roman" w:cs="Times New Roman"/>
          <w:szCs w:val="24"/>
        </w:rPr>
        <w:br/>
      </w:r>
      <w:r w:rsidR="009502B4">
        <w:rPr>
          <w:rFonts w:ascii="Times New Roman" w:hAnsi="Times New Roman" w:cs="Times New Roman"/>
          <w:szCs w:val="24"/>
        </w:rPr>
        <w:t>ul. Rybaki 57</w:t>
      </w:r>
      <w:r w:rsidR="006F7263">
        <w:rPr>
          <w:rFonts w:ascii="Times New Roman" w:hAnsi="Times New Roman" w:cs="Times New Roman"/>
        </w:rPr>
        <w:t xml:space="preserve">, </w:t>
      </w:r>
      <w:r w:rsidR="009502B4">
        <w:rPr>
          <w:rFonts w:ascii="Times New Roman" w:hAnsi="Times New Roman" w:cs="Times New Roman"/>
        </w:rPr>
        <w:t xml:space="preserve">Zarządzenia Nr 183/2022 Wojewody </w:t>
      </w:r>
      <w:r w:rsidR="00261267">
        <w:rPr>
          <w:rFonts w:ascii="Times New Roman" w:hAnsi="Times New Roman" w:cs="Times New Roman"/>
        </w:rPr>
        <w:t xml:space="preserve">Kujawsko-Pomorskiego </w:t>
      </w:r>
      <w:r w:rsidR="009502B4">
        <w:rPr>
          <w:rFonts w:ascii="Times New Roman" w:hAnsi="Times New Roman" w:cs="Times New Roman"/>
        </w:rPr>
        <w:t>z dnia 13 września 2022</w:t>
      </w:r>
      <w:r w:rsidR="00D61C2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 xml:space="preserve">r. w sprawie wyrażenia zgody na zbycie, w drodze przetargu nieograniczonego nieruchomości stanowiącej własność Skarbu Państwa,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:rsidR="00877509" w:rsidRDefault="00877509" w:rsidP="00FE649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A24828">
        <w:rPr>
          <w:rFonts w:ascii="Times New Roman" w:hAnsi="Times New Roman" w:cs="Times New Roman"/>
          <w:b/>
        </w:rPr>
        <w:t xml:space="preserve">6 </w:t>
      </w:r>
      <w:r w:rsidR="00D61C2F">
        <w:rPr>
          <w:rFonts w:ascii="Times New Roman" w:hAnsi="Times New Roman" w:cs="Times New Roman"/>
          <w:b/>
        </w:rPr>
        <w:t>czerwca</w:t>
      </w:r>
      <w:r>
        <w:rPr>
          <w:rFonts w:ascii="Times New Roman" w:hAnsi="Times New Roman" w:cs="Times New Roman"/>
          <w:b/>
        </w:rPr>
        <w:t xml:space="preserve"> 202</w:t>
      </w:r>
      <w:r w:rsidR="00DD759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r. o godzinie  </w:t>
      </w:r>
      <w:r w:rsidR="00D61C2F">
        <w:rPr>
          <w:rFonts w:ascii="Times New Roman" w:hAnsi="Times New Roman" w:cs="Times New Roman"/>
          <w:b/>
        </w:rPr>
        <w:t>1</w:t>
      </w:r>
      <w:r w:rsidR="00A2482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:rsidR="009502B4" w:rsidRDefault="00FA1710" w:rsidP="009502B4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>§</w:t>
      </w:r>
      <w:r w:rsidR="00877509" w:rsidRPr="000D5C68">
        <w:rPr>
          <w:rFonts w:ascii="Times New Roman" w:hAnsi="Times New Roman" w:cs="Times New Roman"/>
        </w:rPr>
        <w:t xml:space="preserve">3.1. </w:t>
      </w:r>
      <w:r w:rsidR="00877509" w:rsidRPr="009502B4">
        <w:rPr>
          <w:rFonts w:ascii="Times New Roman" w:hAnsi="Times New Roman" w:cs="Times New Roman"/>
        </w:rPr>
        <w:t xml:space="preserve">Przedmiotem przetargu jest </w:t>
      </w:r>
      <w:r w:rsidR="000D5C68" w:rsidRPr="009502B4">
        <w:rPr>
          <w:rFonts w:ascii="Times New Roman" w:hAnsi="Times New Roman" w:cs="Times New Roman"/>
        </w:rPr>
        <w:t xml:space="preserve">sprzedaż </w:t>
      </w:r>
      <w:r w:rsidR="0010143A">
        <w:rPr>
          <w:rFonts w:ascii="Times New Roman" w:hAnsi="Times New Roman" w:cs="Times New Roman"/>
        </w:rPr>
        <w:t xml:space="preserve">dwóch </w:t>
      </w:r>
      <w:r w:rsidR="000D5C68" w:rsidRPr="009502B4">
        <w:rPr>
          <w:rFonts w:ascii="Times New Roman" w:hAnsi="Times New Roman" w:cs="Times New Roman"/>
        </w:rPr>
        <w:t xml:space="preserve">nieruchomości </w:t>
      </w:r>
      <w:r w:rsidR="009502B4" w:rsidRPr="009502B4">
        <w:rPr>
          <w:rFonts w:ascii="Times New Roman" w:hAnsi="Times New Roman" w:cs="Times New Roman"/>
        </w:rPr>
        <w:t>stanowiąc</w:t>
      </w:r>
      <w:r w:rsidR="00DA3B9C">
        <w:rPr>
          <w:rFonts w:ascii="Times New Roman" w:hAnsi="Times New Roman" w:cs="Times New Roman"/>
        </w:rPr>
        <w:t>ych</w:t>
      </w:r>
      <w:r w:rsidR="009502B4" w:rsidRPr="009502B4">
        <w:rPr>
          <w:rFonts w:ascii="Times New Roman" w:hAnsi="Times New Roman" w:cs="Times New Roman"/>
        </w:rPr>
        <w:t xml:space="preserve"> </w:t>
      </w:r>
      <w:r w:rsidR="0010143A">
        <w:rPr>
          <w:rFonts w:ascii="Times New Roman" w:hAnsi="Times New Roman" w:cs="Times New Roman"/>
        </w:rPr>
        <w:t>funkcjonalną całość będących własnością</w:t>
      </w:r>
      <w:r w:rsidR="009502B4">
        <w:rPr>
          <w:rFonts w:ascii="Times New Roman" w:hAnsi="Times New Roman" w:cs="Times New Roman"/>
        </w:rPr>
        <w:t>:</w:t>
      </w:r>
    </w:p>
    <w:p w:rsidR="00DA3B9C" w:rsidRP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</w:pPr>
      <w:r>
        <w:rPr>
          <w:sz w:val="24"/>
          <w:szCs w:val="24"/>
        </w:rPr>
        <w:t xml:space="preserve">Skarbu Państwa, </w:t>
      </w:r>
      <w:r w:rsidRPr="009502B4">
        <w:rPr>
          <w:sz w:val="24"/>
          <w:szCs w:val="24"/>
        </w:rPr>
        <w:t xml:space="preserve">położonej w Toruniu przy ul. Rybaki 57 w obrębie nr 12 oznaczonej geodezyjnie jako działka geod. nr </w:t>
      </w:r>
      <w:r>
        <w:rPr>
          <w:sz w:val="24"/>
          <w:szCs w:val="24"/>
        </w:rPr>
        <w:t>230</w:t>
      </w:r>
      <w:r w:rsidRPr="009502B4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0972</w:t>
      </w:r>
      <w:r w:rsidRPr="009502B4">
        <w:rPr>
          <w:sz w:val="24"/>
          <w:szCs w:val="24"/>
        </w:rPr>
        <w:t xml:space="preserve"> ha, zapisanej w księdze wieczystej KW Nr TO1T/</w:t>
      </w:r>
      <w:r>
        <w:rPr>
          <w:sz w:val="24"/>
          <w:szCs w:val="24"/>
        </w:rPr>
        <w:t>00001253/5 oraz</w:t>
      </w:r>
    </w:p>
    <w:p w:rsid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Gminy Miasta Toruń, położonej w Toruniu przy ul. Rybaki 57 w obrębie nr 12 oznaczonej geodezyjnie jako działka geod. nr 229 o powierzchni 0,1712 ha, zapisanej w księdze wieczystej KW Nr TO1T/00044534/2</w:t>
      </w:r>
      <w:r>
        <w:rPr>
          <w:sz w:val="24"/>
          <w:szCs w:val="24"/>
        </w:rPr>
        <w:t>.</w:t>
      </w:r>
    </w:p>
    <w:p w:rsidR="003D2391" w:rsidRDefault="00FA1710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 w:rsidRPr="00947C13">
        <w:rPr>
          <w:rFonts w:ascii="Times New Roman" w:eastAsia="Times New Roman" w:hAnsi="Times New Roman" w:cs="Times New Roman"/>
        </w:rPr>
        <w:t xml:space="preserve">  </w:t>
      </w:r>
      <w:r w:rsidR="00947C13" w:rsidRPr="00947C13">
        <w:rPr>
          <w:rFonts w:ascii="Times New Roman" w:eastAsia="Times New Roman" w:hAnsi="Times New Roman" w:cs="Times New Roman"/>
        </w:rPr>
        <w:t xml:space="preserve">        </w:t>
      </w:r>
      <w:r w:rsidR="00054BD5" w:rsidRPr="00947C13">
        <w:rPr>
          <w:rFonts w:ascii="Times New Roman" w:hAnsi="Times New Roman" w:cs="Times New Roman"/>
        </w:rPr>
        <w:t xml:space="preserve">2. </w:t>
      </w:r>
      <w:r w:rsidR="00947C13" w:rsidRPr="00947C13">
        <w:rPr>
          <w:rFonts w:ascii="Times New Roman" w:hAnsi="Times New Roman" w:cs="Times New Roman"/>
        </w:rPr>
        <w:t xml:space="preserve">Nieruchomość, o której </w:t>
      </w:r>
      <w:r w:rsidR="00947C13">
        <w:rPr>
          <w:rFonts w:ascii="Times New Roman" w:hAnsi="Times New Roman" w:cs="Times New Roman"/>
        </w:rPr>
        <w:t>mowa</w:t>
      </w:r>
      <w:r w:rsidR="00947C13" w:rsidRPr="00947C13">
        <w:rPr>
          <w:rFonts w:ascii="Times New Roman" w:hAnsi="Times New Roman" w:cs="Times New Roman"/>
        </w:rPr>
        <w:t xml:space="preserve"> w ust. 1 lit. a)</w:t>
      </w:r>
      <w:r w:rsidR="00947C13">
        <w:rPr>
          <w:rFonts w:ascii="Times New Roman" w:hAnsi="Times New Roman" w:cs="Times New Roman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jest zabudowana 4-kondygnacyjnym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, podpiwniczonym 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budynkiem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głównym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wybudowanym w 1900r. o powierzchni zabudowy 374,10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1396,10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8045,30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 xml:space="preserve">3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oraz niepodpiwniczonym,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2-kondygnacyjnym budynkiem oficyny o powierzchni zabudowy 296,04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551,28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1890, 25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3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. </w:t>
      </w:r>
    </w:p>
    <w:p w:rsidR="009A2489" w:rsidRDefault="003D2391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W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ymiary budynku głównego: - szerokość: 18,20m – długość: 22,80m – wysokość: 17,51m. Konstrukcja ścian budynku murowana z cegły ceramicznej pełnej na zaprawie wapiennej. Ściany nośne zewnętrzne oraz fundamentowe gr. 60 cm, ściany nośne wewnętrzne gr. 30 cm. Budynek na planie prostokąta. Konstrukcja stropów i schodów </w:t>
      </w:r>
      <w:r w:rsidR="000F7B2D">
        <w:rPr>
          <w:rFonts w:ascii="Times New Roman" w:hAnsi="Times New Roman" w:cs="Times New Roman"/>
          <w:kern w:val="1"/>
          <w:lang w:bidi="pl-PL"/>
        </w:rPr>
        <w:t>żelbetowa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. 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Pokrycie dachu wykonane z papy. Stropodach o spadku 9% z przestrzenią wentylacyjną. </w:t>
      </w:r>
      <w:r w:rsidR="00FF0BAB">
        <w:rPr>
          <w:rFonts w:ascii="Times New Roman" w:hAnsi="Times New Roman" w:cs="Times New Roman"/>
          <w:kern w:val="1"/>
          <w:lang w:bidi="pl-PL"/>
        </w:rPr>
        <w:t>Elewacja frontowa posiada przeszklone loggie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,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 ornamenty oraz liczne detale architektoniczne.</w:t>
      </w:r>
      <w:r w:rsidR="000F7B2D">
        <w:rPr>
          <w:rFonts w:ascii="Times New Roman" w:hAnsi="Times New Roman" w:cs="Times New Roman"/>
          <w:kern w:val="1"/>
          <w:lang w:bidi="pl-PL"/>
        </w:rPr>
        <w:t xml:space="preserve"> Okna w budynku są wykonane z tworzywa PCV oraz drewniane.</w:t>
      </w:r>
      <w:r w:rsidR="00580E01">
        <w:rPr>
          <w:rFonts w:ascii="Times New Roman" w:hAnsi="Times New Roman" w:cs="Times New Roman"/>
          <w:kern w:val="1"/>
          <w:lang w:bidi="pl-PL"/>
        </w:rPr>
        <w:t xml:space="preserve"> Większość zachowana w stanie dobrym. Drewniana stolarka drzwiowa. Budynek podłączony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 </w:t>
      </w:r>
      <w:r w:rsidR="00580E01">
        <w:rPr>
          <w:rFonts w:ascii="Times New Roman" w:hAnsi="Times New Roman" w:cs="Times New Roman"/>
          <w:kern w:val="1"/>
          <w:lang w:bidi="pl-PL"/>
        </w:rPr>
        <w:t>do mediów</w:t>
      </w:r>
      <w:r>
        <w:rPr>
          <w:rFonts w:ascii="Times New Roman" w:hAnsi="Times New Roman" w:cs="Times New Roman"/>
          <w:kern w:val="1"/>
          <w:lang w:bidi="pl-PL"/>
        </w:rPr>
        <w:t xml:space="preserve"> </w:t>
      </w:r>
      <w:r w:rsidR="000F7A5F">
        <w:rPr>
          <w:rFonts w:ascii="Times New Roman" w:hAnsi="Times New Roman" w:cs="Times New Roman"/>
          <w:kern w:val="1"/>
          <w:lang w:bidi="pl-PL"/>
        </w:rPr>
        <w:t>(woda, prąd, kanalizacja, gaz). Wewnętrzna instalacja w dużej mierze zdemontowana, brak grzejników.</w:t>
      </w:r>
      <w:r w:rsidR="009A2489" w:rsidRPr="009A2489">
        <w:rPr>
          <w:rFonts w:ascii="Times New Roman" w:hAnsi="Times New Roman" w:cs="Times New Roman"/>
          <w:lang w:bidi="pl-PL"/>
        </w:rPr>
        <w:t xml:space="preserve"> </w:t>
      </w:r>
      <w:r w:rsidR="009A2489">
        <w:rPr>
          <w:rFonts w:ascii="Times New Roman" w:hAnsi="Times New Roman" w:cs="Times New Roman"/>
          <w:lang w:bidi="pl-PL"/>
        </w:rPr>
        <w:t xml:space="preserve">Pierwotnie 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budyn</w:t>
      </w:r>
      <w:r w:rsidR="009A2489">
        <w:rPr>
          <w:rFonts w:ascii="Times New Roman" w:hAnsi="Times New Roman" w:cs="Times New Roman"/>
          <w:kern w:val="1"/>
          <w:lang w:bidi="pl-PL"/>
        </w:rPr>
        <w:t>e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k</w:t>
      </w:r>
      <w:r w:rsidR="009A2489">
        <w:rPr>
          <w:rFonts w:ascii="Times New Roman" w:hAnsi="Times New Roman" w:cs="Times New Roman"/>
          <w:kern w:val="1"/>
          <w:lang w:bidi="pl-PL"/>
        </w:rPr>
        <w:t xml:space="preserve"> główny pełnił funkcje mieszkalne, następnie przeznaczony został na funkcje oświatowe.</w:t>
      </w:r>
      <w:r w:rsidR="009A2489" w:rsidRPr="00947C13">
        <w:rPr>
          <w:rFonts w:ascii="Times New Roman" w:hAnsi="Times New Roman" w:cs="Times New Roman"/>
          <w:lang w:bidi="pl-PL"/>
        </w:rPr>
        <w:t xml:space="preserve"> Obecnie stanowi on pustostan, bowiem od sierpnia 2018r. Centrum Kształcenia Ustawicznego przeniosło swą działalność do budynku przy Placu Św. Katarzyny 8</w:t>
      </w:r>
      <w:r w:rsidR="009A2489">
        <w:rPr>
          <w:rFonts w:ascii="Times New Roman" w:hAnsi="Times New Roman" w:cs="Times New Roman"/>
          <w:lang w:bidi="pl-PL"/>
        </w:rPr>
        <w:t>.</w:t>
      </w:r>
      <w:r w:rsidR="009A2489" w:rsidRPr="00947C13">
        <w:rPr>
          <w:rFonts w:ascii="Times New Roman" w:hAnsi="Times New Roman" w:cs="Times New Roman"/>
          <w:kern w:val="1"/>
          <w:lang w:bidi="pl-PL"/>
        </w:rPr>
        <w:t xml:space="preserve"> W piwnicy budynku znajdowały się szatnie, kotłownia, zaplecze kuchenne z jadalnią. Kondygnacje nadziemne przeznaczone były na sale lekcyjne oraz pomieszczenia pomocnicze, tj. archiwum, portiernię, gabinet dla nauczycieli, gabinet dyrektora szkoły, sekretaria</w:t>
      </w:r>
      <w:r w:rsidR="009A2489">
        <w:rPr>
          <w:rFonts w:ascii="Times New Roman" w:hAnsi="Times New Roman" w:cs="Times New Roman"/>
          <w:kern w:val="1"/>
          <w:lang w:bidi="pl-PL"/>
        </w:rPr>
        <w:t>t.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 xml:space="preserve">W tylnej części działki 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nr 230 </w:t>
      </w:r>
      <w:r>
        <w:rPr>
          <w:rFonts w:ascii="Times New Roman" w:hAnsi="Times New Roman" w:cs="Times New Roman"/>
          <w:kern w:val="1"/>
          <w:lang w:bidi="pl-PL"/>
        </w:rPr>
        <w:t xml:space="preserve">znajduje się budynek pomocniczy – oficyna, w którym </w:t>
      </w:r>
      <w:r>
        <w:rPr>
          <w:rFonts w:ascii="Times New Roman" w:hAnsi="Times New Roman" w:cs="Times New Roman"/>
          <w:kern w:val="1"/>
          <w:lang w:bidi="pl-PL"/>
        </w:rPr>
        <w:lastRenderedPageBreak/>
        <w:t>znajdowała się w biblioteka z czytelnią, sale, garaże oraz budynek gospodarczy. Poszczególne części budynku wybudowane były w różnych okresach czasowych i o różnych wysokościach. Pomieszczenia budynku w jego wschodniej części znajdują się w obrębie działki gminnej nr 229, będącej również przedmiotem sprzedaży. Budynek podłączony jest do mediów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 </w:t>
      </w:r>
      <w:r>
        <w:rPr>
          <w:rFonts w:ascii="Times New Roman" w:hAnsi="Times New Roman" w:cs="Times New Roman"/>
          <w:kern w:val="1"/>
          <w:lang w:bidi="pl-PL"/>
        </w:rPr>
        <w:t>(woda, prąd, kanalizacja).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Rzeczoznawca majątkowy określił stan techniczny budynku głównego jako zadawalający, budynku oficyny jako średni. Standard wykończenia budynków: niski.</w:t>
      </w:r>
    </w:p>
    <w:p w:rsidR="002D304D" w:rsidRPr="009A2489" w:rsidRDefault="009A2489" w:rsidP="002D304D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ab/>
        <w:t xml:space="preserve">3. </w:t>
      </w:r>
      <w:r w:rsidR="00DA3B9C" w:rsidRPr="00947C13">
        <w:rPr>
          <w:rFonts w:ascii="Times New Roman" w:hAnsi="Times New Roman" w:cs="Times New Roman"/>
        </w:rPr>
        <w:t>Nieruchomość opisana w</w:t>
      </w:r>
      <w:r>
        <w:rPr>
          <w:rFonts w:ascii="Times New Roman" w:hAnsi="Times New Roman" w:cs="Times New Roman"/>
        </w:rPr>
        <w:t xml:space="preserve"> </w:t>
      </w:r>
      <w:r w:rsidR="00DA3B9C" w:rsidRPr="00947C13">
        <w:rPr>
          <w:rFonts w:ascii="Times New Roman" w:hAnsi="Times New Roman" w:cs="Times New Roman"/>
        </w:rPr>
        <w:t xml:space="preserve">ust. 1 lit.  </w:t>
      </w:r>
      <w:r>
        <w:rPr>
          <w:rFonts w:ascii="Times New Roman" w:hAnsi="Times New Roman" w:cs="Times New Roman"/>
        </w:rPr>
        <w:t>b</w:t>
      </w:r>
      <w:r w:rsidR="00DA3B9C" w:rsidRPr="00947C13">
        <w:rPr>
          <w:rFonts w:ascii="Times New Roman" w:hAnsi="Times New Roman" w:cs="Times New Roman"/>
        </w:rPr>
        <w:t>)</w:t>
      </w:r>
      <w:r w:rsidR="00DA3B9C" w:rsidRPr="00947C13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zabudowana jest w części o powierzchni </w:t>
      </w:r>
      <w:r w:rsidR="00DA3B9C" w:rsidRPr="00947C13">
        <w:rPr>
          <w:rFonts w:ascii="Times New Roman" w:hAnsi="Times New Roman" w:cs="Times New Roman"/>
          <w:lang w:bidi="pl-PL"/>
        </w:rPr>
        <w:t>ca. 0,0106 ha fragmentem oficyny (niepodpiwniczonym, dwukondygnacyjnym oraz</w:t>
      </w:r>
      <w:r w:rsidR="00DA3B9C" w:rsidRPr="00947C13">
        <w:rPr>
          <w:rFonts w:ascii="Times New Roman" w:hAnsi="Times New Roman" w:cs="Times New Roman"/>
          <w:lang w:bidi="pl-PL"/>
        </w:rPr>
        <w:br/>
        <w:t>w części parterowym - wschodnia część), która jest usytuowana na działce sąsiedniej o nr  230</w:t>
      </w:r>
      <w:r w:rsidR="00DC5FA6">
        <w:rPr>
          <w:rFonts w:ascii="Times New Roman" w:hAnsi="Times New Roman" w:cs="Times New Roman"/>
          <w:lang w:bidi="pl-PL"/>
        </w:rPr>
        <w:t xml:space="preserve">. </w:t>
      </w:r>
      <w:r w:rsidR="00DA3B9C" w:rsidRPr="00947C13">
        <w:rPr>
          <w:rFonts w:ascii="Times New Roman" w:hAnsi="Times New Roman" w:cs="Times New Roman"/>
          <w:lang w:bidi="pl-PL"/>
        </w:rPr>
        <w:t xml:space="preserve">Oficyna stanowi pustostan, a wejście do niej znajduje się od strony działki nr 230. Działka </w:t>
      </w:r>
      <w:r w:rsidR="003D2391">
        <w:rPr>
          <w:rFonts w:ascii="Times New Roman" w:hAnsi="Times New Roman" w:cs="Times New Roman"/>
          <w:lang w:bidi="pl-PL"/>
        </w:rPr>
        <w:t xml:space="preserve">nr 229 </w:t>
      </w:r>
      <w:r w:rsidR="00DA3B9C" w:rsidRPr="00947C13">
        <w:rPr>
          <w:rFonts w:ascii="Times New Roman" w:hAnsi="Times New Roman" w:cs="Times New Roman"/>
          <w:lang w:bidi="pl-PL"/>
        </w:rPr>
        <w:t xml:space="preserve">jest ogrodzona. </w:t>
      </w:r>
      <w:r w:rsidR="002D304D" w:rsidRPr="009A2489">
        <w:rPr>
          <w:rFonts w:ascii="Times New Roman" w:hAnsi="Times New Roman" w:cs="Times New Roman"/>
          <w:kern w:val="1"/>
          <w:lang w:bidi="pl-PL"/>
        </w:rPr>
        <w:t>Uzbrojenie:  nieruchomość położona w zasięgu sieci energetycznej, wodociągowej, kanalizacji sanitarnej i deszczowej, teletechnicznej i gazowej.</w:t>
      </w:r>
    </w:p>
    <w:p w:rsidR="00B92AC1" w:rsidRDefault="00661B2D" w:rsidP="002D304D">
      <w:pPr>
        <w:jc w:val="both"/>
        <w:rPr>
          <w:rFonts w:ascii="Times New Roman" w:hAnsi="Times New Roman" w:cs="Times New Roman"/>
        </w:rPr>
      </w:pPr>
      <w:r w:rsidRPr="00661B2D">
        <w:rPr>
          <w:rFonts w:ascii="Times New Roman" w:hAnsi="Times New Roman" w:cs="Times New Roman"/>
          <w:lang w:bidi="pl-PL"/>
        </w:rPr>
        <w:t xml:space="preserve">            4. </w:t>
      </w:r>
      <w:r w:rsidR="00DA3B9C" w:rsidRPr="00661B2D">
        <w:rPr>
          <w:rFonts w:ascii="Times New Roman" w:hAnsi="Times New Roman" w:cs="Times New Roman"/>
          <w:lang w:bidi="pl-PL"/>
        </w:rPr>
        <w:t xml:space="preserve">Dojazd do </w:t>
      </w:r>
      <w:r w:rsidRPr="00661B2D">
        <w:rPr>
          <w:rFonts w:ascii="Times New Roman" w:hAnsi="Times New Roman" w:cs="Times New Roman"/>
          <w:lang w:bidi="pl-PL"/>
        </w:rPr>
        <w:t>nieruchomości przy ul. Rybaki 57 (działki nr 229 i 230)</w:t>
      </w:r>
      <w:r w:rsidR="00DA3B9C" w:rsidRPr="00661B2D">
        <w:rPr>
          <w:rFonts w:ascii="Times New Roman" w:hAnsi="Times New Roman" w:cs="Times New Roman"/>
          <w:lang w:bidi="pl-PL"/>
        </w:rPr>
        <w:t xml:space="preserve"> odbywa się z ulicy Rybaki poprzez działkę nr 228/7, stanowiącą własność Gminy Miasta Toruń</w:t>
      </w:r>
      <w:r w:rsidRPr="00661B2D">
        <w:rPr>
          <w:rFonts w:ascii="Times New Roman" w:hAnsi="Times New Roman" w:cs="Times New Roman"/>
          <w:lang w:bidi="pl-PL"/>
        </w:rPr>
        <w:t>. W umowie sprzedaży zostanie ustanowiona odpłatna służebność gruntowa polegająca na prawie przechodu</w:t>
      </w:r>
      <w:r w:rsidRPr="00661B2D">
        <w:rPr>
          <w:rFonts w:ascii="Times New Roman" w:hAnsi="Times New Roman" w:cs="Times New Roman"/>
          <w:lang w:bidi="pl-PL"/>
        </w:rPr>
        <w:br/>
        <w:t xml:space="preserve">i przejazdu po terenie działki nr 228/7 położonej w obrębie nr 12 przy ul. Rybaki 51A, KW Nr TO1T/00044533/5 </w:t>
      </w:r>
      <w:r w:rsidRPr="00661B2D">
        <w:rPr>
          <w:rFonts w:ascii="Times New Roman" w:hAnsi="Times New Roman" w:cs="Times New Roman"/>
        </w:rPr>
        <w:t>o powierzchni 81 m</w:t>
      </w:r>
      <w:r w:rsidRPr="00661B2D">
        <w:rPr>
          <w:rFonts w:ascii="Times New Roman" w:hAnsi="Times New Roman" w:cs="Times New Roman"/>
          <w:vertAlign w:val="superscript"/>
        </w:rPr>
        <w:t>2</w:t>
      </w:r>
      <w:r w:rsidRPr="00661B2D">
        <w:rPr>
          <w:rFonts w:ascii="Times New Roman" w:hAnsi="Times New Roman" w:cs="Times New Roman"/>
        </w:rPr>
        <w:t xml:space="preserve"> (pas terenu o pow. 4,5m x 18m), na rzecz każdoczesnych właścicieli nieruchomości </w:t>
      </w:r>
      <w:r>
        <w:rPr>
          <w:rFonts w:ascii="Times New Roman" w:hAnsi="Times New Roman" w:cs="Times New Roman"/>
        </w:rPr>
        <w:t xml:space="preserve">położonych przy ul. </w:t>
      </w:r>
      <w:r w:rsidR="002D30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ybaki 57, </w:t>
      </w:r>
      <w:r w:rsidR="002D304D">
        <w:rPr>
          <w:rFonts w:ascii="Times New Roman" w:hAnsi="Times New Roman" w:cs="Times New Roman"/>
        </w:rPr>
        <w:t>oznaczonych</w:t>
      </w:r>
      <w:r>
        <w:rPr>
          <w:rFonts w:ascii="Times New Roman" w:hAnsi="Times New Roman" w:cs="Times New Roman"/>
        </w:rPr>
        <w:t xml:space="preserve"> jako działki 229 i 230 w obrębie nr 12.</w:t>
      </w:r>
      <w:r w:rsidR="002D304D">
        <w:rPr>
          <w:rFonts w:ascii="Times New Roman" w:hAnsi="Times New Roman" w:cs="Times New Roman"/>
        </w:rPr>
        <w:t xml:space="preserve"> J</w:t>
      </w:r>
      <w:r w:rsidRPr="00944AA6">
        <w:rPr>
          <w:rFonts w:ascii="Times New Roman" w:hAnsi="Times New Roman" w:cs="Times New Roman"/>
        </w:rPr>
        <w:t xml:space="preserve">ednorazowe wynagrodzenie za ustanowienie służebności gruntowej wynosi </w:t>
      </w:r>
      <w:r w:rsidR="002D304D">
        <w:rPr>
          <w:rFonts w:ascii="Times New Roman" w:hAnsi="Times New Roman" w:cs="Times New Roman"/>
        </w:rPr>
        <w:t>27.687,30</w:t>
      </w:r>
      <w:r w:rsidRPr="00944AA6">
        <w:rPr>
          <w:rFonts w:ascii="Times New Roman" w:hAnsi="Times New Roman" w:cs="Times New Roman"/>
        </w:rPr>
        <w:t xml:space="preserve"> zł</w:t>
      </w:r>
      <w:r w:rsidR="002D304D">
        <w:rPr>
          <w:rFonts w:ascii="Times New Roman" w:hAnsi="Times New Roman" w:cs="Times New Roman"/>
        </w:rPr>
        <w:t xml:space="preserve"> brutto ( w tym VAT w wysokości</w:t>
      </w:r>
      <w:r w:rsidRPr="00944AA6">
        <w:rPr>
          <w:rFonts w:ascii="Times New Roman" w:hAnsi="Times New Roman" w:cs="Times New Roman"/>
        </w:rPr>
        <w:t xml:space="preserve"> 23 %)</w:t>
      </w:r>
      <w:r>
        <w:rPr>
          <w:rFonts w:ascii="Times New Roman" w:hAnsi="Times New Roman" w:cs="Times New Roman"/>
        </w:rPr>
        <w:t>.</w:t>
      </w:r>
    </w:p>
    <w:p w:rsidR="00783176" w:rsidRDefault="00C62A38" w:rsidP="001F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5101">
        <w:rPr>
          <w:rFonts w:ascii="Times New Roman" w:hAnsi="Times New Roman" w:cs="Times New Roman"/>
        </w:rPr>
        <w:t>5</w:t>
      </w:r>
      <w:r w:rsidR="00B92AC1">
        <w:rPr>
          <w:rFonts w:ascii="Times New Roman" w:hAnsi="Times New Roman" w:cs="Times New Roman"/>
        </w:rPr>
        <w:t>. Przed przystąpieniem do przetargu jego uczestnik winien we własnym zakresie ustalić możliwość realizacji na nieruchomości planowanego przedsięwzięcia oraz jego zgodność z przepisami odrębnymi.</w:t>
      </w:r>
    </w:p>
    <w:p w:rsidR="000057F0" w:rsidRDefault="000057F0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5101">
        <w:rPr>
          <w:rFonts w:ascii="Times New Roman" w:hAnsi="Times New Roman" w:cs="Times New Roman"/>
        </w:rPr>
        <w:t>6</w:t>
      </w:r>
      <w:r w:rsidRPr="00017B76">
        <w:rPr>
          <w:rFonts w:ascii="Times New Roman" w:hAnsi="Times New Roman" w:cs="Times New Roman"/>
          <w:color w:val="000000" w:themeColor="text1"/>
        </w:rPr>
        <w:t xml:space="preserve">. </w:t>
      </w:r>
      <w:r w:rsidR="00B97E5B" w:rsidRPr="00017B76">
        <w:rPr>
          <w:rFonts w:ascii="Times New Roman" w:hAnsi="Times New Roman" w:cs="Times New Roman"/>
        </w:rPr>
        <w:t xml:space="preserve">Działki będące </w:t>
      </w:r>
      <w:r w:rsidR="00017B76" w:rsidRPr="00017B76">
        <w:rPr>
          <w:rFonts w:ascii="Times New Roman" w:hAnsi="Times New Roman" w:cs="Times New Roman"/>
        </w:rPr>
        <w:t>przedmiotem</w:t>
      </w:r>
      <w:r w:rsidR="00B97E5B" w:rsidRPr="00017B76">
        <w:rPr>
          <w:rFonts w:ascii="Times New Roman" w:hAnsi="Times New Roman" w:cs="Times New Roman"/>
        </w:rPr>
        <w:t xml:space="preserve"> </w:t>
      </w:r>
      <w:r w:rsidR="00017B76" w:rsidRPr="00017B76">
        <w:rPr>
          <w:rFonts w:ascii="Times New Roman" w:hAnsi="Times New Roman" w:cs="Times New Roman"/>
        </w:rPr>
        <w:t>sprzedaży</w:t>
      </w:r>
      <w:r w:rsidR="00B97E5B" w:rsidRPr="00017B76">
        <w:rPr>
          <w:rFonts w:ascii="Times New Roman" w:hAnsi="Times New Roman" w:cs="Times New Roman"/>
        </w:rPr>
        <w:t xml:space="preserve"> znajdują się poza granicami obszaru bezpośredniego zagrożenia </w:t>
      </w:r>
      <w:r w:rsidR="005106CB" w:rsidRPr="00017B76">
        <w:rPr>
          <w:rFonts w:ascii="Times New Roman" w:hAnsi="Times New Roman" w:cs="Times New Roman"/>
        </w:rPr>
        <w:t>powodzią</w:t>
      </w:r>
      <w:r w:rsidR="00B97E5B" w:rsidRPr="00017B76">
        <w:rPr>
          <w:rFonts w:ascii="Times New Roman" w:hAnsi="Times New Roman" w:cs="Times New Roman"/>
        </w:rPr>
        <w:t xml:space="preserve"> oraz poza granicami obszaru zagrożonego osuwaniem się mas </w:t>
      </w:r>
      <w:r w:rsidR="005106CB" w:rsidRPr="00017B76">
        <w:rPr>
          <w:rFonts w:ascii="Times New Roman" w:hAnsi="Times New Roman" w:cs="Times New Roman"/>
        </w:rPr>
        <w:t>ziemnych</w:t>
      </w:r>
      <w:r w:rsidR="005106CB">
        <w:rPr>
          <w:rFonts w:ascii="Times New Roman" w:hAnsi="Times New Roman" w:cs="Times New Roman"/>
        </w:rPr>
        <w:t xml:space="preserve"> </w:t>
      </w:r>
      <w:r w:rsidR="00B97E5B" w:rsidRPr="00017B76">
        <w:rPr>
          <w:rFonts w:ascii="Times New Roman" w:hAnsi="Times New Roman" w:cs="Times New Roman"/>
        </w:rPr>
        <w:t>.</w:t>
      </w:r>
    </w:p>
    <w:p w:rsidR="001F59E7" w:rsidRDefault="001F59E7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B43B8" w:rsidRDefault="009B5DC9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877509" w:rsidRPr="002D304D">
        <w:rPr>
          <w:rFonts w:ascii="Times New Roman" w:hAnsi="Times New Roman" w:cs="Times New Roman"/>
        </w:rPr>
        <w:t xml:space="preserve">§4.1. </w:t>
      </w:r>
      <w:r w:rsidR="002D304D" w:rsidRPr="002D304D">
        <w:rPr>
          <w:rFonts w:ascii="Times New Roman" w:hAnsi="Times New Roman" w:cs="Times New Roman"/>
          <w:szCs w:val="24"/>
        </w:rPr>
        <w:t>Nieruchomości położone przy ul. Rybaki 57 w Toruniu  usytuowane są na terenie objętym miejscowym planem zagospodarowania przestrzennego dla terenu położonego</w:t>
      </w:r>
      <w:r w:rsidR="002D304D" w:rsidRPr="002D304D">
        <w:rPr>
          <w:rFonts w:ascii="Times New Roman" w:hAnsi="Times New Roman" w:cs="Times New Roman"/>
          <w:szCs w:val="24"/>
        </w:rPr>
        <w:br/>
        <w:t xml:space="preserve">na Bydgoskim Przedmieściu w Toruniu, ograniczonego ulicami: Szosa Bydgoska, Bydgoska, Danielewskiego, Rybaki oraz ujściem Portu Zimowego, linią brzegową Wisły i terenami rezerwowanymi pod zachodnią przeprawę mostową, zatwierdzonym Uchwałą Nr 131/11 Rady Miasta Torunia z dnia 30 czerwca 2011r., na obszarze jednostki planistycznej oznaczonej symbolem 9.05.U/ZP6/ZZ, dla której ustalono przeznaczenie podstawowe: </w:t>
      </w:r>
      <w:r w:rsidR="006B43B8" w:rsidRPr="006B43B8">
        <w:rPr>
          <w:rFonts w:ascii="Times New Roman" w:hAnsi="Times New Roman" w:cs="Times New Roman"/>
          <w:i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usługi użyteczności </w:t>
      </w:r>
      <w:r w:rsidR="001F5101">
        <w:rPr>
          <w:rFonts w:ascii="Times New Roman" w:hAnsi="Times New Roman" w:cs="Times New Roman"/>
          <w:i/>
          <w:szCs w:val="24"/>
        </w:rPr>
        <w:t xml:space="preserve">publicznej 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w zieleni urządzonej </w:t>
      </w:r>
      <w:r w:rsidR="006B43B8" w:rsidRPr="006B43B8">
        <w:rPr>
          <w:rFonts w:ascii="Times New Roman" w:hAnsi="Times New Roman" w:cs="Times New Roman"/>
          <w:i/>
          <w:szCs w:val="24"/>
        </w:rPr>
        <w:t>w części na obszarze bezpośredniego zagrożenia powodzią”</w:t>
      </w:r>
      <w:r w:rsidR="002D304D" w:rsidRPr="002D304D">
        <w:rPr>
          <w:rFonts w:ascii="Times New Roman" w:hAnsi="Times New Roman" w:cs="Times New Roman"/>
          <w:szCs w:val="24"/>
        </w:rPr>
        <w:t xml:space="preserve"> oraz przeznaczenie dopuszczalne: </w:t>
      </w:r>
      <w:r w:rsidR="006B43B8">
        <w:rPr>
          <w:rFonts w:ascii="Times New Roman" w:hAnsi="Times New Roman" w:cs="Times New Roman"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>zabudowa mieszkaniowa związana wyłącznie z funkcją podstawową</w:t>
      </w:r>
      <w:r w:rsidR="006B43B8">
        <w:rPr>
          <w:rFonts w:ascii="Times New Roman" w:hAnsi="Times New Roman" w:cs="Times New Roman"/>
          <w:i/>
          <w:szCs w:val="24"/>
        </w:rPr>
        <w:t xml:space="preserve">, infrastruktura techniczna z zastrzeżeniem §4 pkt 1”, </w:t>
      </w:r>
      <w:r w:rsidR="006B43B8" w:rsidRPr="006B43B8">
        <w:rPr>
          <w:rFonts w:ascii="Times New Roman" w:hAnsi="Times New Roman" w:cs="Times New Roman"/>
          <w:szCs w:val="24"/>
        </w:rPr>
        <w:t>tj</w:t>
      </w:r>
      <w:r w:rsidR="006B43B8">
        <w:rPr>
          <w:rFonts w:ascii="Times New Roman" w:hAnsi="Times New Roman" w:cs="Times New Roman"/>
          <w:szCs w:val="24"/>
        </w:rPr>
        <w:t>.</w:t>
      </w:r>
      <w:r w:rsidR="002D304D" w:rsidRPr="002D304D">
        <w:rPr>
          <w:rFonts w:ascii="Times New Roman" w:hAnsi="Times New Roman" w:cs="Times New Roman"/>
          <w:szCs w:val="24"/>
        </w:rPr>
        <w:t xml:space="preserve"> </w:t>
      </w:r>
      <w:r w:rsidR="006B43B8">
        <w:rPr>
          <w:rFonts w:ascii="Times New Roman" w:hAnsi="Times New Roman" w:cs="Times New Roman"/>
          <w:szCs w:val="24"/>
        </w:rPr>
        <w:t>n</w:t>
      </w:r>
      <w:r w:rsidR="006B43B8" w:rsidRPr="002D304D">
        <w:rPr>
          <w:rFonts w:ascii="Times New Roman" w:hAnsi="Times New Roman" w:cs="Times New Roman"/>
          <w:szCs w:val="24"/>
        </w:rPr>
        <w:t xml:space="preserve">akaz realizacji sieci infrastruktury technicznej (nowych i przebudowywanych) jako podziemnych z wyłączeniem elementów sieci związanych z obsługą terenu np. oświetlenie, hydranty </w:t>
      </w:r>
      <w:proofErr w:type="spellStart"/>
      <w:r w:rsidR="006B43B8" w:rsidRPr="002D304D">
        <w:rPr>
          <w:rFonts w:ascii="Times New Roman" w:hAnsi="Times New Roman" w:cs="Times New Roman"/>
          <w:szCs w:val="24"/>
        </w:rPr>
        <w:t>ppoż</w:t>
      </w:r>
      <w:proofErr w:type="spellEnd"/>
      <w:r w:rsidR="006B43B8" w:rsidRPr="002D304D">
        <w:rPr>
          <w:rFonts w:ascii="Times New Roman" w:hAnsi="Times New Roman" w:cs="Times New Roman"/>
          <w:szCs w:val="24"/>
        </w:rPr>
        <w:t xml:space="preserve">, itp. </w:t>
      </w:r>
    </w:p>
    <w:p w:rsidR="001F5101" w:rsidRPr="001F5101" w:rsidRDefault="001F5101" w:rsidP="001F5101">
      <w:pPr>
        <w:jc w:val="both"/>
        <w:rPr>
          <w:rFonts w:ascii="Times New Roman" w:hAnsi="Times New Roman" w:cs="Times New Roman"/>
          <w:b/>
        </w:rPr>
      </w:pPr>
      <w:r w:rsidRPr="001F5101">
        <w:rPr>
          <w:rStyle w:val="Pogrubienie"/>
          <w:rFonts w:ascii="Times New Roman" w:hAnsi="Times New Roman" w:cs="Times New Roman"/>
          <w:b w:val="0"/>
        </w:rPr>
        <w:t>Jako usługi użyteczności publicznej należy rozumieć: usługi sakralne - świątynie i obiekty towarzyszące, usługi edukacji, nauki, opieki nad dziećmi i młodzieżą, obiekty kształcenia dodatkowego, wyspecjalizowane obiekty kulturalno-edukacyjne, urządzone miejsca organizacji plenerowych wydarzeń kulturalnych itp., zaś przez pojęcie funkcji mieszkaniowej integralnie związanej z przeznaczeniem podstawowym – należy rozumieć lokal właściciela podmiotu gospodarczego w budynku przeznaczenia podstawowego</w:t>
      </w:r>
      <w:r w:rsidRPr="001F5101">
        <w:rPr>
          <w:rFonts w:ascii="Times New Roman" w:hAnsi="Times New Roman" w:cs="Times New Roman"/>
          <w:b/>
        </w:rPr>
        <w:t>.</w:t>
      </w:r>
    </w:p>
    <w:p w:rsidR="002D304D" w:rsidRDefault="001F5101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2. </w:t>
      </w:r>
      <w:r w:rsidR="006B43B8">
        <w:rPr>
          <w:rFonts w:ascii="Times New Roman" w:hAnsi="Times New Roman" w:cs="Times New Roman"/>
          <w:szCs w:val="24"/>
        </w:rPr>
        <w:t xml:space="preserve">Plan wprowadza dla tej jednostki </w:t>
      </w:r>
      <w:r w:rsidR="006B43B8" w:rsidRPr="002D304D">
        <w:rPr>
          <w:rFonts w:ascii="Times New Roman" w:hAnsi="Times New Roman" w:cs="Times New Roman"/>
          <w:szCs w:val="24"/>
        </w:rPr>
        <w:t>zakaz</w:t>
      </w:r>
      <w:r w:rsidR="006B43B8">
        <w:rPr>
          <w:rFonts w:ascii="Times New Roman" w:hAnsi="Times New Roman" w:cs="Times New Roman"/>
          <w:szCs w:val="24"/>
        </w:rPr>
        <w:t xml:space="preserve"> </w:t>
      </w:r>
      <w:r w:rsidR="006B43B8" w:rsidRPr="002D304D">
        <w:rPr>
          <w:rFonts w:ascii="Times New Roman" w:hAnsi="Times New Roman" w:cs="Times New Roman"/>
          <w:szCs w:val="24"/>
        </w:rPr>
        <w:t>lokalizacji tymczasowych obiektów budowlanych</w:t>
      </w:r>
      <w:r>
        <w:rPr>
          <w:rFonts w:ascii="Times New Roman" w:hAnsi="Times New Roman" w:cs="Times New Roman"/>
          <w:szCs w:val="24"/>
        </w:rPr>
        <w:t xml:space="preserve"> </w:t>
      </w:r>
      <w:r w:rsidR="006B43B8" w:rsidRPr="002D304D">
        <w:rPr>
          <w:rFonts w:ascii="Times New Roman" w:hAnsi="Times New Roman" w:cs="Times New Roman"/>
          <w:szCs w:val="24"/>
        </w:rPr>
        <w:t>i nowych wolnostojących budynków gospodarczych</w:t>
      </w:r>
      <w:r w:rsidR="00C06081">
        <w:rPr>
          <w:rFonts w:ascii="Times New Roman" w:hAnsi="Times New Roman" w:cs="Times New Roman"/>
          <w:szCs w:val="24"/>
        </w:rPr>
        <w:t>, zakaz stosowania ogrodzeń pełnych, zakaz nie dotyczy ogrodzeń istniejących od strony ul. Rybaki.</w:t>
      </w:r>
      <w:r w:rsidR="006B43B8" w:rsidRPr="002D304D">
        <w:rPr>
          <w:rFonts w:ascii="Times New Roman" w:hAnsi="Times New Roman" w:cs="Times New Roman"/>
          <w:szCs w:val="24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</w:rPr>
        <w:t xml:space="preserve">Dla  budynku przy ul. Rybaki 57 (działka nr 230) ustalono nakaz utrzymania </w:t>
      </w:r>
      <w:proofErr w:type="spellStart"/>
      <w:r w:rsidR="002D304D" w:rsidRP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 w:rsidRPr="002D304D">
        <w:rPr>
          <w:rFonts w:ascii="Times New Roman" w:hAnsi="Times New Roman" w:cs="Times New Roman"/>
          <w:szCs w:val="24"/>
        </w:rPr>
        <w:t xml:space="preserve"> jako formy użytkowania </w:t>
      </w:r>
      <w:r w:rsidR="002D304D" w:rsidRPr="002D304D">
        <w:rPr>
          <w:rFonts w:ascii="Times New Roman" w:hAnsi="Times New Roman" w:cs="Times New Roman"/>
          <w:szCs w:val="24"/>
        </w:rPr>
        <w:lastRenderedPageBreak/>
        <w:t>terenu, a dla działki nr 229 obowiązek wpro</w:t>
      </w:r>
      <w:r w:rsidR="002D304D">
        <w:rPr>
          <w:rFonts w:ascii="Times New Roman" w:hAnsi="Times New Roman" w:cs="Times New Roman"/>
          <w:szCs w:val="24"/>
        </w:rPr>
        <w:t xml:space="preserve">wadzenia </w:t>
      </w:r>
      <w:proofErr w:type="spellStart"/>
      <w:r w:rsid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>
        <w:rPr>
          <w:rFonts w:ascii="Times New Roman" w:hAnsi="Times New Roman" w:cs="Times New Roman"/>
          <w:szCs w:val="24"/>
        </w:rPr>
        <w:t xml:space="preserve"> od strony </w:t>
      </w:r>
      <w:r w:rsidR="002D304D" w:rsidRPr="002D304D">
        <w:rPr>
          <w:rFonts w:ascii="Times New Roman" w:hAnsi="Times New Roman" w:cs="Times New Roman"/>
          <w:szCs w:val="24"/>
        </w:rPr>
        <w:t>ul. Rybaki  w przypadku lokalizowania zabudowy. Ogród ozdobno-użytkowy przy ul. Rybaki 57 jest objęty ochroną konserwatorską jako zieleń zabytkowa i zgodnie z Porozumieniem zawartym w dniu 5 stycznia 2001r. (wraz z aneksami nr 1 z dnia 29 czerwca 2012r., nr 2 z dnia 11 grudnia 2018r. i nr 3 z dnia 5 czerwca 2020r.) pomiędzy Wojewodą Kujawsko-Pomorskim, a Prezydentem Miasta Torunia w sprawie powierzenia prowadzenia niektórych spraw z zakresu właściwości Kujawsko-Pomorskiego Wojewódzkiego Konserwatora Zabytków Gminie Miasta Toruń podlega  Kujawsko-Pomorskiemu Wojewódzkiemu Konserwatorowi Zabytków.</w:t>
      </w:r>
    </w:p>
    <w:p w:rsidR="00C06081" w:rsidRDefault="005106CB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F510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 Dla terenów położonych w granicach obszaru objętego planem ustala się następujące zasady ochrony dzi</w:t>
      </w:r>
      <w:r w:rsidR="00C06081">
        <w:rPr>
          <w:rFonts w:ascii="Times New Roman" w:hAnsi="Times New Roman" w:cs="Times New Roman"/>
          <w:szCs w:val="24"/>
        </w:rPr>
        <w:t>edzictwa kulturowego i zabytków, obowiązujące w zakresie wskazanym</w:t>
      </w:r>
      <w:r w:rsidR="0010143A">
        <w:rPr>
          <w:rFonts w:ascii="Times New Roman" w:hAnsi="Times New Roman" w:cs="Times New Roman"/>
          <w:szCs w:val="24"/>
        </w:rPr>
        <w:br/>
      </w:r>
      <w:r w:rsidR="00C06081">
        <w:rPr>
          <w:rFonts w:ascii="Times New Roman" w:hAnsi="Times New Roman" w:cs="Times New Roman"/>
          <w:szCs w:val="24"/>
        </w:rPr>
        <w:t>w ustaleniach szczegółowych dla terenów wydzielonych liniami rozgraniczającymi: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a) wyznacza się strefę III ochrony konserwatorskiej obszarów ze znacznym udziałem elementów historycznie ukształtowanej struktury przestrzennej o wartościach kulturowych w granicach określ</w:t>
      </w:r>
      <w:r w:rsidR="0010143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nych na rysunku planu;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b) przedmiotem ochrony w strefie, o której mowa powyżej są w szczególności zespoły kamienic czynszowych oraz budynków szkieletowych z XIX w.  i początki XX w. przy ul. </w:t>
      </w:r>
      <w:r w:rsidR="0010143A">
        <w:rPr>
          <w:rFonts w:ascii="Times New Roman" w:hAnsi="Times New Roman" w:cs="Times New Roman"/>
          <w:szCs w:val="24"/>
        </w:rPr>
        <w:t>Danielewskiego i ul. Stromej, ul. Rybaki – oznaczone na rysunku planu jako zabudowa</w:t>
      </w:r>
      <w:r w:rsidR="0010143A">
        <w:rPr>
          <w:rFonts w:ascii="Times New Roman" w:hAnsi="Times New Roman" w:cs="Times New Roman"/>
          <w:szCs w:val="24"/>
        </w:rPr>
        <w:br/>
        <w:t>o wartości historyczno-kulturowej;</w:t>
      </w:r>
    </w:p>
    <w:p w:rsidR="0010143A" w:rsidRDefault="0010143A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c) dla nowej zabudowy lokalizowanej w pierzei ul. Rybaki – obowiązuje nawiązanie formą do zabudowy budynku zlokalizowanego przy ul. Rybaki 57.</w:t>
      </w:r>
    </w:p>
    <w:p w:rsidR="002D304D" w:rsidRPr="002D304D" w:rsidRDefault="00AF1032" w:rsidP="00102391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1F510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r w:rsidRPr="002D304D">
        <w:rPr>
          <w:rFonts w:ascii="Times New Roman" w:hAnsi="Times New Roman" w:cs="Times New Roman"/>
          <w:szCs w:val="24"/>
          <w:lang w:bidi="pl-PL"/>
        </w:rPr>
        <w:t xml:space="preserve">Decyzją Kujawsko-Pomorskiego Wojewódzkiego Konserwatora Zabytków znak WUOZ/T/DKI-IA-15/3786/2009/2011/TK  z dnia  25 lipca 2011r. historyczny układ urbanistyczny Bydgoskiego Przedmieścia i Rybaków został wpisany do rejestru zabytków pod numerem A/1596. </w:t>
      </w:r>
      <w:r w:rsidR="002D304D" w:rsidRPr="002D304D">
        <w:rPr>
          <w:rFonts w:ascii="Times New Roman" w:hAnsi="Times New Roman" w:cs="Times New Roman"/>
          <w:szCs w:val="24"/>
        </w:rPr>
        <w:t>Wszelkie prace budowlane i inne działania przy zaby</w:t>
      </w:r>
      <w:r>
        <w:rPr>
          <w:rFonts w:ascii="Times New Roman" w:hAnsi="Times New Roman" w:cs="Times New Roman"/>
          <w:szCs w:val="24"/>
        </w:rPr>
        <w:t xml:space="preserve">tku można przeprowadzić jedynie </w:t>
      </w:r>
      <w:r w:rsidR="002D304D" w:rsidRPr="002D304D">
        <w:rPr>
          <w:rFonts w:ascii="Times New Roman" w:hAnsi="Times New Roman" w:cs="Times New Roman"/>
          <w:szCs w:val="24"/>
        </w:rPr>
        <w:t>w uzgodnieniu z Miejskim Konserwatorem Zabytków, bowiem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 nieruchomości są położone</w:t>
      </w:r>
      <w:r>
        <w:rPr>
          <w:rFonts w:ascii="Times New Roman" w:hAnsi="Times New Roman" w:cs="Times New Roman"/>
          <w:szCs w:val="24"/>
          <w:lang w:bidi="pl-PL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w strefie ochrony konserwatorskiej. </w:t>
      </w:r>
      <w:r w:rsidR="002D304D" w:rsidRPr="002D304D">
        <w:rPr>
          <w:rFonts w:ascii="Times New Roman" w:hAnsi="Times New Roman" w:cs="Times New Roman"/>
          <w:szCs w:val="24"/>
        </w:rPr>
        <w:t>Miejski Konserwator Zabytków dla remontu zabytkowego budynku przy ul. Rybaki 57 ustalił następujące warunki: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wymiany okien można dokonać jedynie na okna drewniane odtworzeniowe,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z uwagi na zabytkowy wystrój elewacji nie ma możliwości ocieplenia jej od zewnątrz, jej remont musi być przeprowadzony z dbałością o zachowanie stylu, podziału architektonicznego, detalu i pierwotnej kolorystyki,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nie ma możliwości wymiany wrót bramnych na elewacji frontowej i tylnej jak</w:t>
      </w:r>
      <w:r w:rsidRPr="002D304D">
        <w:rPr>
          <w:rFonts w:ascii="Times New Roman" w:hAnsi="Times New Roman" w:cs="Times New Roman"/>
          <w:szCs w:val="24"/>
        </w:rPr>
        <w:br/>
        <w:t>i usunięcia zabytkowej metaloplastyki,</w:t>
      </w:r>
    </w:p>
    <w:p w:rsid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dla oceny wartości zabytkowej oficyn na działkach nr 229 i 230 należy przeprowadzić  badan</w:t>
      </w:r>
      <w:r w:rsidR="00AF1032">
        <w:rPr>
          <w:rFonts w:ascii="Times New Roman" w:hAnsi="Times New Roman" w:cs="Times New Roman"/>
          <w:szCs w:val="24"/>
        </w:rPr>
        <w:t>ia historyczno-architektoniczne.</w:t>
      </w:r>
    </w:p>
    <w:p w:rsidR="003A7BF1" w:rsidRPr="003A7BF1" w:rsidRDefault="001F5101" w:rsidP="003A7BF1">
      <w:pPr>
        <w:ind w:firstLine="708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</w:rPr>
        <w:t>5</w:t>
      </w:r>
      <w:r w:rsidR="00AF1032">
        <w:rPr>
          <w:rFonts w:ascii="Times New Roman" w:hAnsi="Times New Roman" w:cs="Times New Roman"/>
        </w:rPr>
        <w:t>.</w:t>
      </w:r>
      <w:r w:rsidR="00AF1032">
        <w:rPr>
          <w:rFonts w:ascii="Times New Roman" w:hAnsi="Times New Roman" w:cs="Times New Roman"/>
          <w:lang w:bidi="pl-PL"/>
        </w:rPr>
        <w:t xml:space="preserve"> Kujawsko-Pomorski Wojewódzki Konserwator Zabytków zawiadomieniem z dnia</w:t>
      </w:r>
      <w:r w:rsidR="003A7BF1">
        <w:rPr>
          <w:rFonts w:ascii="Times New Roman" w:hAnsi="Times New Roman" w:cs="Times New Roman"/>
          <w:lang w:bidi="pl-PL"/>
        </w:rPr>
        <w:br/>
      </w:r>
      <w:r w:rsidR="00AF1032">
        <w:rPr>
          <w:rFonts w:ascii="Times New Roman" w:hAnsi="Times New Roman" w:cs="Times New Roman"/>
          <w:lang w:bidi="pl-PL"/>
        </w:rPr>
        <w:t xml:space="preserve">29 lipca 2022r. wszczął z urzędu postępowanie administracyjne w sprawie wpisania do rejestru zabytków budynku przy ul. Rybaki 57, położonego na działce nr 230, w miejscowości Toruń, gm. </w:t>
      </w:r>
      <w:proofErr w:type="spellStart"/>
      <w:r w:rsidR="00AF1032">
        <w:rPr>
          <w:rFonts w:ascii="Times New Roman" w:hAnsi="Times New Roman" w:cs="Times New Roman"/>
          <w:lang w:bidi="pl-PL"/>
        </w:rPr>
        <w:t>loco</w:t>
      </w:r>
      <w:proofErr w:type="spellEnd"/>
      <w:r w:rsidR="00AF1032">
        <w:rPr>
          <w:rFonts w:ascii="Times New Roman" w:hAnsi="Times New Roman" w:cs="Times New Roman"/>
          <w:lang w:bidi="pl-PL"/>
        </w:rPr>
        <w:t>, powiat Toruń Miasto</w:t>
      </w:r>
      <w:r w:rsidR="00AF1032" w:rsidRPr="003A7BF1">
        <w:rPr>
          <w:rFonts w:ascii="Times New Roman" w:hAnsi="Times New Roman" w:cs="Times New Roman"/>
          <w:lang w:bidi="pl-PL"/>
        </w:rPr>
        <w:t xml:space="preserve">. </w:t>
      </w:r>
      <w:r w:rsidR="003A7BF1" w:rsidRPr="003A7BF1">
        <w:rPr>
          <w:rFonts w:ascii="Times New Roman" w:hAnsi="Times New Roman" w:cs="Times New Roman"/>
          <w:lang w:bidi="pl-PL"/>
        </w:rPr>
        <w:t>Na podstawie art. 10a ust. 1 i 2 ustawy z dnia 23 lipca 2003r.</w:t>
      </w:r>
      <w:r w:rsidR="003A7BF1">
        <w:rPr>
          <w:rFonts w:ascii="Times New Roman" w:hAnsi="Times New Roman" w:cs="Times New Roman"/>
          <w:lang w:bidi="pl-PL"/>
        </w:rPr>
        <w:br/>
      </w:r>
      <w:r w:rsidR="003A7BF1" w:rsidRPr="003A7BF1">
        <w:rPr>
          <w:rFonts w:ascii="Times New Roman" w:hAnsi="Times New Roman" w:cs="Times New Roman"/>
          <w:lang w:bidi="pl-PL"/>
        </w:rPr>
        <w:t>o ochronie i opiece nad zabytkami zabrania się prowadzenia prac konserwatorskich, restauratorskich, robót budowlanych i podejmowania innych działań, które mogłyby prowadzić do naruszenia substancji lub zmiany wyglądu zabytku. Powyższy zakaz  dotyczy także robót budowalnych objętych pozwoleniem na budowę albo zgłoszeniem, a także działań określonych w innej decyzji pozwalającej na ich prowadzenie.</w:t>
      </w:r>
    </w:p>
    <w:p w:rsidR="009B5DC9" w:rsidRDefault="00AF1032" w:rsidP="003A7BF1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Obecnie b</w:t>
      </w:r>
      <w:r w:rsidRPr="00947C13">
        <w:rPr>
          <w:rFonts w:ascii="Times New Roman" w:hAnsi="Times New Roman" w:cs="Times New Roman"/>
          <w:lang w:bidi="pl-PL"/>
        </w:rPr>
        <w:t>udynek dawnej zasadniczej szkoły zawodowej wpisany jest do gminnej ewidencji zabytków nr id. 1053.</w:t>
      </w:r>
      <w:r>
        <w:rPr>
          <w:rFonts w:ascii="Times New Roman" w:hAnsi="Times New Roman" w:cs="Times New Roman"/>
          <w:lang w:bidi="pl-PL"/>
        </w:rPr>
        <w:t xml:space="preserve"> </w:t>
      </w:r>
    </w:p>
    <w:p w:rsidR="0010143A" w:rsidRDefault="0010143A" w:rsidP="00101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ab/>
      </w:r>
      <w:r w:rsidR="001F5101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 Dla działek nr 229 i 230 istniejące podziały geodezyjne stanowią granice działek budowlanych z zastrzeżeniem: dopuszcza się regulację stanu prawnego poprzez scalenie wydzielonych nieruchomości celem utworzenia większej działki budowlanej, zgodnie z rysunkiem planu.</w:t>
      </w:r>
    </w:p>
    <w:p w:rsidR="00D376EF" w:rsidRPr="004F0FB0" w:rsidRDefault="00D376EF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F65E1" w:rsidRPr="00CF65E1" w:rsidRDefault="008A0EB2" w:rsidP="00CF65E1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829.000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,-</w:t>
            </w:r>
            <w:r w:rsidR="00CF65E1" w:rsidRPr="00CF65E1">
              <w:rPr>
                <w:rFonts w:ascii="Times New Roman" w:hAnsi="Times New Roman" w:cs="Times New Roman"/>
                <w:sz w:val="22"/>
                <w:szCs w:val="22"/>
              </w:rPr>
              <w:t xml:space="preserve"> w tym</w:t>
            </w:r>
          </w:p>
          <w:p w:rsidR="00CF65E1" w:rsidRP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 xml:space="preserve">cena za nieruchomość Skarbu Państwa (działka nr 230) </w:t>
            </w:r>
            <w:r w:rsidR="001F5101">
              <w:rPr>
                <w:sz w:val="22"/>
                <w:szCs w:val="22"/>
              </w:rPr>
              <w:t>3</w:t>
            </w:r>
            <w:r w:rsidR="004B06BE">
              <w:rPr>
                <w:sz w:val="22"/>
                <w:szCs w:val="22"/>
              </w:rPr>
              <w:t>.</w:t>
            </w:r>
            <w:r w:rsidR="008A0EB2">
              <w:rPr>
                <w:sz w:val="22"/>
                <w:szCs w:val="22"/>
              </w:rPr>
              <w:t>461.000</w:t>
            </w:r>
            <w:r w:rsidRPr="00D01D58">
              <w:rPr>
                <w:sz w:val="22"/>
                <w:szCs w:val="22"/>
              </w:rPr>
              <w:t>,- zł</w:t>
            </w:r>
          </w:p>
          <w:p w:rsidR="00376CFB" w:rsidRPr="00376CFB" w:rsidRDefault="00D01D58" w:rsidP="00D01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 xml:space="preserve">(tj. </w:t>
            </w:r>
            <w:r w:rsidR="004B06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A0EB2">
              <w:rPr>
                <w:rFonts w:ascii="Times New Roman" w:hAnsi="Times New Roman" w:cs="Times New Roman"/>
                <w:sz w:val="22"/>
                <w:szCs w:val="22"/>
              </w:rPr>
              <w:t>1,67</w:t>
            </w:r>
            <w:r w:rsidR="00376CFB" w:rsidRPr="00376CFB">
              <w:rPr>
                <w:rFonts w:ascii="Times New Roman" w:hAnsi="Times New Roman" w:cs="Times New Roman"/>
                <w:sz w:val="22"/>
                <w:szCs w:val="22"/>
              </w:rPr>
              <w:t xml:space="preserve"> % ceny wywoławczej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cena za nieruchomości Gminy Miasta Toruń (działka nr 229) 1.</w:t>
            </w:r>
            <w:r w:rsidR="008A0EB2">
              <w:rPr>
                <w:sz w:val="22"/>
                <w:szCs w:val="22"/>
              </w:rPr>
              <w:t>368</w:t>
            </w:r>
            <w:r w:rsidRPr="00D01D58">
              <w:rPr>
                <w:sz w:val="22"/>
                <w:szCs w:val="22"/>
              </w:rPr>
              <w:t>.000,- zł</w:t>
            </w:r>
          </w:p>
          <w:p w:rsidR="00CF65E1" w:rsidRPr="00D01D58" w:rsidRDefault="00376CFB" w:rsidP="00D01D58">
            <w:pPr>
              <w:pStyle w:val="Akapitzlist"/>
              <w:ind w:left="360"/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 xml:space="preserve">(tj. </w:t>
            </w:r>
            <w:r w:rsidR="008A0EB2">
              <w:rPr>
                <w:sz w:val="22"/>
                <w:szCs w:val="22"/>
              </w:rPr>
              <w:t>28,3</w:t>
            </w:r>
            <w:r w:rsidR="00E7524F">
              <w:rPr>
                <w:sz w:val="22"/>
                <w:szCs w:val="22"/>
              </w:rPr>
              <w:t>3</w:t>
            </w:r>
            <w:r w:rsidRPr="00D01D58">
              <w:rPr>
                <w:sz w:val="22"/>
                <w:szCs w:val="22"/>
              </w:rPr>
              <w:t xml:space="preserve"> % ceny wywoławczej)</w:t>
            </w:r>
          </w:p>
          <w:p w:rsidR="00783176" w:rsidRDefault="00783176" w:rsidP="007240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A54EB" w:rsidRDefault="008A0EB2" w:rsidP="001F5101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:rsidR="00F64D6B" w:rsidRDefault="00376CFB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19B9">
        <w:rPr>
          <w:rFonts w:ascii="Times New Roman" w:hAnsi="Times New Roman" w:cs="Times New Roman"/>
        </w:rPr>
        <w:t xml:space="preserve">. 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>Sprzedaż</w:t>
      </w:r>
      <w:r w:rsidR="005C00E6">
        <w:rPr>
          <w:rFonts w:ascii="Times New Roman" w:hAnsi="Times New Roman" w:cs="Times New Roman"/>
        </w:rPr>
        <w:t xml:space="preserve"> działki nr 230 zabudowanej budynkiem głównym oraz budynkiem oficyny i budynkami pomocniczymi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:rsidR="005C00E6" w:rsidRDefault="00376CFB" w:rsidP="005C00E6">
      <w:pPr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</w:t>
      </w:r>
      <w:r w:rsidR="005C00E6" w:rsidRPr="005C00E6">
        <w:rPr>
          <w:rFonts w:ascii="Times New Roman" w:hAnsi="Times New Roman" w:cs="Times New Roman"/>
        </w:rPr>
        <w:t xml:space="preserve"> Sprzedaż </w:t>
      </w:r>
      <w:r w:rsidR="005C00E6">
        <w:rPr>
          <w:rFonts w:ascii="Times New Roman" w:hAnsi="Times New Roman" w:cs="Times New Roman"/>
        </w:rPr>
        <w:t>działki nr 229 podlega zwolnieniu z</w:t>
      </w:r>
      <w:r w:rsidR="005C00E6" w:rsidRPr="005C00E6">
        <w:rPr>
          <w:rFonts w:ascii="Times New Roman" w:hAnsi="Times New Roman" w:cs="Times New Roman"/>
        </w:rPr>
        <w:t xml:space="preserve"> podatku VAT  w zakresie powierzchni 0,0106 ha (6,19 % powierzchni działki) jako, że stanowi ona grunt zabudowany obiektem oficynowym, a dostawa nieruchomości spełnia przesłanki do zastosowania zwolnienia od podatku od towarów i usług - na podstawie art. 43 ust. 1 pkt. 10 ustawy o podatku od towarów i usług. Nieruchomość przeszła przez proces „pierwszego zasiedlenia”, a jej dostawa nastąpi po upływie dwóch lat od tego zdarzenia. </w:t>
      </w:r>
      <w:r w:rsidR="005C00E6" w:rsidRPr="005C00E6">
        <w:rPr>
          <w:rFonts w:ascii="Times New Roman" w:hAnsi="Times New Roman" w:cs="Times New Roman"/>
          <w:lang w:eastAsia="ar-SA"/>
        </w:rPr>
        <w:t>Sprzedaż pozostałej części działki tj. 0,1606 ha (93,81 % powierzchni działki), jako gruntu niez</w:t>
      </w:r>
      <w:r w:rsidR="005C00E6">
        <w:rPr>
          <w:rFonts w:ascii="Times New Roman" w:hAnsi="Times New Roman" w:cs="Times New Roman"/>
          <w:lang w:eastAsia="ar-SA"/>
        </w:rPr>
        <w:t>a</w:t>
      </w:r>
      <w:r w:rsidR="005C00E6" w:rsidRPr="005C00E6">
        <w:rPr>
          <w:rFonts w:ascii="Times New Roman" w:hAnsi="Times New Roman" w:cs="Times New Roman"/>
          <w:lang w:eastAsia="ar-SA"/>
        </w:rPr>
        <w:t xml:space="preserve">budowanego obciążona </w:t>
      </w:r>
      <w:r w:rsidR="005C00E6">
        <w:rPr>
          <w:rFonts w:ascii="Times New Roman" w:hAnsi="Times New Roman" w:cs="Times New Roman"/>
          <w:lang w:eastAsia="ar-SA"/>
        </w:rPr>
        <w:t xml:space="preserve">jest </w:t>
      </w:r>
      <w:r w:rsidR="005C00E6" w:rsidRPr="005C00E6">
        <w:rPr>
          <w:rFonts w:ascii="Times New Roman" w:hAnsi="Times New Roman" w:cs="Times New Roman"/>
          <w:lang w:eastAsia="ar-SA"/>
        </w:rPr>
        <w:t>podatkiem VAT</w:t>
      </w:r>
      <w:r w:rsidR="005C00E6">
        <w:rPr>
          <w:rFonts w:ascii="Times New Roman" w:hAnsi="Times New Roman" w:cs="Times New Roman"/>
          <w:lang w:eastAsia="ar-SA"/>
        </w:rPr>
        <w:t xml:space="preserve"> w wysokości 23%, który zostanie rozliczony z wylicytowanej ceny sprzedaży.</w:t>
      </w:r>
      <w:r w:rsidR="005C00E6" w:rsidRPr="005C00E6">
        <w:rPr>
          <w:rFonts w:ascii="Times New Roman" w:hAnsi="Times New Roman" w:cs="Times New Roman"/>
          <w:lang w:eastAsia="ar-SA"/>
        </w:rPr>
        <w:t xml:space="preserve"> </w:t>
      </w:r>
    </w:p>
    <w:p w:rsidR="00376CFB" w:rsidRPr="00376CFB" w:rsidRDefault="00376CFB" w:rsidP="00376CFB">
      <w:pPr>
        <w:pStyle w:val="Tekstpodstawowywcity2"/>
        <w:tabs>
          <w:tab w:val="decimal" w:pos="0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1F59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Pr="00376CFB">
        <w:rPr>
          <w:rFonts w:ascii="Times New Roman" w:hAnsi="Times New Roman" w:cs="Times New Roman"/>
        </w:rPr>
        <w:t xml:space="preserve">. Wylicytowana cena zostanie rozliczona na cenę </w:t>
      </w:r>
      <w:r>
        <w:rPr>
          <w:rFonts w:ascii="Times New Roman" w:hAnsi="Times New Roman" w:cs="Times New Roman"/>
        </w:rPr>
        <w:t>nieruchomości Skarbu Państwa</w:t>
      </w:r>
      <w:r>
        <w:rPr>
          <w:rFonts w:ascii="Times New Roman" w:hAnsi="Times New Roman" w:cs="Times New Roman"/>
        </w:rPr>
        <w:br/>
        <w:t>i nieruchomości Gminy Miasta Toruń</w:t>
      </w:r>
      <w:r w:rsidRPr="00376CFB">
        <w:rPr>
          <w:rFonts w:ascii="Times New Roman" w:hAnsi="Times New Roman" w:cs="Times New Roman"/>
        </w:rPr>
        <w:t xml:space="preserve"> według proporcji zachodzących między nimi w cenie wywoławczej</w:t>
      </w:r>
      <w:r>
        <w:rPr>
          <w:rFonts w:ascii="Times New Roman" w:hAnsi="Times New Roman" w:cs="Times New Roman"/>
        </w:rPr>
        <w:t xml:space="preserve"> tj. </w:t>
      </w:r>
      <w:r w:rsidRPr="00376CFB">
        <w:rPr>
          <w:rFonts w:ascii="Times New Roman" w:hAnsi="Times New Roman" w:cs="Times New Roman"/>
          <w:szCs w:val="24"/>
        </w:rPr>
        <w:t xml:space="preserve">do zapłaty </w:t>
      </w:r>
      <w:r w:rsidR="005C277E">
        <w:rPr>
          <w:rFonts w:ascii="Times New Roman" w:hAnsi="Times New Roman" w:cs="Times New Roman"/>
          <w:szCs w:val="24"/>
        </w:rPr>
        <w:t>za</w:t>
      </w:r>
      <w:r w:rsidRPr="00376CFB">
        <w:rPr>
          <w:rFonts w:ascii="Times New Roman" w:hAnsi="Times New Roman" w:cs="Times New Roman"/>
          <w:szCs w:val="24"/>
        </w:rPr>
        <w:t xml:space="preserve"> nieruchomoś</w:t>
      </w:r>
      <w:r w:rsidR="005C277E">
        <w:rPr>
          <w:rFonts w:ascii="Times New Roman" w:hAnsi="Times New Roman" w:cs="Times New Roman"/>
          <w:szCs w:val="24"/>
        </w:rPr>
        <w:t>ć</w:t>
      </w:r>
      <w:r w:rsidRPr="00376CFB">
        <w:rPr>
          <w:rFonts w:ascii="Times New Roman" w:hAnsi="Times New Roman" w:cs="Times New Roman"/>
          <w:szCs w:val="24"/>
        </w:rPr>
        <w:t xml:space="preserve"> Skarbu Państwa będzie wartość podana w wysokości netto</w:t>
      </w:r>
      <w:r>
        <w:rPr>
          <w:rFonts w:ascii="Times New Roman" w:hAnsi="Times New Roman" w:cs="Times New Roman"/>
          <w:szCs w:val="24"/>
        </w:rPr>
        <w:t xml:space="preserve"> zgodnie z zapisami ust. 2,</w:t>
      </w:r>
      <w:r w:rsidRPr="00376CFB">
        <w:rPr>
          <w:rFonts w:ascii="Times New Roman" w:hAnsi="Times New Roman" w:cs="Times New Roman"/>
          <w:szCs w:val="24"/>
        </w:rPr>
        <w:t xml:space="preserve">  zaś co do nieruchomości gminnej wartość zostanie rozliczona na dwie pozycje: netto (teren z</w:t>
      </w:r>
      <w:r>
        <w:rPr>
          <w:rFonts w:ascii="Times New Roman" w:hAnsi="Times New Roman" w:cs="Times New Roman"/>
          <w:szCs w:val="24"/>
        </w:rPr>
        <w:t>a</w:t>
      </w:r>
      <w:r w:rsidRPr="00376CFB">
        <w:rPr>
          <w:rFonts w:ascii="Times New Roman" w:hAnsi="Times New Roman" w:cs="Times New Roman"/>
          <w:szCs w:val="24"/>
        </w:rPr>
        <w:t>budowany) wg udziału 6,19 % i brutto w pozostałym udziale 93,81 %.</w:t>
      </w:r>
    </w:p>
    <w:p w:rsidR="00376CFB" w:rsidRDefault="00376CFB" w:rsidP="001F59E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1F59E7" w:rsidRPr="000F41F5" w:rsidRDefault="008A13CE" w:rsidP="001F59E7">
      <w:pPr>
        <w:pStyle w:val="Tekstpodstawowywcity2"/>
        <w:tabs>
          <w:tab w:val="decimal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</w:t>
      </w:r>
      <w:r w:rsidR="00B64F82">
        <w:rPr>
          <w:rFonts w:ascii="Times New Roman" w:hAnsi="Times New Roman" w:cs="Times New Roman"/>
        </w:rPr>
        <w:t xml:space="preserve">przy ul. </w:t>
      </w:r>
      <w:r w:rsidR="005C277E">
        <w:rPr>
          <w:rFonts w:ascii="Times New Roman" w:hAnsi="Times New Roman" w:cs="Times New Roman"/>
        </w:rPr>
        <w:t>Rybaki 57</w:t>
      </w:r>
      <w:r w:rsidR="00B64F82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nabywca zobowiązany zostanie do rozpoczęcia prac </w:t>
      </w:r>
      <w:r w:rsidR="002506A8">
        <w:rPr>
          <w:rFonts w:ascii="Times New Roman" w:hAnsi="Times New Roman" w:cs="Times New Roman"/>
        </w:rPr>
        <w:t xml:space="preserve">remontowo-konserwatorskich i budowlanych </w:t>
      </w:r>
      <w:r w:rsidR="0072407B">
        <w:rPr>
          <w:rFonts w:ascii="Times New Roman" w:hAnsi="Times New Roman" w:cs="Times New Roman"/>
        </w:rPr>
        <w:t>budynku</w:t>
      </w:r>
      <w:r w:rsidR="001F59E7">
        <w:rPr>
          <w:rFonts w:ascii="Times New Roman" w:hAnsi="Times New Roman" w:cs="Times New Roman"/>
        </w:rPr>
        <w:t xml:space="preserve"> </w:t>
      </w:r>
      <w:r w:rsidR="005C277E">
        <w:rPr>
          <w:rFonts w:ascii="Times New Roman" w:hAnsi="Times New Roman" w:cs="Times New Roman"/>
        </w:rPr>
        <w:t xml:space="preserve">głównego </w:t>
      </w:r>
      <w:r w:rsidR="00B64F82">
        <w:rPr>
          <w:rFonts w:ascii="Times New Roman" w:hAnsi="Times New Roman" w:cs="Times New Roman"/>
        </w:rPr>
        <w:t>w celu doprowadzenia go do stanu używalności, z zastrzeżeniem zapisów § 4 ust. 1</w:t>
      </w:r>
      <w:r w:rsidR="00102391">
        <w:rPr>
          <w:rFonts w:ascii="Times New Roman" w:hAnsi="Times New Roman" w:cs="Times New Roman"/>
        </w:rPr>
        <w:t>-3</w:t>
      </w:r>
      <w:r w:rsidR="00B64F82">
        <w:rPr>
          <w:rFonts w:ascii="Times New Roman" w:hAnsi="Times New Roman" w:cs="Times New Roman"/>
        </w:rPr>
        <w:t xml:space="preserve"> niniejszego regulaminu</w:t>
      </w:r>
      <w:r w:rsidR="00E93FBF">
        <w:rPr>
          <w:rFonts w:ascii="Times New Roman" w:hAnsi="Times New Roman" w:cs="Times New Roman"/>
        </w:rPr>
        <w:t>,</w:t>
      </w:r>
      <w:r w:rsidR="00B64F82">
        <w:rPr>
          <w:rFonts w:ascii="Times New Roman" w:hAnsi="Times New Roman" w:cs="Times New Roman"/>
        </w:rPr>
        <w:t xml:space="preserve"> 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ciągu </w:t>
      </w:r>
      <w:r w:rsidR="00F022FB">
        <w:rPr>
          <w:rFonts w:ascii="Times New Roman" w:hAnsi="Times New Roman" w:cs="Times New Roman"/>
        </w:rPr>
        <w:t>2</w:t>
      </w:r>
      <w:r w:rsidRPr="00F64D6B">
        <w:rPr>
          <w:rFonts w:ascii="Times New Roman" w:hAnsi="Times New Roman" w:cs="Times New Roman"/>
        </w:rPr>
        <w:t>-ch lat  od dnia je</w:t>
      </w:r>
      <w:r w:rsidR="0072407B">
        <w:rPr>
          <w:rFonts w:ascii="Times New Roman" w:hAnsi="Times New Roman" w:cs="Times New Roman"/>
        </w:rPr>
        <w:t>go</w:t>
      </w:r>
      <w:r w:rsidRPr="00F64D6B">
        <w:rPr>
          <w:rFonts w:ascii="Times New Roman" w:hAnsi="Times New Roman" w:cs="Times New Roman"/>
        </w:rPr>
        <w:t xml:space="preserve"> nabycia i zakończenia tychże prac</w:t>
      </w:r>
      <w:r w:rsidR="001F59E7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terminie </w:t>
      </w:r>
      <w:r w:rsidR="005C277E">
        <w:rPr>
          <w:rFonts w:ascii="Times New Roman" w:hAnsi="Times New Roman" w:cs="Times New Roman"/>
        </w:rPr>
        <w:t xml:space="preserve">6 </w:t>
      </w:r>
      <w:r w:rsidRPr="00F64D6B">
        <w:rPr>
          <w:rFonts w:ascii="Times New Roman" w:hAnsi="Times New Roman" w:cs="Times New Roman"/>
        </w:rPr>
        <w:t>lat, licząc od daty nabycia</w:t>
      </w:r>
      <w:r w:rsidR="0072407B">
        <w:rPr>
          <w:rFonts w:ascii="Times New Roman" w:hAnsi="Times New Roman" w:cs="Times New Roman"/>
        </w:rPr>
        <w:t>.</w:t>
      </w:r>
      <w:r w:rsidR="0025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  <w:r w:rsidR="001F59E7" w:rsidRPr="000F41F5">
        <w:rPr>
          <w:rFonts w:ascii="Times New Roman" w:hAnsi="Times New Roman" w:cs="Times New Roman"/>
          <w:szCs w:val="24"/>
        </w:rPr>
        <w:t xml:space="preserve">Ponadto dla oceny wartości zabytkowej oficyn </w:t>
      </w:r>
      <w:r w:rsidR="001F59E7">
        <w:rPr>
          <w:rFonts w:ascii="Times New Roman" w:hAnsi="Times New Roman" w:cs="Times New Roman"/>
          <w:szCs w:val="24"/>
        </w:rPr>
        <w:t xml:space="preserve">posadowionych </w:t>
      </w:r>
      <w:r w:rsidR="001F59E7" w:rsidRPr="000F41F5">
        <w:rPr>
          <w:rFonts w:ascii="Times New Roman" w:hAnsi="Times New Roman" w:cs="Times New Roman"/>
          <w:szCs w:val="24"/>
        </w:rPr>
        <w:t>na działkach nr 229 i 230 nabywca zostanie zobowiązany do przeprowadz</w:t>
      </w:r>
      <w:r w:rsidR="001F59E7">
        <w:rPr>
          <w:rFonts w:ascii="Times New Roman" w:hAnsi="Times New Roman" w:cs="Times New Roman"/>
          <w:szCs w:val="24"/>
        </w:rPr>
        <w:t>enia</w:t>
      </w:r>
      <w:r w:rsidR="001F59E7" w:rsidRPr="000F41F5">
        <w:rPr>
          <w:rFonts w:ascii="Times New Roman" w:hAnsi="Times New Roman" w:cs="Times New Roman"/>
          <w:szCs w:val="24"/>
        </w:rPr>
        <w:t xml:space="preserve">  bada</w:t>
      </w:r>
      <w:r w:rsidR="001F59E7">
        <w:rPr>
          <w:rFonts w:ascii="Times New Roman" w:hAnsi="Times New Roman" w:cs="Times New Roman"/>
          <w:szCs w:val="24"/>
        </w:rPr>
        <w:t xml:space="preserve">ń </w:t>
      </w:r>
      <w:r w:rsidR="001F59E7" w:rsidRPr="000F41F5">
        <w:rPr>
          <w:rFonts w:ascii="Times New Roman" w:hAnsi="Times New Roman" w:cs="Times New Roman"/>
          <w:szCs w:val="24"/>
        </w:rPr>
        <w:t>historyczno-architektoniczn</w:t>
      </w:r>
      <w:r w:rsidR="001F59E7">
        <w:rPr>
          <w:rFonts w:ascii="Times New Roman" w:hAnsi="Times New Roman" w:cs="Times New Roman"/>
          <w:szCs w:val="24"/>
        </w:rPr>
        <w:t>ych w terminie dwóch lat od daty nabycia nieruchomości.</w:t>
      </w:r>
    </w:p>
    <w:p w:rsidR="008A13CE" w:rsidRPr="00F64D6B" w:rsidRDefault="008A13CE" w:rsidP="001F59E7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8A13CE" w:rsidRPr="00F64D6B" w:rsidRDefault="008A13CE" w:rsidP="001F59E7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tab/>
        <w:t xml:space="preserve">   3. Dotrzymanie przez nabywcę terminów, określonych w ust. 1 zabezpieczone 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</w:t>
      </w:r>
      <w:r w:rsidR="001F59E7">
        <w:rPr>
          <w:rFonts w:ascii="Times New Roman" w:hAnsi="Times New Roman" w:cs="Times New Roman"/>
        </w:rPr>
        <w:t xml:space="preserve"> oraz badań historyczno-architektonicznych oficyn</w:t>
      </w:r>
      <w:r w:rsidRPr="00F64D6B">
        <w:rPr>
          <w:rFonts w:ascii="Times New Roman" w:hAnsi="Times New Roman" w:cs="Times New Roman"/>
        </w:rPr>
        <w:t xml:space="preserve"> w terminach</w:t>
      </w:r>
      <w:r w:rsidR="001F59E7">
        <w:rPr>
          <w:rFonts w:ascii="Times New Roman" w:hAnsi="Times New Roman" w:cs="Times New Roman"/>
        </w:rPr>
        <w:t>.</w:t>
      </w:r>
      <w:r w:rsidRPr="00F64D6B">
        <w:rPr>
          <w:rFonts w:ascii="Times New Roman" w:hAnsi="Times New Roman" w:cs="Times New Roman"/>
        </w:rPr>
        <w:t xml:space="preserve"> </w:t>
      </w:r>
    </w:p>
    <w:p w:rsidR="008A13CE" w:rsidRDefault="008A13CE" w:rsidP="001F59E7">
      <w:pPr>
        <w:jc w:val="both"/>
        <w:rPr>
          <w:rFonts w:ascii="Times New Roman" w:hAnsi="Times New Roman" w:cs="Times New Roman"/>
        </w:rPr>
      </w:pPr>
      <w:r w:rsidRPr="00F64D6B">
        <w:rPr>
          <w:rFonts w:ascii="Times New Roman" w:eastAsia="Liberation Serif" w:hAnsi="Times New Roman" w:cs="Times New Roman"/>
        </w:rPr>
        <w:t xml:space="preserve">              </w:t>
      </w:r>
      <w:r w:rsidRPr="00F64D6B">
        <w:rPr>
          <w:rFonts w:ascii="Times New Roman" w:hAnsi="Times New Roman" w:cs="Times New Roman"/>
        </w:rPr>
        <w:t xml:space="preserve">4. Zapłata kary zostanie poddana rygorowi egzekucji na zasadach określonych w art. 777 </w:t>
      </w:r>
      <w:proofErr w:type="spellStart"/>
      <w:r w:rsidRPr="00F64D6B">
        <w:rPr>
          <w:rFonts w:ascii="Times New Roman" w:hAnsi="Times New Roman" w:cs="Times New Roman"/>
        </w:rPr>
        <w:t>Kpc</w:t>
      </w:r>
      <w:proofErr w:type="spellEnd"/>
      <w:r w:rsidRPr="00F64D6B">
        <w:rPr>
          <w:rFonts w:ascii="Times New Roman" w:hAnsi="Times New Roman" w:cs="Times New Roman"/>
        </w:rPr>
        <w:t>.</w:t>
      </w:r>
    </w:p>
    <w:p w:rsidR="00E6332C" w:rsidRDefault="004E7845" w:rsidP="001F59E7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lastRenderedPageBreak/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B64F82">
        <w:rPr>
          <w:rFonts w:ascii="Times New Roman" w:hAnsi="Times New Roman" w:cs="Times New Roman"/>
        </w:rPr>
        <w:t xml:space="preserve"> nabywca będzie zobowiązany do </w:t>
      </w:r>
      <w:r w:rsidR="004313E0">
        <w:rPr>
          <w:rFonts w:ascii="Times New Roman" w:hAnsi="Times New Roman" w:cs="Times New Roman"/>
        </w:rPr>
        <w:t>tego aby w umowie z kolejnym nabywcą zawrze</w:t>
      </w:r>
      <w:r w:rsidR="00615270">
        <w:rPr>
          <w:rFonts w:ascii="Times New Roman" w:hAnsi="Times New Roman" w:cs="Times New Roman"/>
        </w:rPr>
        <w:t>ć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obowiązek</w:t>
      </w:r>
      <w:r w:rsidR="004313E0">
        <w:rPr>
          <w:rFonts w:ascii="Times New Roman" w:hAnsi="Times New Roman" w:cs="Times New Roman"/>
        </w:rPr>
        <w:t xml:space="preserve"> zapewnienia przez niego (i ewentualnych kolejnych nabywców)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realizacji </w:t>
      </w:r>
      <w:r w:rsidR="00955ADA">
        <w:rPr>
          <w:rFonts w:ascii="Times New Roman" w:hAnsi="Times New Roman" w:cs="Times New Roman"/>
        </w:rPr>
        <w:t>zobowiązań</w:t>
      </w:r>
      <w:r w:rsidR="004313E0">
        <w:rPr>
          <w:rFonts w:ascii="Times New Roman" w:hAnsi="Times New Roman" w:cs="Times New Roman"/>
        </w:rPr>
        <w:t xml:space="preserve"> remontowych budynku</w:t>
      </w:r>
      <w:r w:rsidR="001F59E7">
        <w:rPr>
          <w:rFonts w:ascii="Times New Roman" w:hAnsi="Times New Roman" w:cs="Times New Roman"/>
        </w:rPr>
        <w:t xml:space="preserve"> głównego i </w:t>
      </w:r>
      <w:r w:rsidR="00820206">
        <w:rPr>
          <w:rFonts w:ascii="Times New Roman" w:hAnsi="Times New Roman" w:cs="Times New Roman"/>
        </w:rPr>
        <w:t>przeprowadzenia badań historyczno-</w:t>
      </w:r>
      <w:r w:rsidR="00B2228B">
        <w:rPr>
          <w:rFonts w:ascii="Times New Roman" w:hAnsi="Times New Roman" w:cs="Times New Roman"/>
        </w:rPr>
        <w:t xml:space="preserve">architektonicznych </w:t>
      </w:r>
      <w:r w:rsidR="00820206">
        <w:rPr>
          <w:rFonts w:ascii="Times New Roman" w:hAnsi="Times New Roman" w:cs="Times New Roman"/>
        </w:rPr>
        <w:t>oficyn</w:t>
      </w:r>
      <w:r w:rsidR="004313E0">
        <w:rPr>
          <w:rFonts w:ascii="Times New Roman" w:hAnsi="Times New Roman" w:cs="Times New Roman"/>
        </w:rPr>
        <w:t xml:space="preserve"> oraz obowiąz</w:t>
      </w:r>
      <w:r w:rsidR="00615270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 xml:space="preserve">k poddania się </w:t>
      </w:r>
      <w:r w:rsidR="00955ADA">
        <w:rPr>
          <w:rFonts w:ascii="Times New Roman" w:hAnsi="Times New Roman" w:cs="Times New Roman"/>
        </w:rPr>
        <w:t>karom</w:t>
      </w:r>
      <w:r w:rsidR="004313E0">
        <w:rPr>
          <w:rFonts w:ascii="Times New Roman" w:hAnsi="Times New Roman" w:cs="Times New Roman"/>
        </w:rPr>
        <w:t xml:space="preserve"> umownym na rz</w:t>
      </w:r>
      <w:r w:rsidR="00955ADA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>cz G</w:t>
      </w:r>
      <w:r w:rsidR="00955ADA">
        <w:rPr>
          <w:rFonts w:ascii="Times New Roman" w:hAnsi="Times New Roman" w:cs="Times New Roman"/>
        </w:rPr>
        <w:t xml:space="preserve">miny </w:t>
      </w:r>
      <w:r w:rsidR="004313E0">
        <w:rPr>
          <w:rFonts w:ascii="Times New Roman" w:hAnsi="Times New Roman" w:cs="Times New Roman"/>
        </w:rPr>
        <w:t>M</w:t>
      </w:r>
      <w:r w:rsidR="00955ADA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>. Oznacza to, że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</w:t>
      </w:r>
      <w:r w:rsidR="00601EEE">
        <w:rPr>
          <w:rFonts w:ascii="Times New Roman" w:hAnsi="Times New Roman" w:cs="Times New Roman"/>
        </w:rPr>
        <w:t xml:space="preserve">kolejny nabywca </w:t>
      </w:r>
      <w:r w:rsidR="00B8080F" w:rsidRPr="00B8080F">
        <w:rPr>
          <w:rFonts w:ascii="Times New Roman" w:hAnsi="Times New Roman" w:cs="Times New Roman"/>
        </w:rPr>
        <w:t>przejmie zobowiązania</w:t>
      </w:r>
      <w:r w:rsidR="00955ADA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>o których mowa w ust. 1-3</w:t>
      </w:r>
      <w:r w:rsidR="00B8080F" w:rsidRPr="00B8080F">
        <w:rPr>
          <w:rFonts w:ascii="Times New Roman" w:hAnsi="Times New Roman" w:cs="Times New Roman"/>
        </w:rPr>
        <w:t xml:space="preserve">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4313E0">
        <w:rPr>
          <w:rFonts w:ascii="Times New Roman" w:hAnsi="Times New Roman" w:cs="Times New Roman"/>
        </w:rPr>
        <w:t>zakończenia remontu kamienic</w:t>
      </w:r>
      <w:r w:rsidR="00955ADA">
        <w:rPr>
          <w:rFonts w:ascii="Times New Roman" w:hAnsi="Times New Roman" w:cs="Times New Roman"/>
        </w:rPr>
        <w:t>y</w:t>
      </w:r>
      <w:r w:rsidR="00820206">
        <w:rPr>
          <w:rFonts w:ascii="Times New Roman" w:hAnsi="Times New Roman" w:cs="Times New Roman"/>
        </w:rPr>
        <w:t xml:space="preserve"> oraz przeprowadzenia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4313E0">
        <w:rPr>
          <w:rFonts w:ascii="Times New Roman" w:hAnsi="Times New Roman" w:cs="Times New Roman"/>
        </w:rPr>
        <w:t>. Nabywca zobowiązuje się</w:t>
      </w:r>
      <w:r w:rsidR="00955ADA">
        <w:rPr>
          <w:rFonts w:ascii="Times New Roman" w:hAnsi="Times New Roman" w:cs="Times New Roman"/>
        </w:rPr>
        <w:t xml:space="preserve"> do tego</w:t>
      </w:r>
      <w:r w:rsidR="004313E0">
        <w:rPr>
          <w:rFonts w:ascii="Times New Roman" w:hAnsi="Times New Roman" w:cs="Times New Roman"/>
        </w:rPr>
        <w:t xml:space="preserve">, że w umowie z </w:t>
      </w:r>
      <w:r w:rsidR="00955ADA">
        <w:rPr>
          <w:rFonts w:ascii="Times New Roman" w:hAnsi="Times New Roman" w:cs="Times New Roman"/>
        </w:rPr>
        <w:t>kolejnym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nabywcą</w:t>
      </w:r>
      <w:r w:rsidR="004313E0">
        <w:rPr>
          <w:rFonts w:ascii="Times New Roman" w:hAnsi="Times New Roman" w:cs="Times New Roman"/>
        </w:rPr>
        <w:t xml:space="preserve"> zapewni zapis zgodnie</w:t>
      </w:r>
      <w:r w:rsidR="00615270">
        <w:rPr>
          <w:rFonts w:ascii="Times New Roman" w:hAnsi="Times New Roman" w:cs="Times New Roman"/>
        </w:rPr>
        <w:t>,</w:t>
      </w:r>
      <w:r w:rsidR="004313E0">
        <w:rPr>
          <w:rFonts w:ascii="Times New Roman" w:hAnsi="Times New Roman" w:cs="Times New Roman"/>
        </w:rPr>
        <w:t xml:space="preserve"> z którym kolejny nabywca </w:t>
      </w:r>
      <w:r w:rsidR="00955ADA">
        <w:rPr>
          <w:rFonts w:ascii="Times New Roman" w:hAnsi="Times New Roman" w:cs="Times New Roman"/>
        </w:rPr>
        <w:t>podda</w:t>
      </w:r>
      <w:r w:rsidR="004313E0">
        <w:rPr>
          <w:rFonts w:ascii="Times New Roman" w:hAnsi="Times New Roman" w:cs="Times New Roman"/>
        </w:rPr>
        <w:t xml:space="preserve"> się rygorowi egzekucji kar </w:t>
      </w:r>
      <w:r w:rsidR="00955ADA">
        <w:rPr>
          <w:rFonts w:ascii="Times New Roman" w:hAnsi="Times New Roman" w:cs="Times New Roman"/>
        </w:rPr>
        <w:t>zastrzeżonych</w:t>
      </w:r>
      <w:r w:rsidR="004313E0">
        <w:rPr>
          <w:rFonts w:ascii="Times New Roman" w:hAnsi="Times New Roman" w:cs="Times New Roman"/>
        </w:rPr>
        <w:t xml:space="preserve"> na </w:t>
      </w:r>
      <w:r w:rsidR="00955ADA">
        <w:rPr>
          <w:rFonts w:ascii="Times New Roman" w:hAnsi="Times New Roman" w:cs="Times New Roman"/>
        </w:rPr>
        <w:t>wypa</w:t>
      </w:r>
      <w:r w:rsidR="00820206">
        <w:rPr>
          <w:rFonts w:ascii="Times New Roman" w:hAnsi="Times New Roman" w:cs="Times New Roman"/>
        </w:rPr>
        <w:t>d</w:t>
      </w:r>
      <w:r w:rsidR="00955ADA">
        <w:rPr>
          <w:rFonts w:ascii="Times New Roman" w:hAnsi="Times New Roman" w:cs="Times New Roman"/>
        </w:rPr>
        <w:t>ek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niedotrzymania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 xml:space="preserve">terminów </w:t>
      </w:r>
      <w:r w:rsidR="004313E0">
        <w:rPr>
          <w:rFonts w:ascii="Times New Roman" w:hAnsi="Times New Roman" w:cs="Times New Roman"/>
        </w:rPr>
        <w:t xml:space="preserve">wykonania prac </w:t>
      </w:r>
      <w:r w:rsidR="00955ADA">
        <w:rPr>
          <w:rFonts w:ascii="Times New Roman" w:hAnsi="Times New Roman" w:cs="Times New Roman"/>
        </w:rPr>
        <w:t>remontowych</w:t>
      </w:r>
      <w:r w:rsidR="00820206">
        <w:rPr>
          <w:rFonts w:ascii="Times New Roman" w:hAnsi="Times New Roman" w:cs="Times New Roman"/>
        </w:rPr>
        <w:t xml:space="preserve"> budynku głównego oraz przeprowadzania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na </w:t>
      </w:r>
      <w:r w:rsidR="00955ADA">
        <w:rPr>
          <w:rFonts w:ascii="Times New Roman" w:hAnsi="Times New Roman" w:cs="Times New Roman"/>
        </w:rPr>
        <w:t>zasadach</w:t>
      </w:r>
      <w:r w:rsidR="004313E0">
        <w:rPr>
          <w:rFonts w:ascii="Times New Roman" w:hAnsi="Times New Roman" w:cs="Times New Roman"/>
        </w:rPr>
        <w:t xml:space="preserve"> określonych w </w:t>
      </w:r>
      <w:r w:rsidR="00955ADA">
        <w:rPr>
          <w:rFonts w:ascii="Times New Roman" w:hAnsi="Times New Roman" w:cs="Times New Roman"/>
        </w:rPr>
        <w:t>art.</w:t>
      </w:r>
      <w:r w:rsidR="004313E0">
        <w:rPr>
          <w:rFonts w:ascii="Times New Roman" w:hAnsi="Times New Roman" w:cs="Times New Roman"/>
        </w:rPr>
        <w:t xml:space="preserve"> 777 </w:t>
      </w:r>
      <w:proofErr w:type="spellStart"/>
      <w:r w:rsidR="00615270">
        <w:rPr>
          <w:rFonts w:ascii="Times New Roman" w:hAnsi="Times New Roman" w:cs="Times New Roman"/>
        </w:rPr>
        <w:t>K</w:t>
      </w:r>
      <w:r w:rsidR="004313E0">
        <w:rPr>
          <w:rFonts w:ascii="Times New Roman" w:hAnsi="Times New Roman" w:cs="Times New Roman"/>
        </w:rPr>
        <w:t>pc</w:t>
      </w:r>
      <w:proofErr w:type="spellEnd"/>
      <w:r w:rsidR="004313E0">
        <w:rPr>
          <w:rFonts w:ascii="Times New Roman" w:hAnsi="Times New Roman" w:cs="Times New Roman"/>
        </w:rPr>
        <w:t xml:space="preserve"> na rzecz osoby </w:t>
      </w:r>
      <w:r w:rsidR="00955ADA">
        <w:rPr>
          <w:rFonts w:ascii="Times New Roman" w:hAnsi="Times New Roman" w:cs="Times New Roman"/>
        </w:rPr>
        <w:t>trzeciej</w:t>
      </w:r>
      <w:r w:rsidR="004313E0">
        <w:rPr>
          <w:rFonts w:ascii="Times New Roman" w:hAnsi="Times New Roman" w:cs="Times New Roman"/>
        </w:rPr>
        <w:t xml:space="preserve"> – Gminy Miasta </w:t>
      </w:r>
      <w:r w:rsidR="00955ADA">
        <w:rPr>
          <w:rFonts w:ascii="Times New Roman" w:hAnsi="Times New Roman" w:cs="Times New Roman"/>
        </w:rPr>
        <w:t>Toruń</w:t>
      </w:r>
      <w:r w:rsidR="004313E0">
        <w:rPr>
          <w:rFonts w:ascii="Times New Roman" w:hAnsi="Times New Roman" w:cs="Times New Roman"/>
        </w:rPr>
        <w:t>. Kary</w:t>
      </w:r>
      <w:r w:rsidR="00615270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 xml:space="preserve"> o </w:t>
      </w:r>
      <w:r w:rsidR="00955ADA">
        <w:rPr>
          <w:rFonts w:ascii="Times New Roman" w:hAnsi="Times New Roman" w:cs="Times New Roman"/>
        </w:rPr>
        <w:t>których</w:t>
      </w:r>
      <w:r w:rsidR="004313E0">
        <w:rPr>
          <w:rFonts w:ascii="Times New Roman" w:hAnsi="Times New Roman" w:cs="Times New Roman"/>
        </w:rPr>
        <w:t xml:space="preserve"> mowa w zdaniu </w:t>
      </w:r>
      <w:r w:rsidR="00955ADA">
        <w:rPr>
          <w:rFonts w:ascii="Times New Roman" w:hAnsi="Times New Roman" w:cs="Times New Roman"/>
        </w:rPr>
        <w:t>poprzednim</w:t>
      </w:r>
      <w:r w:rsidR="004313E0">
        <w:rPr>
          <w:rFonts w:ascii="Times New Roman" w:hAnsi="Times New Roman" w:cs="Times New Roman"/>
        </w:rPr>
        <w:t xml:space="preserve"> naliczone będą od terminów wynikających</w:t>
      </w:r>
      <w:r w:rsidR="00820206">
        <w:rPr>
          <w:rFonts w:ascii="Times New Roman" w:hAnsi="Times New Roman" w:cs="Times New Roman"/>
        </w:rPr>
        <w:br/>
      </w:r>
      <w:r w:rsidR="004313E0">
        <w:rPr>
          <w:rFonts w:ascii="Times New Roman" w:hAnsi="Times New Roman" w:cs="Times New Roman"/>
        </w:rPr>
        <w:t xml:space="preserve">z </w:t>
      </w:r>
      <w:r w:rsidR="00615270">
        <w:rPr>
          <w:rFonts w:ascii="Times New Roman" w:hAnsi="Times New Roman" w:cs="Times New Roman"/>
        </w:rPr>
        <w:t>pierwotnej</w:t>
      </w:r>
      <w:r w:rsidR="004313E0">
        <w:rPr>
          <w:rFonts w:ascii="Times New Roman" w:hAnsi="Times New Roman" w:cs="Times New Roman"/>
        </w:rPr>
        <w:t xml:space="preserve"> umowy </w:t>
      </w:r>
      <w:r w:rsidR="00615270">
        <w:rPr>
          <w:rFonts w:ascii="Times New Roman" w:hAnsi="Times New Roman" w:cs="Times New Roman"/>
        </w:rPr>
        <w:t>sprzedaży</w:t>
      </w:r>
      <w:r w:rsidR="004313E0">
        <w:rPr>
          <w:rFonts w:ascii="Times New Roman" w:hAnsi="Times New Roman" w:cs="Times New Roman"/>
        </w:rPr>
        <w:t xml:space="preserve"> tej nieruchomości przez G</w:t>
      </w:r>
      <w:r w:rsidR="00615270">
        <w:rPr>
          <w:rFonts w:ascii="Times New Roman" w:hAnsi="Times New Roman" w:cs="Times New Roman"/>
        </w:rPr>
        <w:t xml:space="preserve">minę </w:t>
      </w:r>
      <w:r w:rsidR="004313E0">
        <w:rPr>
          <w:rFonts w:ascii="Times New Roman" w:hAnsi="Times New Roman" w:cs="Times New Roman"/>
        </w:rPr>
        <w:t>M</w:t>
      </w:r>
      <w:r w:rsidR="00615270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615270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 xml:space="preserve">. </w:t>
      </w:r>
      <w:r w:rsidR="00601EEE">
        <w:rPr>
          <w:rFonts w:ascii="Times New Roman" w:hAnsi="Times New Roman" w:cs="Times New Roman"/>
        </w:rPr>
        <w:t xml:space="preserve">W przypadku </w:t>
      </w:r>
      <w:r w:rsidR="00955ADA">
        <w:rPr>
          <w:rFonts w:ascii="Times New Roman" w:hAnsi="Times New Roman" w:cs="Times New Roman"/>
        </w:rPr>
        <w:t>gdy nabywca nieruchomości nie wprowad</w:t>
      </w:r>
      <w:r w:rsidR="00615270">
        <w:rPr>
          <w:rFonts w:ascii="Times New Roman" w:hAnsi="Times New Roman" w:cs="Times New Roman"/>
        </w:rPr>
        <w:t>z</w:t>
      </w:r>
      <w:r w:rsidR="00955ADA">
        <w:rPr>
          <w:rFonts w:ascii="Times New Roman" w:hAnsi="Times New Roman" w:cs="Times New Roman"/>
        </w:rPr>
        <w:t>i do umowy</w:t>
      </w:r>
      <w:r w:rsidR="0061527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z kolejnym nabywc</w:t>
      </w:r>
      <w:r w:rsidR="00260E06">
        <w:rPr>
          <w:rFonts w:ascii="Times New Roman" w:hAnsi="Times New Roman" w:cs="Times New Roman"/>
        </w:rPr>
        <w:t>ą</w:t>
      </w:r>
      <w:r w:rsidR="00955ADA">
        <w:rPr>
          <w:rFonts w:ascii="Times New Roman" w:hAnsi="Times New Roman" w:cs="Times New Roman"/>
        </w:rPr>
        <w:t xml:space="preserve"> zapisów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</w:t>
      </w:r>
      <w:r w:rsidR="0061527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 xml:space="preserve">órych </w:t>
      </w:r>
      <w:r w:rsidR="00615270">
        <w:rPr>
          <w:rFonts w:ascii="Times New Roman" w:hAnsi="Times New Roman" w:cs="Times New Roman"/>
        </w:rPr>
        <w:t>mowa</w:t>
      </w:r>
      <w:r w:rsidR="00955ADA">
        <w:rPr>
          <w:rFonts w:ascii="Times New Roman" w:hAnsi="Times New Roman" w:cs="Times New Roman"/>
        </w:rPr>
        <w:t xml:space="preserve"> powyżej  w</w:t>
      </w:r>
      <w:r w:rsidR="00615270">
        <w:rPr>
          <w:rFonts w:ascii="Times New Roman" w:hAnsi="Times New Roman" w:cs="Times New Roman"/>
        </w:rPr>
        <w:t>ów</w:t>
      </w:r>
      <w:r w:rsidR="00955ADA">
        <w:rPr>
          <w:rFonts w:ascii="Times New Roman" w:hAnsi="Times New Roman" w:cs="Times New Roman"/>
        </w:rPr>
        <w:t>czas  dalej ponosi odpowiedzialność za zobowi</w:t>
      </w:r>
      <w:r w:rsidR="00615270">
        <w:rPr>
          <w:rFonts w:ascii="Times New Roman" w:hAnsi="Times New Roman" w:cs="Times New Roman"/>
        </w:rPr>
        <w:t>ąza</w:t>
      </w:r>
      <w:r w:rsidR="00955ADA">
        <w:rPr>
          <w:rFonts w:ascii="Times New Roman" w:hAnsi="Times New Roman" w:cs="Times New Roman"/>
        </w:rPr>
        <w:t>nia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których umowa w </w:t>
      </w:r>
      <w:r w:rsidR="00615270">
        <w:rPr>
          <w:rFonts w:ascii="Times New Roman" w:hAnsi="Times New Roman" w:cs="Times New Roman"/>
        </w:rPr>
        <w:t>ust.</w:t>
      </w:r>
      <w:r w:rsidR="00955ADA">
        <w:rPr>
          <w:rFonts w:ascii="Times New Roman" w:hAnsi="Times New Roman" w:cs="Times New Roman"/>
        </w:rPr>
        <w:t xml:space="preserve"> 1-4</w:t>
      </w:r>
      <w:r w:rsidR="00601EEE">
        <w:rPr>
          <w:rFonts w:ascii="Times New Roman" w:hAnsi="Times New Roman" w:cs="Times New Roman"/>
        </w:rPr>
        <w:t>, tj. będzie zobowiązany do zapłaty kary umownej na rzecz G</w:t>
      </w:r>
      <w:r w:rsidR="002506A8">
        <w:rPr>
          <w:rFonts w:ascii="Times New Roman" w:hAnsi="Times New Roman" w:cs="Times New Roman"/>
        </w:rPr>
        <w:t>m</w:t>
      </w:r>
      <w:r w:rsidR="00601EEE">
        <w:rPr>
          <w:rFonts w:ascii="Times New Roman" w:hAnsi="Times New Roman" w:cs="Times New Roman"/>
        </w:rPr>
        <w:t xml:space="preserve">iny Miasta Toruń </w:t>
      </w:r>
      <w:r w:rsidR="00955ADA">
        <w:rPr>
          <w:rFonts w:ascii="Times New Roman" w:hAnsi="Times New Roman" w:cs="Times New Roman"/>
        </w:rPr>
        <w:t xml:space="preserve">mimo, iż </w:t>
      </w:r>
      <w:r w:rsidR="002506A8">
        <w:rPr>
          <w:rFonts w:ascii="Times New Roman" w:hAnsi="Times New Roman" w:cs="Times New Roman"/>
        </w:rPr>
        <w:t>n</w:t>
      </w:r>
      <w:r w:rsidR="00601EEE">
        <w:rPr>
          <w:rFonts w:ascii="Times New Roman" w:hAnsi="Times New Roman" w:cs="Times New Roman"/>
        </w:rPr>
        <w:t>ie będ</w:t>
      </w:r>
      <w:r w:rsidR="00615270">
        <w:rPr>
          <w:rFonts w:ascii="Times New Roman" w:hAnsi="Times New Roman" w:cs="Times New Roman"/>
        </w:rPr>
        <w:t>zie</w:t>
      </w:r>
      <w:r w:rsidR="00601EEE">
        <w:rPr>
          <w:rFonts w:ascii="Times New Roman" w:hAnsi="Times New Roman" w:cs="Times New Roman"/>
        </w:rPr>
        <w:t xml:space="preserve"> </w:t>
      </w:r>
      <w:r w:rsidR="00260E06">
        <w:rPr>
          <w:rFonts w:ascii="Times New Roman" w:hAnsi="Times New Roman" w:cs="Times New Roman"/>
        </w:rPr>
        <w:t xml:space="preserve">już </w:t>
      </w:r>
      <w:r w:rsidR="00601EEE">
        <w:rPr>
          <w:rFonts w:ascii="Times New Roman" w:hAnsi="Times New Roman" w:cs="Times New Roman"/>
        </w:rPr>
        <w:t xml:space="preserve">właścicielem </w:t>
      </w:r>
      <w:r w:rsidR="002506A8">
        <w:rPr>
          <w:rFonts w:ascii="Times New Roman" w:hAnsi="Times New Roman" w:cs="Times New Roman"/>
        </w:rPr>
        <w:t xml:space="preserve">tej </w:t>
      </w:r>
      <w:r w:rsidR="00601EEE">
        <w:rPr>
          <w:rFonts w:ascii="Times New Roman" w:hAnsi="Times New Roman" w:cs="Times New Roman"/>
        </w:rPr>
        <w:t xml:space="preserve">nieruchomości. </w:t>
      </w:r>
    </w:p>
    <w:p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83176">
        <w:rPr>
          <w:rFonts w:ascii="Times New Roman" w:hAnsi="Times New Roman" w:cs="Times New Roman"/>
          <w:b/>
        </w:rPr>
        <w:t xml:space="preserve"> </w:t>
      </w:r>
      <w:r w:rsidR="00A24828">
        <w:rPr>
          <w:rFonts w:ascii="Times New Roman" w:hAnsi="Times New Roman" w:cs="Times New Roman"/>
          <w:b/>
        </w:rPr>
        <w:t>31</w:t>
      </w:r>
      <w:r w:rsidR="00EE683B">
        <w:rPr>
          <w:rFonts w:ascii="Times New Roman" w:hAnsi="Times New Roman" w:cs="Times New Roman"/>
          <w:b/>
        </w:rPr>
        <w:t xml:space="preserve"> </w:t>
      </w:r>
      <w:r w:rsidR="00A24828">
        <w:rPr>
          <w:rFonts w:ascii="Times New Roman" w:hAnsi="Times New Roman" w:cs="Times New Roman"/>
          <w:b/>
        </w:rPr>
        <w:t>maja</w:t>
      </w:r>
      <w:r w:rsidR="00783176">
        <w:rPr>
          <w:rFonts w:ascii="Times New Roman" w:hAnsi="Times New Roman" w:cs="Times New Roman"/>
          <w:b/>
        </w:rPr>
        <w:t xml:space="preserve"> 202</w:t>
      </w:r>
      <w:r w:rsidR="001023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A24828">
        <w:rPr>
          <w:rFonts w:ascii="Times New Roman" w:hAnsi="Times New Roman" w:cs="Times New Roman"/>
        </w:rPr>
        <w:t>2</w:t>
      </w:r>
      <w:r w:rsidR="00783176">
        <w:rPr>
          <w:rFonts w:ascii="Times New Roman" w:hAnsi="Times New Roman" w:cs="Times New Roman"/>
        </w:rPr>
        <w:t xml:space="preserve"> </w:t>
      </w:r>
      <w:r w:rsidR="001F5101">
        <w:rPr>
          <w:rFonts w:ascii="Times New Roman" w:hAnsi="Times New Roman" w:cs="Times New Roman"/>
        </w:rPr>
        <w:t>czerwca</w:t>
      </w:r>
      <w:r w:rsidR="00783176">
        <w:rPr>
          <w:rFonts w:ascii="Times New Roman" w:hAnsi="Times New Roman" w:cs="Times New Roman"/>
        </w:rPr>
        <w:t xml:space="preserve"> 202</w:t>
      </w:r>
      <w:r w:rsidR="00102391">
        <w:rPr>
          <w:rFonts w:ascii="Times New Roman" w:hAnsi="Times New Roman" w:cs="Times New Roman"/>
        </w:rPr>
        <w:t>3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</w:t>
      </w:r>
      <w:r w:rsidR="001023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BC2F64" w:rsidRDefault="00BC2F64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F64D6B" w:rsidRDefault="00F64D6B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:rsidR="001672CA" w:rsidRDefault="000F5A50" w:rsidP="001672CA">
      <w:pPr>
        <w:pStyle w:val="Textbody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§16.  Zwycięzca prze</w:t>
      </w:r>
      <w:r w:rsidR="00E91F4B">
        <w:rPr>
          <w:color w:val="000000"/>
          <w:sz w:val="24"/>
          <w:szCs w:val="24"/>
        </w:rPr>
        <w:t>targu zobowiązany jest zapłacić</w:t>
      </w:r>
      <w:r w:rsidR="001672CA">
        <w:rPr>
          <w:color w:val="000000"/>
          <w:sz w:val="24"/>
          <w:szCs w:val="24"/>
        </w:rPr>
        <w:t>:</w:t>
      </w:r>
    </w:p>
    <w:p w:rsidR="001672CA" w:rsidRDefault="00E91F4B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</w:t>
      </w:r>
      <w:r w:rsidR="00850056"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2202 0000 0000 6171 9127</w:t>
      </w:r>
      <w:r w:rsidR="00850056">
        <w:rPr>
          <w:color w:val="000000"/>
          <w:sz w:val="24"/>
          <w:szCs w:val="24"/>
        </w:rPr>
        <w:t xml:space="preserve"> – dochody Gminy Miasta Toruń i na rachunek </w:t>
      </w:r>
      <w:r w:rsidR="00850056" w:rsidRPr="00B955D3">
        <w:rPr>
          <w:color w:val="000000"/>
          <w:sz w:val="24"/>
          <w:szCs w:val="24"/>
        </w:rPr>
        <w:t>Urzędu Miasta Torunia - BANK MILLENNIUM S.A. O/Toruń nr</w:t>
      </w:r>
      <w:r w:rsidR="00850056">
        <w:rPr>
          <w:color w:val="000000"/>
          <w:sz w:val="24"/>
          <w:szCs w:val="24"/>
        </w:rPr>
        <w:t xml:space="preserve"> 91 1160  2202  0000  0000  6171  9199 – dochody Skarbu Państwa</w:t>
      </w:r>
      <w:r w:rsidR="00820206">
        <w:rPr>
          <w:color w:val="000000"/>
          <w:sz w:val="24"/>
          <w:szCs w:val="24"/>
        </w:rPr>
        <w:t>,</w:t>
      </w:r>
      <w:r w:rsidR="00850056">
        <w:rPr>
          <w:color w:val="000000"/>
          <w:sz w:val="24"/>
          <w:szCs w:val="24"/>
        </w:rPr>
        <w:t xml:space="preserve"> </w:t>
      </w:r>
      <w:r w:rsidR="00820206">
        <w:rPr>
          <w:color w:val="000000"/>
          <w:sz w:val="24"/>
          <w:szCs w:val="24"/>
        </w:rPr>
        <w:t xml:space="preserve">która </w:t>
      </w:r>
      <w:r w:rsidR="00820206">
        <w:rPr>
          <w:color w:val="000000"/>
          <w:sz w:val="24"/>
          <w:szCs w:val="24"/>
        </w:rPr>
        <w:lastRenderedPageBreak/>
        <w:t>zostanie rozliczona na poszczególne rachunki z wylicytowanej kwoty w protokole z przetargu</w:t>
      </w:r>
      <w:r w:rsidR="00850056">
        <w:rPr>
          <w:color w:val="000000"/>
          <w:sz w:val="24"/>
          <w:szCs w:val="24"/>
        </w:rPr>
        <w:t xml:space="preserve"> oraz </w:t>
      </w:r>
    </w:p>
    <w:p w:rsidR="001672CA" w:rsidRDefault="001672CA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 tytułu ustanowienia służebności gruntowej przelewem na rachunek bankowy Urzędu Miasta Torunia - BANK MILLENNIUM S.A. O/Toruń nr 11 1160 2202  0000 0002 7172 9422,</w:t>
      </w:r>
    </w:p>
    <w:p w:rsidR="000F5A50" w:rsidRDefault="000F5A50" w:rsidP="001672CA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przed zawarciem aktu notarialnego przenoszącego wł</w:t>
      </w:r>
      <w:r w:rsidR="00E91F4B">
        <w:rPr>
          <w:color w:val="000000"/>
          <w:sz w:val="24"/>
          <w:szCs w:val="24"/>
        </w:rPr>
        <w:t>asność nieruchomości w terminie</w:t>
      </w:r>
      <w:r w:rsidR="001672CA">
        <w:rPr>
          <w:color w:val="000000"/>
          <w:sz w:val="24"/>
          <w:szCs w:val="24"/>
        </w:rPr>
        <w:br/>
      </w:r>
      <w:r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 w:rsidR="00E973A0">
        <w:rPr>
          <w:color w:val="000000"/>
          <w:sz w:val="24"/>
          <w:szCs w:val="24"/>
        </w:rPr>
        <w:t>o</w:t>
      </w:r>
      <w:r w:rsidRPr="00B955D3">
        <w:rPr>
          <w:color w:val="000000"/>
          <w:sz w:val="24"/>
          <w:szCs w:val="24"/>
        </w:rPr>
        <w:t>.</w:t>
      </w:r>
    </w:p>
    <w:p w:rsidR="00E91F4B" w:rsidRPr="00B955D3" w:rsidRDefault="00E91F4B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76868" w:rsidRDefault="00576868" w:rsidP="000F5A50">
      <w:pPr>
        <w:ind w:firstLine="708"/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B5D9F" w:rsidRDefault="00CB5D9F" w:rsidP="000F5A50">
      <w:pPr>
        <w:jc w:val="both"/>
        <w:rPr>
          <w:rFonts w:ascii="Times New Roman" w:hAnsi="Times New Roman" w:cs="Times New Roman"/>
        </w:rPr>
      </w:pPr>
    </w:p>
    <w:sectPr w:rsidR="00CB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10B"/>
    <w:multiLevelType w:val="hybridMultilevel"/>
    <w:tmpl w:val="E5B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234C"/>
    <w:multiLevelType w:val="hybridMultilevel"/>
    <w:tmpl w:val="8DAED5A4"/>
    <w:lvl w:ilvl="0" w:tplc="4BD0DD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2"/>
    <w:rsid w:val="00001558"/>
    <w:rsid w:val="000057F0"/>
    <w:rsid w:val="00011337"/>
    <w:rsid w:val="00012911"/>
    <w:rsid w:val="00017B76"/>
    <w:rsid w:val="0003597B"/>
    <w:rsid w:val="00046834"/>
    <w:rsid w:val="00050EE0"/>
    <w:rsid w:val="00054BD5"/>
    <w:rsid w:val="00083EFC"/>
    <w:rsid w:val="000B26C1"/>
    <w:rsid w:val="000C0933"/>
    <w:rsid w:val="000D5C68"/>
    <w:rsid w:val="000E19B9"/>
    <w:rsid w:val="000F5A50"/>
    <w:rsid w:val="000F7A5F"/>
    <w:rsid w:val="000F7B2D"/>
    <w:rsid w:val="0010077F"/>
    <w:rsid w:val="0010143A"/>
    <w:rsid w:val="00102391"/>
    <w:rsid w:val="00132B09"/>
    <w:rsid w:val="00157B66"/>
    <w:rsid w:val="001672CA"/>
    <w:rsid w:val="001A37FA"/>
    <w:rsid w:val="001B23CA"/>
    <w:rsid w:val="001C0429"/>
    <w:rsid w:val="001E6480"/>
    <w:rsid w:val="001F5101"/>
    <w:rsid w:val="001F59E7"/>
    <w:rsid w:val="002141CD"/>
    <w:rsid w:val="002506A8"/>
    <w:rsid w:val="00260E06"/>
    <w:rsid w:val="00261267"/>
    <w:rsid w:val="00286A92"/>
    <w:rsid w:val="002A1A14"/>
    <w:rsid w:val="002B080C"/>
    <w:rsid w:val="002D304D"/>
    <w:rsid w:val="002E5B37"/>
    <w:rsid w:val="00301805"/>
    <w:rsid w:val="003239C1"/>
    <w:rsid w:val="00330FC5"/>
    <w:rsid w:val="00334BDE"/>
    <w:rsid w:val="0033501E"/>
    <w:rsid w:val="00353369"/>
    <w:rsid w:val="00362211"/>
    <w:rsid w:val="00365F1D"/>
    <w:rsid w:val="00370CDF"/>
    <w:rsid w:val="00375F53"/>
    <w:rsid w:val="00376CFB"/>
    <w:rsid w:val="003874E4"/>
    <w:rsid w:val="003A1C58"/>
    <w:rsid w:val="003A7BF1"/>
    <w:rsid w:val="003A7CE4"/>
    <w:rsid w:val="003D2391"/>
    <w:rsid w:val="00411783"/>
    <w:rsid w:val="004119D4"/>
    <w:rsid w:val="00412D18"/>
    <w:rsid w:val="004313E0"/>
    <w:rsid w:val="0044787E"/>
    <w:rsid w:val="004941D9"/>
    <w:rsid w:val="004B06BE"/>
    <w:rsid w:val="004B40A0"/>
    <w:rsid w:val="004D17E6"/>
    <w:rsid w:val="004E7845"/>
    <w:rsid w:val="004F31F5"/>
    <w:rsid w:val="00500C5D"/>
    <w:rsid w:val="005106CB"/>
    <w:rsid w:val="00513537"/>
    <w:rsid w:val="00520601"/>
    <w:rsid w:val="00521787"/>
    <w:rsid w:val="00531EB9"/>
    <w:rsid w:val="00533FCA"/>
    <w:rsid w:val="005517F9"/>
    <w:rsid w:val="00576868"/>
    <w:rsid w:val="00580E01"/>
    <w:rsid w:val="005C00E6"/>
    <w:rsid w:val="005C277E"/>
    <w:rsid w:val="005E7260"/>
    <w:rsid w:val="00601EEE"/>
    <w:rsid w:val="00615270"/>
    <w:rsid w:val="00642DCF"/>
    <w:rsid w:val="00661B2D"/>
    <w:rsid w:val="00685CDB"/>
    <w:rsid w:val="006A3F8B"/>
    <w:rsid w:val="006B43B8"/>
    <w:rsid w:val="006E0D10"/>
    <w:rsid w:val="006F7263"/>
    <w:rsid w:val="007156A0"/>
    <w:rsid w:val="0072407B"/>
    <w:rsid w:val="0073779F"/>
    <w:rsid w:val="00755D69"/>
    <w:rsid w:val="00764838"/>
    <w:rsid w:val="00783176"/>
    <w:rsid w:val="007A27CC"/>
    <w:rsid w:val="007B069E"/>
    <w:rsid w:val="007B0B5E"/>
    <w:rsid w:val="007E05D9"/>
    <w:rsid w:val="007E44ED"/>
    <w:rsid w:val="007E7727"/>
    <w:rsid w:val="0080394A"/>
    <w:rsid w:val="00803E6E"/>
    <w:rsid w:val="008127B1"/>
    <w:rsid w:val="00820206"/>
    <w:rsid w:val="00830122"/>
    <w:rsid w:val="00850056"/>
    <w:rsid w:val="0086244C"/>
    <w:rsid w:val="00864DCC"/>
    <w:rsid w:val="00877509"/>
    <w:rsid w:val="00890DFC"/>
    <w:rsid w:val="00895453"/>
    <w:rsid w:val="008A00F9"/>
    <w:rsid w:val="008A0EB2"/>
    <w:rsid w:val="008A13CE"/>
    <w:rsid w:val="008B6C28"/>
    <w:rsid w:val="008B7E34"/>
    <w:rsid w:val="008D56D8"/>
    <w:rsid w:val="009262BA"/>
    <w:rsid w:val="00947C13"/>
    <w:rsid w:val="009502B4"/>
    <w:rsid w:val="00950DD1"/>
    <w:rsid w:val="00955ADA"/>
    <w:rsid w:val="00967263"/>
    <w:rsid w:val="00973EC6"/>
    <w:rsid w:val="00984093"/>
    <w:rsid w:val="00984B4D"/>
    <w:rsid w:val="009A2489"/>
    <w:rsid w:val="009B5DC9"/>
    <w:rsid w:val="009C0758"/>
    <w:rsid w:val="009C1D49"/>
    <w:rsid w:val="009C774F"/>
    <w:rsid w:val="00A16376"/>
    <w:rsid w:val="00A22B94"/>
    <w:rsid w:val="00A24828"/>
    <w:rsid w:val="00A4346E"/>
    <w:rsid w:val="00A633BF"/>
    <w:rsid w:val="00A6479B"/>
    <w:rsid w:val="00A65BC2"/>
    <w:rsid w:val="00A72FF9"/>
    <w:rsid w:val="00AE7A08"/>
    <w:rsid w:val="00AF1032"/>
    <w:rsid w:val="00AF2488"/>
    <w:rsid w:val="00AF6202"/>
    <w:rsid w:val="00B10AB4"/>
    <w:rsid w:val="00B1625C"/>
    <w:rsid w:val="00B2228B"/>
    <w:rsid w:val="00B47B18"/>
    <w:rsid w:val="00B642EC"/>
    <w:rsid w:val="00B64F82"/>
    <w:rsid w:val="00B66864"/>
    <w:rsid w:val="00B8080F"/>
    <w:rsid w:val="00B92AC1"/>
    <w:rsid w:val="00B9454E"/>
    <w:rsid w:val="00B97E5B"/>
    <w:rsid w:val="00BC1C30"/>
    <w:rsid w:val="00BC2F64"/>
    <w:rsid w:val="00BE645F"/>
    <w:rsid w:val="00BF0A2B"/>
    <w:rsid w:val="00C06081"/>
    <w:rsid w:val="00C556B4"/>
    <w:rsid w:val="00C62A38"/>
    <w:rsid w:val="00C71BE1"/>
    <w:rsid w:val="00CA5DEE"/>
    <w:rsid w:val="00CB5D9F"/>
    <w:rsid w:val="00CC5884"/>
    <w:rsid w:val="00CE41AA"/>
    <w:rsid w:val="00CF65E1"/>
    <w:rsid w:val="00D01D58"/>
    <w:rsid w:val="00D21A0F"/>
    <w:rsid w:val="00D24D5A"/>
    <w:rsid w:val="00D376EF"/>
    <w:rsid w:val="00D44F68"/>
    <w:rsid w:val="00D50F46"/>
    <w:rsid w:val="00D51477"/>
    <w:rsid w:val="00D61C2F"/>
    <w:rsid w:val="00D71038"/>
    <w:rsid w:val="00D73F4E"/>
    <w:rsid w:val="00D8239D"/>
    <w:rsid w:val="00D94931"/>
    <w:rsid w:val="00DA3B9C"/>
    <w:rsid w:val="00DC5FA6"/>
    <w:rsid w:val="00DD759E"/>
    <w:rsid w:val="00DF6531"/>
    <w:rsid w:val="00DF729C"/>
    <w:rsid w:val="00E22AC2"/>
    <w:rsid w:val="00E233BB"/>
    <w:rsid w:val="00E2430E"/>
    <w:rsid w:val="00E41A70"/>
    <w:rsid w:val="00E6332C"/>
    <w:rsid w:val="00E7524F"/>
    <w:rsid w:val="00E828B6"/>
    <w:rsid w:val="00E91F4B"/>
    <w:rsid w:val="00E93FBF"/>
    <w:rsid w:val="00E94628"/>
    <w:rsid w:val="00E973A0"/>
    <w:rsid w:val="00EA1C19"/>
    <w:rsid w:val="00EC4A9D"/>
    <w:rsid w:val="00EE3614"/>
    <w:rsid w:val="00EE683B"/>
    <w:rsid w:val="00F022FB"/>
    <w:rsid w:val="00F230E8"/>
    <w:rsid w:val="00F2645F"/>
    <w:rsid w:val="00F31AD4"/>
    <w:rsid w:val="00F47890"/>
    <w:rsid w:val="00F53606"/>
    <w:rsid w:val="00F604C9"/>
    <w:rsid w:val="00F64D6B"/>
    <w:rsid w:val="00F9058C"/>
    <w:rsid w:val="00FA1710"/>
    <w:rsid w:val="00FA54EB"/>
    <w:rsid w:val="00FA7012"/>
    <w:rsid w:val="00FD7055"/>
    <w:rsid w:val="00FE649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8EE6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uiPriority w:val="99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F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5761-F9E3-40C7-8442-15D78FA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3540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2023-03-16T14:30:00Z</cp:lastPrinted>
  <dcterms:created xsi:type="dcterms:W3CDTF">2023-03-24T10:39:00Z</dcterms:created>
  <dcterms:modified xsi:type="dcterms:W3CDTF">2023-03-24T10:39:00Z</dcterms:modified>
</cp:coreProperties>
</file>