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51E9" w14:textId="5DB0F542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3D1752">
        <w:rPr>
          <w:rFonts w:ascii="Times New Roman" w:hAnsi="Times New Roman" w:cs="Times New Roman"/>
          <w:b/>
        </w:rPr>
        <w:t>40</w:t>
      </w:r>
    </w:p>
    <w:p w14:paraId="2F292918" w14:textId="77777777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14:paraId="591A4234" w14:textId="037B5E18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3D1752">
        <w:rPr>
          <w:rFonts w:ascii="Times New Roman" w:hAnsi="Times New Roman" w:cs="Times New Roman"/>
          <w:b/>
        </w:rPr>
        <w:t>1.03.2023 r.</w:t>
      </w:r>
    </w:p>
    <w:p w14:paraId="5F6A9F7A" w14:textId="77777777"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14:paraId="1874FC51" w14:textId="77777777"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14:paraId="5B005F9A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14:paraId="38608F48" w14:textId="77777777" w:rsidR="0048119E" w:rsidRDefault="0048119E" w:rsidP="00245BDD">
      <w:pPr>
        <w:rPr>
          <w:rFonts w:ascii="Times New Roman" w:hAnsi="Times New Roman" w:cs="Times New Roman"/>
        </w:rPr>
      </w:pPr>
    </w:p>
    <w:p w14:paraId="6B658C0E" w14:textId="77777777" w:rsidR="00245BDD" w:rsidRPr="0000726E" w:rsidRDefault="00245BDD" w:rsidP="00245BDD">
      <w:pPr>
        <w:rPr>
          <w:rFonts w:ascii="Times New Roman" w:hAnsi="Times New Roman" w:cs="Times New Roman"/>
        </w:rPr>
      </w:pPr>
    </w:p>
    <w:p w14:paraId="31BAD931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 xml:space="preserve">40)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14:paraId="682AFA0D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53C7A8FA" w14:textId="77777777" w:rsidR="00245BDD" w:rsidRDefault="00245BDD" w:rsidP="00245BDD">
      <w:pPr>
        <w:jc w:val="both"/>
        <w:rPr>
          <w:rFonts w:ascii="Times New Roman" w:hAnsi="Times New Roman" w:cs="Times New Roman"/>
        </w:rPr>
      </w:pPr>
    </w:p>
    <w:p w14:paraId="2DAA5A02" w14:textId="77777777"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 xml:space="preserve">I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14:paraId="7B4BDABC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28136099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14:paraId="0A6DA2A1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14:paraId="2B04B42F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14:paraId="6E8143AA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14:paraId="700DD3BB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5D809A41" w14:textId="77777777"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14:paraId="29AA8A0E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0E7EF7C8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14:paraId="37F46C14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36E30C7D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14:paraId="3F62ED5A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14:paraId="51387CA5" w14:textId="77777777"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14:paraId="7F12B5CE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14:paraId="0BD5A74F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1E8044C3" w14:textId="77777777"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DAB61F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898F77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5197A8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33D02F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C69835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C9E9EB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1FACD8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6B774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28C6F1" w14:textId="77777777" w:rsidR="00E35768" w:rsidRDefault="00E35768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14:paraId="3664D14F" w14:textId="77777777" w:rsidR="00E35768" w:rsidRDefault="00E35768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14:paraId="54BEA1A9" w14:textId="01F7C0C8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nr </w:t>
      </w:r>
      <w:r w:rsidR="003D175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PMT</w:t>
      </w:r>
    </w:p>
    <w:p w14:paraId="304CA1B1" w14:textId="4281EB3F"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D175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z dnia </w:t>
      </w:r>
      <w:r w:rsidR="003D1752">
        <w:rPr>
          <w:rFonts w:ascii="Times New Roman" w:hAnsi="Times New Roman" w:cs="Times New Roman"/>
        </w:rPr>
        <w:t>1.03.2023 r.</w:t>
      </w:r>
    </w:p>
    <w:p w14:paraId="06E3E037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14:paraId="6F1D5A72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14:paraId="5423B7A8" w14:textId="77777777"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794985C3" w14:textId="77777777"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14:paraId="149D92F6" w14:textId="77777777"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14:paraId="7C1BAA6D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4C66073E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EB6DE1" w:rsidRPr="00EB6DE1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317EBF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2023r. o godz. </w:t>
      </w:r>
      <w:r w:rsidR="00317EB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:00.</w:t>
      </w:r>
    </w:p>
    <w:p w14:paraId="0130A1E1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14:paraId="41BEEBBC" w14:textId="77777777"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14:paraId="54667193" w14:textId="77777777"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14:paraId="791FF761" w14:textId="77777777"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14:paraId="5A62426B" w14:textId="77777777"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C5988">
        <w:rPr>
          <w:rFonts w:ascii="Times New Roman" w:hAnsi="Times New Roman" w:cs="Times New Roman"/>
          <w:szCs w:val="24"/>
        </w:rPr>
        <w:br/>
      </w:r>
    </w:p>
    <w:p w14:paraId="069AD838" w14:textId="77777777"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14:paraId="7D658B8C" w14:textId="77777777"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14:paraId="3BA76455" w14:textId="77777777"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14:paraId="1FC0EF11" w14:textId="77777777"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14:paraId="47A01F04" w14:textId="77777777"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64D2AD00" w14:textId="77777777"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14:paraId="0143BCF5" w14:textId="77777777"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005448" w:rsidRPr="00EB6DE1">
        <w:rPr>
          <w:rFonts w:ascii="Times New Roman" w:hAnsi="Times New Roman" w:cs="Times New Roman"/>
          <w:b/>
        </w:rPr>
        <w:t>330</w:t>
      </w:r>
      <w:r w:rsidRPr="00EB6DE1">
        <w:rPr>
          <w:rFonts w:ascii="Times New Roman" w:hAnsi="Times New Roman" w:cs="Times New Roman"/>
          <w:b/>
        </w:rPr>
        <w:t>.000,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14:paraId="1EB4C252" w14:textId="77777777"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005448" w:rsidRPr="00EB6DE1">
        <w:rPr>
          <w:rFonts w:ascii="Times New Roman" w:hAnsi="Times New Roman" w:cs="Times New Roman"/>
          <w:b/>
        </w:rPr>
        <w:t>33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14:paraId="178F89ED" w14:textId="77777777"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14:paraId="78AB08AC" w14:textId="77777777"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EB6DE1">
        <w:rPr>
          <w:rFonts w:ascii="Times New Roman" w:hAnsi="Times New Roman" w:cs="Times New Roman"/>
          <w:b/>
        </w:rPr>
        <w:t>12</w:t>
      </w:r>
      <w:r w:rsidR="007F069E">
        <w:rPr>
          <w:rFonts w:ascii="Times New Roman" w:hAnsi="Times New Roman" w:cs="Times New Roman"/>
          <w:b/>
        </w:rPr>
        <w:t xml:space="preserve"> </w:t>
      </w:r>
      <w:r w:rsidR="00EB6DE1">
        <w:rPr>
          <w:rFonts w:ascii="Times New Roman" w:hAnsi="Times New Roman" w:cs="Times New Roman"/>
          <w:b/>
        </w:rPr>
        <w:t>kwietnia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14:paraId="5478A03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14:paraId="32A630A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EB6D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EB6DE1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14:paraId="2CA60B28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7906BAB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14:paraId="12371A97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14:paraId="6703C73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16FEFB0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4EEFFD4D" w14:textId="77777777"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14:paraId="67D545B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7BDF858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49122093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5778788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43B5883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2636D13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005DA4B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14:paraId="1B942D8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1EA2D242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6768F562" w14:textId="77777777"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14:paraId="409A8E6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563BD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14:paraId="7B4398C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B49D28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0A1F6296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14:paraId="7115D59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DB06F3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14:paraId="24A7EEB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14:paraId="597CE86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7ED553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14:paraId="56EA3076" w14:textId="77777777"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14:paraId="7151FBC7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14:paraId="7134E41F" w14:textId="77777777"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14:paraId="1520699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14:paraId="177F3766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067CF55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02DD91D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09304FD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1D733B6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14:paraId="68B9CE0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3B2185F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14:paraId="101C7B4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2FB1BE3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DA1326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14:paraId="591D7F3B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5BA6DFE3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14:paraId="2BE7DF0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796502E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14:paraId="332CA066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52122C1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14:paraId="1E33442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FCB64EA" w14:textId="77777777" w:rsidR="005B3534" w:rsidRDefault="005B3534" w:rsidP="00245BDD">
      <w:pPr>
        <w:jc w:val="both"/>
      </w:pPr>
    </w:p>
    <w:p w14:paraId="28EB346F" w14:textId="77777777" w:rsidR="005B3534" w:rsidRDefault="005B3534" w:rsidP="00245BDD"/>
    <w:p w14:paraId="62474E7A" w14:textId="77777777" w:rsidR="00211AAC" w:rsidRPr="005B3534" w:rsidRDefault="0048119E" w:rsidP="00245BDD">
      <w:pPr>
        <w:rPr>
          <w:rFonts w:ascii="Times New Roman" w:hAnsi="Times New Roman" w:cs="Times New Roman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211AAC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005448"/>
    <w:rsid w:val="0007407D"/>
    <w:rsid w:val="00167B1E"/>
    <w:rsid w:val="00211AAC"/>
    <w:rsid w:val="00245BDD"/>
    <w:rsid w:val="002A51B4"/>
    <w:rsid w:val="002D4525"/>
    <w:rsid w:val="00317EBF"/>
    <w:rsid w:val="003D1752"/>
    <w:rsid w:val="0048119E"/>
    <w:rsid w:val="00586645"/>
    <w:rsid w:val="005A1B17"/>
    <w:rsid w:val="005B3534"/>
    <w:rsid w:val="005C5988"/>
    <w:rsid w:val="005E330B"/>
    <w:rsid w:val="006C42BE"/>
    <w:rsid w:val="00724029"/>
    <w:rsid w:val="007F069E"/>
    <w:rsid w:val="00AD6C33"/>
    <w:rsid w:val="00C36A49"/>
    <w:rsid w:val="00D15E18"/>
    <w:rsid w:val="00D26653"/>
    <w:rsid w:val="00E35768"/>
    <w:rsid w:val="00EB6DE1"/>
    <w:rsid w:val="00EC09BC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1A8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40C6-72EB-47D0-B924-28DD189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2023-02-22T10:45:00Z</cp:lastPrinted>
  <dcterms:created xsi:type="dcterms:W3CDTF">2023-03-02T15:13:00Z</dcterms:created>
  <dcterms:modified xsi:type="dcterms:W3CDTF">2023-03-02T15:13:00Z</dcterms:modified>
</cp:coreProperties>
</file>