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979BA1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047">
        <w:rPr>
          <w:rFonts w:ascii="Times New Roman" w:hAnsi="Times New Roman" w:cs="Times New Roman"/>
          <w:b/>
          <w:sz w:val="28"/>
          <w:szCs w:val="24"/>
        </w:rPr>
        <w:t>o informację na temat możliwości działań porządkowych od wysokości dworca Toruń Kluczyki w kierunkach Nowego i Starego cmentarza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4DE10C2" w14:textId="6D512DCF" w:rsidR="00AF2D21" w:rsidRDefault="0099104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wysokości obu tych lokalizacji można zaobserwować, że w ciągach zieleni pozostają porozrzucane śmieci, które mogą tam być składowane przez wiele lat. Obawę moją co do zarządzania i dbania o porządek, budzi fakt, że w tym „kolejowym” obszarze jest bardzo specyficzna struktura własnościowa gruntów. Stąd wniosek o określenie do kogo i na które obszary należy zgłaszać problemy związane z zamienieniem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terenu.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620F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91047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2023-02-21T21:31:00Z</dcterms:created>
  <dcterms:modified xsi:type="dcterms:W3CDTF">2023-02-21T21:31:00Z</dcterms:modified>
</cp:coreProperties>
</file>