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C9F3" w14:textId="77777777" w:rsidR="00E85828" w:rsidRPr="00CB3473" w:rsidRDefault="00E85828" w:rsidP="00E45773">
      <w:pPr>
        <w:spacing w:line="276" w:lineRule="auto"/>
        <w:jc w:val="right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14:paraId="2B426E95" w14:textId="7E764587" w:rsidR="007C4AD1" w:rsidRPr="00CB3473" w:rsidRDefault="00E8582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Cs w:val="22"/>
          <w:lang w:bidi="ar-SA"/>
        </w:rPr>
        <w:t xml:space="preserve">ZARZĄDZENIE NR </w:t>
      </w:r>
      <w:r w:rsidR="00FF17A5">
        <w:rPr>
          <w:rFonts w:ascii="Times New Roman" w:eastAsia="Lucida Sans Unicode" w:hAnsi="Times New Roman" w:cs="Times New Roman"/>
          <w:b/>
          <w:szCs w:val="22"/>
          <w:lang w:bidi="ar-SA"/>
        </w:rPr>
        <w:t>25</w:t>
      </w:r>
    </w:p>
    <w:p w14:paraId="2E9914FC" w14:textId="77777777" w:rsidR="00E85828" w:rsidRPr="00CB3473" w:rsidRDefault="00E8582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Cs w:val="22"/>
          <w:lang w:bidi="ar-SA"/>
        </w:rPr>
        <w:t>PREZYDENTA MIASTA TORUNIA</w:t>
      </w:r>
    </w:p>
    <w:p w14:paraId="41C6CCA2" w14:textId="6AEBAADC" w:rsidR="00E85828" w:rsidRPr="00CB3473" w:rsidRDefault="00521677" w:rsidP="00E85828">
      <w:pPr>
        <w:jc w:val="center"/>
        <w:rPr>
          <w:rFonts w:ascii="Times New Roman" w:eastAsia="Arial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z dnia </w:t>
      </w:r>
      <w:r w:rsidR="00E85828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</w:t>
      </w:r>
      <w:r w:rsidR="00FF17A5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8.02</w:t>
      </w:r>
      <w:r w:rsidR="007C4AD1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.</w:t>
      </w:r>
      <w:r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202</w:t>
      </w:r>
      <w:r w:rsidR="00AB24B1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3</w:t>
      </w:r>
      <w:r w:rsidR="00E85828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r.</w:t>
      </w:r>
    </w:p>
    <w:p w14:paraId="02A52877" w14:textId="77777777" w:rsidR="00E85828" w:rsidRPr="00CB3473" w:rsidRDefault="00E85828" w:rsidP="00E8582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B3473">
        <w:rPr>
          <w:rFonts w:ascii="Times New Roman" w:eastAsia="Arial" w:hAnsi="Times New Roman" w:cs="Times New Roman"/>
          <w:sz w:val="22"/>
          <w:szCs w:val="22"/>
          <w:lang w:bidi="ar-SA"/>
        </w:rPr>
        <w:t xml:space="preserve">   </w:t>
      </w:r>
    </w:p>
    <w:p w14:paraId="150E06E5" w14:textId="77777777" w:rsidR="00742263" w:rsidRPr="00CB3473" w:rsidRDefault="00AB24B1" w:rsidP="00742263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w sprawie ustalenia Regula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 xml:space="preserve">minu 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pierwszego ustnego 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przetarg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u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nieograniczon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ego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na s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przedaż nieruchomości gruntowej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położonej w Toruniu przy ul. Jemiołowej 12 i 14 oraz powołania Komisji do przeprowadzenia przetargu.</w:t>
      </w:r>
    </w:p>
    <w:p w14:paraId="562B325E" w14:textId="77777777"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14:paraId="52383350" w14:textId="77777777"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Na podstawie art. 30 ust. 1 ustawy z dnia 8 marca 1990 roku o samorządzie gminnym (t.j. Dz.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U. z 2023 r. poz. 40) oraz uchwał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y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nr 387/20 Rady Miasta Torunia z dnia 14 maja 2020 r. w sprawie sprzedaży nieruchomości stanowiącej własność Gminy Miasta Toruń, położonej w Toruniu </w:t>
      </w:r>
      <w:r w:rsidR="00742263" w:rsidRPr="00CB3473">
        <w:rPr>
          <w:rFonts w:ascii="Times New Roman" w:eastAsia="Times New Roman" w:hAnsi="Times New Roman" w:cs="Times New Roman"/>
          <w:sz w:val="22"/>
          <w:szCs w:val="22"/>
        </w:rPr>
        <w:t>przy ul. Jemiołowej 12 i 14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,</w:t>
      </w:r>
      <w:r w:rsidRPr="00CB3473">
        <w:rPr>
          <w:rFonts w:ascii="Times New Roman" w:hAnsi="Times New Roman" w:cs="Times New Roman"/>
          <w:sz w:val="22"/>
          <w:szCs w:val="22"/>
        </w:rPr>
        <w:t xml:space="preserve">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zarządza się, co następuje:</w:t>
      </w:r>
    </w:p>
    <w:p w14:paraId="511564DE" w14:textId="77777777"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14:paraId="3CCB8C90" w14:textId="77777777"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§ 1. Powołać Komisję do przeprowadzenia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pierwszego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ustn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przetarg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u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nieograniczon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na s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przedaż nieruchomości gruntowej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, niezabudowan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ej położonej w Toruniu przy </w:t>
      </w:r>
      <w:r w:rsidR="00742263" w:rsidRPr="00CB3473">
        <w:rPr>
          <w:rFonts w:ascii="Times New Roman" w:eastAsia="Times New Roman" w:hAnsi="Times New Roman" w:cs="Times New Roman"/>
          <w:bCs/>
          <w:sz w:val="22"/>
          <w:szCs w:val="22"/>
        </w:rPr>
        <w:t xml:space="preserve">ul. Jemiołowej 12 i 14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w następującym składzie:</w:t>
      </w:r>
    </w:p>
    <w:p w14:paraId="67DC4A13" w14:textId="77777777"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14:paraId="0912ABF9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>1) Przewodniczący Komisji        - Katarzyna Wesołowska;</w:t>
      </w:r>
    </w:p>
    <w:p w14:paraId="2C5C269B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2) Członek Komisji                     - Katarzyna Kierys </w:t>
      </w:r>
    </w:p>
    <w:p w14:paraId="6641D628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4) Członek Komisji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  <w:t xml:space="preserve"> - Iwona Więckowska </w:t>
      </w:r>
    </w:p>
    <w:p w14:paraId="06C1B22C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>4) Członek Komisji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  <w:t xml:space="preserve"> - Robert Dąbrowski</w:t>
      </w:r>
    </w:p>
    <w:p w14:paraId="4FDCFC34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14:paraId="6BC435E6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2. Komisja przeprowadzi przetarg, zgodnie z Regulaminem stanowiącym załącznik do niniej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>szego zarządzenia.</w:t>
      </w:r>
    </w:p>
    <w:p w14:paraId="61549EAE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§ 3. Przetarg odbędzie się w Wydziale Gospodarki Nieruchomościami Urzędu Miasta Torunia,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w Toruniu 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przy ulicy Grudziądzkiej 126 „B” w sali nr 115, na pierwszym piętrze.</w:t>
      </w:r>
    </w:p>
    <w:p w14:paraId="0658693C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4. Wykonanie zarządzenia powierza się Dyrektorowi Wydziału Gospodarki Nieruchomościami.</w:t>
      </w:r>
    </w:p>
    <w:p w14:paraId="08C9C51E" w14:textId="77777777"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5. Zarządzenie wchodzi w życie z dniem podjęcia.</w:t>
      </w:r>
    </w:p>
    <w:p w14:paraId="3F9BCAB8" w14:textId="77777777" w:rsidR="00AB24B1" w:rsidRPr="00CB3473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56BCBEDF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21F35C89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1031C059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5FACE23C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066FF1B7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0F98ABC3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6F0206BE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3BC99BFD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40720137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70A57FAE" w14:textId="77777777"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18203B36" w14:textId="77777777" w:rsidR="00742263" w:rsidRDefault="00742263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278C49FB" w14:textId="77777777" w:rsidR="00AB24B1" w:rsidRPr="00B01308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14:paraId="4BFEE0F9" w14:textId="77777777" w:rsidR="006771B5" w:rsidRDefault="006771B5" w:rsidP="00E45773">
      <w:pPr>
        <w:spacing w:line="276" w:lineRule="auto"/>
        <w:jc w:val="right"/>
        <w:rPr>
          <w:rFonts w:ascii="Arial" w:eastAsia="Lucida Sans Unicode" w:hAnsi="Arial" w:cs="Arial"/>
          <w:sz w:val="20"/>
          <w:szCs w:val="20"/>
          <w:lang w:bidi="ar-SA"/>
        </w:rPr>
      </w:pPr>
    </w:p>
    <w:p w14:paraId="0C09928B" w14:textId="77777777" w:rsidR="006771B5" w:rsidRPr="0065535A" w:rsidRDefault="00E85828" w:rsidP="00E45773">
      <w:pPr>
        <w:spacing w:line="276" w:lineRule="auto"/>
        <w:jc w:val="right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lastRenderedPageBreak/>
        <w:t>Załączni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k do Zarządzenia </w:t>
      </w:r>
    </w:p>
    <w:p w14:paraId="6647890E" w14:textId="77777777" w:rsidR="00E45773" w:rsidRPr="0065535A" w:rsidRDefault="00E45773" w:rsidP="00E45773">
      <w:pPr>
        <w:spacing w:line="276" w:lineRule="auto"/>
        <w:jc w:val="right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Prezydenta Miasta Torunia </w:t>
      </w:r>
    </w:p>
    <w:p w14:paraId="6161BE84" w14:textId="31C614B5" w:rsidR="00E45773" w:rsidRPr="0065535A" w:rsidRDefault="00375D5C" w:rsidP="00E45773">
      <w:pPr>
        <w:spacing w:line="276" w:lineRule="auto"/>
        <w:jc w:val="right"/>
        <w:rPr>
          <w:rFonts w:ascii="Arial" w:eastAsia="Arial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N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>r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</w:t>
      </w:r>
      <w:r w:rsidR="00FF17A5">
        <w:rPr>
          <w:rFonts w:ascii="Arial" w:eastAsia="Lucida Sans Unicode" w:hAnsi="Arial" w:cs="Arial"/>
          <w:sz w:val="21"/>
          <w:szCs w:val="21"/>
          <w:lang w:bidi="ar-SA"/>
        </w:rPr>
        <w:t>25</w:t>
      </w:r>
      <w:r w:rsidR="007C4AD1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z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dnia </w:t>
      </w:r>
      <w:r w:rsidR="00FF17A5">
        <w:rPr>
          <w:rFonts w:ascii="Arial" w:eastAsia="Lucida Sans Unicode" w:hAnsi="Arial" w:cs="Arial"/>
          <w:sz w:val="21"/>
          <w:szCs w:val="21"/>
          <w:lang w:bidi="ar-SA"/>
        </w:rPr>
        <w:t>8.02</w:t>
      </w:r>
      <w:r w:rsidR="007C4AD1" w:rsidRPr="0065535A">
        <w:rPr>
          <w:rFonts w:ascii="Arial" w:eastAsia="Lucida Sans Unicode" w:hAnsi="Arial" w:cs="Arial"/>
          <w:sz w:val="21"/>
          <w:szCs w:val="21"/>
          <w:lang w:bidi="ar-SA"/>
        </w:rPr>
        <w:t>.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>202</w:t>
      </w:r>
      <w:r w:rsidR="00742263" w:rsidRPr="0065535A">
        <w:rPr>
          <w:rFonts w:ascii="Arial" w:eastAsia="Lucida Sans Unicode" w:hAnsi="Arial" w:cs="Arial"/>
          <w:sz w:val="21"/>
          <w:szCs w:val="21"/>
          <w:lang w:bidi="ar-SA"/>
        </w:rPr>
        <w:t>3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r. </w:t>
      </w:r>
    </w:p>
    <w:p w14:paraId="7DD6C563" w14:textId="77777777" w:rsidR="00E45773" w:rsidRPr="0065535A" w:rsidRDefault="00E45773" w:rsidP="00E45773">
      <w:pPr>
        <w:spacing w:line="360" w:lineRule="auto"/>
        <w:jc w:val="center"/>
        <w:rPr>
          <w:rFonts w:ascii="Arial" w:eastAsia="Lucida Sans Unicode" w:hAnsi="Arial" w:cs="Arial"/>
          <w:b/>
          <w:sz w:val="21"/>
          <w:szCs w:val="21"/>
          <w:lang w:bidi="ar-SA"/>
        </w:rPr>
      </w:pPr>
    </w:p>
    <w:p w14:paraId="335F5556" w14:textId="77777777" w:rsidR="00E45773" w:rsidRPr="0065535A" w:rsidRDefault="00C26CEB" w:rsidP="006771B5">
      <w:pPr>
        <w:spacing w:line="360" w:lineRule="auto"/>
        <w:jc w:val="center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b/>
          <w:sz w:val="21"/>
          <w:szCs w:val="21"/>
          <w:lang w:bidi="ar-SA"/>
        </w:rPr>
        <w:t>REGULAMIN I</w:t>
      </w:r>
      <w:r w:rsidR="00E45773" w:rsidRPr="0065535A">
        <w:rPr>
          <w:rFonts w:ascii="Arial" w:eastAsia="Lucida Sans Unicode" w:hAnsi="Arial" w:cs="Arial"/>
          <w:b/>
          <w:sz w:val="21"/>
          <w:szCs w:val="21"/>
          <w:lang w:bidi="ar-SA"/>
        </w:rPr>
        <w:t xml:space="preserve"> PRZETARGU</w:t>
      </w:r>
    </w:p>
    <w:p w14:paraId="6B598D25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§ 1.1. Przetarg ogłasza, organizuje i przeprowadza Prezydent Miasta Torunia na podstawie:</w:t>
      </w:r>
    </w:p>
    <w:p w14:paraId="6588BA87" w14:textId="77777777"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a) Ustawy z dnia 21 sierpnia 1997 roku o gospodarce nieruchomościami; </w:t>
      </w:r>
    </w:p>
    <w:p w14:paraId="4968B112" w14:textId="77777777"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b) Rozporządzenia Rady Ministrów z dnia 14 września 2004 roku w sprawie sposobu i trybu przepro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>wadzania przetargów oraz rokowań na zbycie nieruchomości;</w:t>
      </w:r>
    </w:p>
    <w:p w14:paraId="505DEC2F" w14:textId="77777777"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c) Uchwały nr 387/20 Rady Miasta Torunia z dnia 14 maja 2020 r. w sprawie sprzedaży nieruchomości stanowiącej własność Gminy Miasta Toruń, położonej w Toruniu przy </w:t>
      </w:r>
      <w:r w:rsidRPr="0065535A">
        <w:rPr>
          <w:rFonts w:ascii="Arial" w:eastAsia="Times New Roman" w:hAnsi="Arial" w:cs="Arial"/>
          <w:sz w:val="21"/>
          <w:szCs w:val="21"/>
        </w:rPr>
        <w:t xml:space="preserve">ul. </w:t>
      </w:r>
      <w:r w:rsidRPr="0065535A">
        <w:rPr>
          <w:rFonts w:ascii="Arial" w:eastAsia="Times New Roman" w:hAnsi="Arial" w:cs="Arial"/>
          <w:bCs/>
          <w:sz w:val="21"/>
          <w:szCs w:val="21"/>
        </w:rPr>
        <w:t>Jemiołowej 12 i 14</w:t>
      </w:r>
      <w:r w:rsidR="006771B5" w:rsidRPr="0065535A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65535A">
        <w:rPr>
          <w:rFonts w:ascii="Arial" w:eastAsia="Times New Roman" w:hAnsi="Arial" w:cs="Arial"/>
          <w:bCs/>
          <w:sz w:val="21"/>
          <w:szCs w:val="21"/>
        </w:rPr>
        <w:t>oraz niniejszego regulaminu.</w:t>
      </w:r>
    </w:p>
    <w:p w14:paraId="3E3AAF73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2. Czynności związane z przeprowadzeniem przetargu wykonuje Komisja Przetargowa, która podejmuje rozstrzygnięcia większością głosów, w drodze głosowania, w obecności co najmniej po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>łowy ustalonego składu. W przypadku równej liczby głosów decyduje głos przewodniczącego komi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 xml:space="preserve">sji.  </w:t>
      </w:r>
    </w:p>
    <w:p w14:paraId="6C69A997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2. Komisja Przetargowa przeprowadzi przetarg w dniu 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26 kwietnia 2023</w:t>
      </w:r>
      <w:r w:rsidR="000954B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r. o godz. 1</w:t>
      </w:r>
      <w:r w:rsidR="000954BC"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0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.00.</w:t>
      </w:r>
    </w:p>
    <w:p w14:paraId="2C9BE564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3. 1. Przedmiotem przetargu jest nieruchomość gruntowa, niezabudowana, stanowiąca własność Gminy Miasta Toruń, położona w Toruniu w przy </w:t>
      </w:r>
      <w:r w:rsidRPr="0065535A">
        <w:rPr>
          <w:rFonts w:ascii="Arial" w:eastAsia="Times New Roman" w:hAnsi="Arial" w:cs="Arial"/>
          <w:b/>
          <w:color w:val="000000"/>
          <w:sz w:val="21"/>
          <w:szCs w:val="21"/>
        </w:rPr>
        <w:t>ul. Jemiołowej 12 i 14</w:t>
      </w: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, oznaczona geodezyjnie jako działka nr 188/7, o  pow. 0,0279 ha oraz działka nr 188/9 o pow. 0,0042 ha, o łącznej pow. 0,0321 ha, </w:t>
      </w:r>
      <w:r w:rsidRPr="0065535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w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obrębie 28, zapisana w księdze wieczystej prowadzonej przez Sąd Rejonowy w Toruniu pod nr KW TO1T/00026097/4. </w:t>
      </w:r>
    </w:p>
    <w:p w14:paraId="73BBF794" w14:textId="77777777"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</w:rPr>
        <w:t xml:space="preserve">2. W rejestrze gruntów nieruchomość oznaczona jest jako użytek: RVI – Grunty orne.   </w:t>
      </w:r>
    </w:p>
    <w:p w14:paraId="0D15E932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</w:rPr>
        <w:t xml:space="preserve">§ 4. Nieruchomość będąca przedmiotem przetargu położona jest </w:t>
      </w:r>
      <w:r w:rsidRPr="0065535A">
        <w:rPr>
          <w:rFonts w:ascii="Arial" w:eastAsia="Times New Roman" w:hAnsi="Arial" w:cs="Arial"/>
          <w:sz w:val="21"/>
          <w:szCs w:val="21"/>
        </w:rPr>
        <w:t xml:space="preserve">w północnej części miasta, na osiedlu Wrzosy Leśne-Polana. W sąsiedztwie znajdują się zabudowa mieszkaniowa jednorodzinna, grunty niezabudowane. Od strony południowej nieruchomość graniczy z cmentarzem, przy ul. Owsianej. </w:t>
      </w:r>
    </w:p>
    <w:p w14:paraId="1C9FE388" w14:textId="77777777" w:rsidR="000954BC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65535A">
        <w:rPr>
          <w:rFonts w:ascii="Arial" w:eastAsia="Times New Roman" w:hAnsi="Arial" w:cs="Arial"/>
          <w:sz w:val="21"/>
          <w:szCs w:val="21"/>
        </w:rPr>
        <w:t xml:space="preserve">§ 5. 1. Zgodnie z postanowieniami miejscowego planu zagospodarowania przestrzennego dla osiedla Wrzosy Leśne-Polana, zatwierdzonego uchwałą Rady Miasta Torunia nr 208/11 z dnia 24 listopada 2011 r. nieruchomość znajduje się w granicach jednostki planistycznej oznaczonej symbolem 42.03-U6, dla której ustalono przeznaczenie podstawowe: </w:t>
      </w:r>
      <w:r w:rsidRPr="0065535A">
        <w:rPr>
          <w:rFonts w:ascii="Arial" w:eastAsia="Lucida Sans Unicode" w:hAnsi="Arial" w:cs="Arial"/>
          <w:sz w:val="21"/>
          <w:szCs w:val="21"/>
        </w:rPr>
        <w:t>usługi osiedlowe (ze względu na sąsiedztwo cmentarza preferuje się wprowadzenie usługi sakralnej – kościoła, kaplicy itp.) oraz przeznaczenie dopuszczalne: zieleń urządzona, obiekty i urządzenia infrastruktury technicznej, obiekty małej architektury. Jednocześnie zgodnie z postanowieniami powołanego planu przez usługi osiedlowe należy rozumieć usługi handlu detalicznego małopowierzchniowego, punkty usług rzemieślniczych (fryzjer, krawiec, szewc, solaria itp.) gastronomia, kluby (z wyłączeniem klubów o charakterze dyskotek), poradnie medyczne (gabinety lekarskie i diagnostyczne), oświatowe (małe przedszkola i żłobki, szkoły języków obcych), biura itp.</w:t>
      </w:r>
      <w:r w:rsidRPr="0065535A">
        <w:rPr>
          <w:rFonts w:ascii="Arial" w:eastAsia="Times New Roman" w:hAnsi="Arial" w:cs="Arial"/>
          <w:sz w:val="21"/>
          <w:szCs w:val="21"/>
        </w:rPr>
        <w:t xml:space="preserve"> </w:t>
      </w:r>
      <w:r w:rsidR="006771B5" w:rsidRPr="0065535A">
        <w:rPr>
          <w:rFonts w:ascii="Arial" w:eastAsia="Times New Roman" w:hAnsi="Arial" w:cs="Arial"/>
          <w:sz w:val="21"/>
          <w:szCs w:val="21"/>
        </w:rPr>
        <w:t>Dodatkowo miejscowy plan wprowadza nakaz uwzględnienia ograniczeń związanych ze strefą sanitarną</w:t>
      </w:r>
      <w:r w:rsidR="00903DC0" w:rsidRPr="0065535A">
        <w:rPr>
          <w:rFonts w:ascii="Arial" w:eastAsia="Times New Roman" w:hAnsi="Arial" w:cs="Arial"/>
          <w:sz w:val="21"/>
          <w:szCs w:val="21"/>
        </w:rPr>
        <w:t xml:space="preserve"> od cmentarza o szerokości 50 m </w:t>
      </w:r>
      <w:r w:rsidR="006771B5" w:rsidRPr="0065535A">
        <w:rPr>
          <w:rFonts w:ascii="Arial" w:eastAsia="Times New Roman" w:hAnsi="Arial" w:cs="Arial"/>
          <w:sz w:val="21"/>
          <w:szCs w:val="21"/>
        </w:rPr>
        <w:lastRenderedPageBreak/>
        <w:t>zgodnie z wymaganiami przepisów szczególnych</w:t>
      </w:r>
      <w:r w:rsidR="00D92496" w:rsidRPr="0065535A">
        <w:rPr>
          <w:rFonts w:ascii="Arial" w:eastAsia="Times New Roman" w:hAnsi="Arial" w:cs="Arial"/>
          <w:sz w:val="21"/>
          <w:szCs w:val="21"/>
        </w:rPr>
        <w:t>.</w:t>
      </w:r>
      <w:r w:rsidR="009D55C8" w:rsidRPr="0065535A">
        <w:rPr>
          <w:rFonts w:ascii="Arial" w:eastAsia="Times New Roman" w:hAnsi="Arial" w:cs="Arial"/>
          <w:sz w:val="21"/>
          <w:szCs w:val="21"/>
        </w:rPr>
        <w:t xml:space="preserve"> 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Możliwe sposoby zagospodarowania nieruchomości wskazane zostały w </w:t>
      </w:r>
      <w:r w:rsidR="009D55C8" w:rsidRPr="0065535A">
        <w:rPr>
          <w:rFonts w:ascii="Arial" w:eastAsia="Times New Roman" w:hAnsi="Arial" w:cs="Arial"/>
          <w:sz w:val="21"/>
          <w:szCs w:val="21"/>
        </w:rPr>
        <w:t>opinii Wydziału Architektury i Budownictwa Urzędu Miasta Torunia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, </w:t>
      </w:r>
      <w:r w:rsidR="009D55C8" w:rsidRPr="0065535A">
        <w:rPr>
          <w:rFonts w:ascii="Arial" w:eastAsia="Times New Roman" w:hAnsi="Arial" w:cs="Arial"/>
          <w:sz w:val="21"/>
          <w:szCs w:val="21"/>
        </w:rPr>
        <w:t>stanowiącej załącznik do niniejsz</w:t>
      </w:r>
      <w:r w:rsidR="00124AD6" w:rsidRPr="0065535A">
        <w:rPr>
          <w:rFonts w:ascii="Arial" w:eastAsia="Times New Roman" w:hAnsi="Arial" w:cs="Arial"/>
          <w:sz w:val="21"/>
          <w:szCs w:val="21"/>
        </w:rPr>
        <w:t>ego Regulaminu przetargu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. </w:t>
      </w:r>
      <w:r w:rsidR="00491F6B" w:rsidRPr="0065535A">
        <w:rPr>
          <w:rFonts w:ascii="Arial" w:eastAsia="Times New Roman" w:hAnsi="Arial" w:cs="Arial"/>
          <w:sz w:val="21"/>
          <w:szCs w:val="21"/>
        </w:rPr>
        <w:t xml:space="preserve"> </w:t>
      </w:r>
    </w:p>
    <w:p w14:paraId="3CE88D02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sz w:val="21"/>
          <w:szCs w:val="21"/>
        </w:rPr>
        <w:t xml:space="preserve">2. </w:t>
      </w: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Szczegółowe ustalenia planu zawarte są w treści powołanej uchwały Rady Miasta Torunia. </w:t>
      </w:r>
    </w:p>
    <w:p w14:paraId="40764CD5" w14:textId="77777777" w:rsidR="00E45773" w:rsidRPr="0065535A" w:rsidRDefault="00E45773" w:rsidP="00E45773">
      <w:pPr>
        <w:spacing w:line="360" w:lineRule="auto"/>
        <w:ind w:firstLine="708"/>
        <w:jc w:val="both"/>
        <w:rPr>
          <w:color w:val="CC33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>3.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odrębnymi.</w:t>
      </w:r>
    </w:p>
    <w:p w14:paraId="156E6FAF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4. Nieruchomość posiada dostęp do drogi publicznej – ul. Jemiołowej. Grunt znajduje się w zasięgu sieci: energetycznej, wodociągowej i kanalizacyjnej. Sieć gazowa znajduje się w ul. Owsianej. 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sieci. </w:t>
      </w:r>
    </w:p>
    <w:p w14:paraId="48BF3A0E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5. Na obszarze nieruchomości, w wyniku </w:t>
      </w:r>
      <w:r w:rsidRPr="0065535A">
        <w:rPr>
          <w:rFonts w:ascii="Arial" w:eastAsia="Lucida Sans Unicode" w:hAnsi="Arial" w:cs="Arial"/>
          <w:color w:val="000000"/>
          <w:sz w:val="21"/>
          <w:szCs w:val="21"/>
        </w:rPr>
        <w:t xml:space="preserve">funkcjonowania terenu jako ogólnodostępnego dla osób trzecich, mogą wystąpić dzikie wysypiska śmieci. </w:t>
      </w:r>
    </w:p>
    <w:p w14:paraId="6B230EBD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535A">
        <w:rPr>
          <w:rFonts w:ascii="Arial" w:hAnsi="Arial" w:cs="Arial"/>
          <w:sz w:val="21"/>
          <w:szCs w:val="21"/>
        </w:rPr>
        <w:t>§ 6. Ustala się następujące warunki przetargu: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410"/>
        <w:gridCol w:w="1418"/>
        <w:gridCol w:w="850"/>
        <w:gridCol w:w="1559"/>
        <w:gridCol w:w="2067"/>
      </w:tblGrid>
      <w:tr w:rsidR="00E45773" w:rsidRPr="0065535A" w14:paraId="0B08B8A6" w14:textId="77777777" w:rsidTr="00431E42">
        <w:trPr>
          <w:trHeight w:val="64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958D4" w14:textId="77777777" w:rsidR="00E45773" w:rsidRPr="0065535A" w:rsidRDefault="00E45773" w:rsidP="00431E42">
            <w:pPr>
              <w:snapToGrid w:val="0"/>
              <w:spacing w:before="120" w:after="120"/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193B6" w14:textId="77777777"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Położenie </w:t>
            </w:r>
          </w:p>
          <w:p w14:paraId="251C66AA" w14:textId="77777777"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nieruchomości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9B4E6A" w14:textId="77777777"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Oznaczenie geodezyjne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C1D5C" w14:textId="77777777"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Pow. </w:t>
            </w:r>
          </w:p>
          <w:p w14:paraId="039F3EFF" w14:textId="77777777"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w ha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077AF" w14:textId="77777777"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Wadium 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3C2D25" w14:textId="77777777"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Cena wywoławcza </w:t>
            </w:r>
          </w:p>
          <w:p w14:paraId="1A9CC39A" w14:textId="77777777"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z VAT</w:t>
            </w:r>
          </w:p>
        </w:tc>
      </w:tr>
      <w:tr w:rsidR="00E45773" w:rsidRPr="0065535A" w14:paraId="68E8CF90" w14:textId="77777777" w:rsidTr="00E967F7">
        <w:trPr>
          <w:trHeight w:hRule="exact" w:val="929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079A4" w14:textId="77777777" w:rsidR="00E45773" w:rsidRPr="0065535A" w:rsidRDefault="00E45773" w:rsidP="00431E42">
            <w:pPr>
              <w:tabs>
                <w:tab w:val="left" w:pos="383"/>
              </w:tabs>
              <w:snapToGrid w:val="0"/>
              <w:spacing w:before="120" w:after="120"/>
              <w:ind w:left="2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77166" w14:textId="77777777" w:rsidR="00E45773" w:rsidRPr="0065535A" w:rsidRDefault="00E45773" w:rsidP="00431E42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 xml:space="preserve"> ul. Jemiołowa 12 i 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65AAD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dz. nr 188/7</w:t>
            </w:r>
          </w:p>
          <w:p w14:paraId="4D818C2B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 nr 188/9</w:t>
            </w:r>
          </w:p>
          <w:p w14:paraId="7DEB280E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obręb 28</w:t>
            </w:r>
          </w:p>
          <w:p w14:paraId="416CAA81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00D5F5CD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2B437245" w14:textId="77777777"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38EC4" w14:textId="77777777" w:rsidR="00E45773" w:rsidRPr="0065535A" w:rsidRDefault="00E45773" w:rsidP="00431E42">
            <w:pPr>
              <w:pStyle w:val="Zawartotabeli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>0,0321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8E868" w14:textId="77777777" w:rsidR="00E45773" w:rsidRPr="0065535A" w:rsidRDefault="000954BC" w:rsidP="00431E4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color w:val="000000"/>
                <w:sz w:val="21"/>
                <w:szCs w:val="21"/>
              </w:rPr>
              <w:t>8 5</w:t>
            </w:r>
            <w:r w:rsidR="00E45773" w:rsidRPr="0065535A">
              <w:rPr>
                <w:rFonts w:ascii="Arial" w:hAnsi="Arial" w:cs="Arial"/>
                <w:color w:val="000000"/>
                <w:sz w:val="21"/>
                <w:szCs w:val="21"/>
              </w:rPr>
              <w:t>00,00 zł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C8AEDA" w14:textId="77777777" w:rsidR="00E45773" w:rsidRPr="0065535A" w:rsidRDefault="000954BC" w:rsidP="00431E42">
            <w:pPr>
              <w:pStyle w:val="Zawartotabeli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>85</w:t>
            </w:r>
            <w:r w:rsidR="00E45773" w:rsidRPr="0065535A">
              <w:rPr>
                <w:rFonts w:ascii="Arial" w:hAnsi="Arial" w:cs="Arial"/>
                <w:sz w:val="21"/>
                <w:szCs w:val="21"/>
              </w:rPr>
              <w:t>.000,00 zł</w:t>
            </w:r>
          </w:p>
        </w:tc>
      </w:tr>
    </w:tbl>
    <w:p w14:paraId="466FB695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</w:p>
    <w:p w14:paraId="46BC41DA" w14:textId="77777777"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7. 1. W przetargu mogą wziąć udział podmioty, które wpłacą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wadium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w pieniądzu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 drodze jednorazowego przelewu na konto Urzędu Miasta Torunia - BANK MILLENNIUM S.A. Oddział Toruń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nr 62 1160 2202 0000 0003 3943 1400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 terminie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do dnia 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19 kwietnia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202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3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r. włącznie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. Za datę wpłaty wadium uznaje się dzień wpływu środków pieniężnych na </w:t>
      </w:r>
      <w:r w:rsidR="000954B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rachunek bankowy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Gminy. Na dowodzie wpłaty należy umieścić dopisek wskazujący oznaczenie nieruchomości, do licytacji której uczestnik zamierza przystąpić. Wpłacone wadium uprawnia do uczestnictwa wyłącznie w przetargu, którego dotyczy.</w:t>
      </w:r>
    </w:p>
    <w:p w14:paraId="3F372C3A" w14:textId="77777777"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Podmioty, które wpłacą wadium w sposób niezgodny z postanowieniami ust. 1, w szczególności, gdy wadium zostanie wpłacone w gotówce w kasie Urzędu Miasta Torunia, nie zostaną dopusz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czone do udziału w przetargu.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 </w:t>
      </w:r>
    </w:p>
    <w:p w14:paraId="42A8735A" w14:textId="77777777"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3. Komisja przetargowa przed otwarciem przetargu stwierdza </w:t>
      </w:r>
      <w:r w:rsidR="001A23A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wniesienie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wadium na podstawie wyciągu bankowego z wskazanego rachunku bankowego i sporządzi wykaz osób, które spełniły ten warunek.</w:t>
      </w:r>
    </w:p>
    <w:p w14:paraId="535E2C12" w14:textId="77777777"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8. 1. Uczestnicy przetargu i osoby działające w ich imieniu winni przed przystąpieniem do licy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tacji przedstawić Komisji Przetargowej:</w:t>
      </w:r>
    </w:p>
    <w:p w14:paraId="5ECD895A" w14:textId="77777777"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lastRenderedPageBreak/>
        <w:t>1) wszyscy: dokument potwierdzający tożsamość np. dowód osobisty lub paszport;</w:t>
      </w:r>
    </w:p>
    <w:p w14:paraId="0E1B213B" w14:textId="77777777"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2) osoby prawne i jednostki organizacyjne nie będące osobami prawnymi, którym ustawa przyzna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ła zdolność prawną: aktualny wypis z właściwego rejestru oraz upoważnienie organu uprawnione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go do reprezentowania podmiotu;</w:t>
      </w:r>
    </w:p>
    <w:p w14:paraId="41D69E9D" w14:textId="77777777"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3) pełnomocnicy - pełnomocnictwo do uczestnictwa w przetargu (w formie pisemnej) lub pełnomoc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nictwo do nabycia nieruchomości (w formie aktu notarialnego);</w:t>
      </w:r>
    </w:p>
    <w:p w14:paraId="618FC021" w14:textId="77777777" w:rsidR="000954BC" w:rsidRPr="0065535A" w:rsidRDefault="000954BC" w:rsidP="000954BC">
      <w:pP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4) małżonek zamierzający samodzielnie licytować nieruchomość nabywaną do majątku wspólnego – pisemną zgodę współmałżonka na udział w licytacji i odpłatne nabycie nieruchomości.</w:t>
      </w:r>
    </w:p>
    <w:p w14:paraId="62CA9CAF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Nie przedłożenie wymaganych dokumentów wymienionych w ust. 1 skutkować będzie nie dopuszczeniem do uczestnictwa w przetargu.</w:t>
      </w:r>
    </w:p>
    <w:p w14:paraId="11E9D898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ab/>
      </w:r>
    </w:p>
    <w:p w14:paraId="5326EBBA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9. 1. Licytacja odbywa się przez podniesienie ręki osoby biorącej udział w przetargu oraz głośne podanie oferowanej ceny, będącej powiększeniem ceny wywoławczej o kolejne postąpienia.</w:t>
      </w:r>
    </w:p>
    <w:p w14:paraId="172E145E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2. Uczestnicy przetargu zgłaszają kolejne postąpienie w wysokości nie niższej niż 1% ceny wywoławczej z zaokrągleniem w górę do pełnych dziesiątek złotych.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ab/>
      </w:r>
    </w:p>
    <w:p w14:paraId="5DD00CCC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10. 1. O rozstrzygnięciu licytacji decyduje wielkość i kolejność zaoferowanej ceny.</w:t>
      </w:r>
    </w:p>
    <w:p w14:paraId="1187E639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Po trzecim wywołaniu najwyższej zaoferowanej ceny dalsze postąpienia nie zostaną przyjęte.</w:t>
      </w:r>
    </w:p>
    <w:p w14:paraId="2597D2B4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11. Sprzedaż nieruchomości będącej przedmiotem przetargu jest opodatkowana podatkiem od towarów i usług według stawki 23%, a cena wywoławcza nieruchomości i ustalona w przetargu cena nieruchomości stanowi cenę brutto w rozumieniu przepisów ustawy z dnia 11 marca 2004 o podatku od towarów i usług. </w:t>
      </w:r>
    </w:p>
    <w:p w14:paraId="4C7B0D7F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12. Przetarg jest ważny bez względu na liczbę uczestników przetargu, jeżeli przynajmniej je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den uczestnik zaoferuje co najmniej jedno postąpienie powyżej ceny wywoławczej.</w:t>
      </w:r>
    </w:p>
    <w:p w14:paraId="27C18D44" w14:textId="77777777"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13. Wadium wpłacone przez uczestnika, który przetarg wygrał zalicza się na poczet ceny sprzedaży z chwilą zawarcia umowy sprzedaży w formie aktu notarialnego. Wadium ulega prze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padkowi w wypadku uchylenia się od zawarcia aktu notarialnego przez uczestnika, który przetarg wygrał. </w:t>
      </w:r>
    </w:p>
    <w:p w14:paraId="47553229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14. Pozostałym uczestnikom przetargu, wadium zostanie niezwłocznie – nie później niż przed upływem 3 dni od dnia odwołania, unieważnienia lub rozstrzygnięcia przetargu – zwrócone przele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wem w wysokości nominalnej, na wskazane przez nich na piśmie konto. W przypadku braku pi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semnego wskazania – najpóźniej w dniu przetargu – rachunku bankowego, na które ma być doko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nany zwrot wadium zostanie zwrócone na konto, z którego wpłynęło. </w:t>
      </w:r>
    </w:p>
    <w:p w14:paraId="2A721B2C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15. 1. Protokół z przetargu sporządza się w 3 jednobrzmiących egzemplarzach. </w:t>
      </w:r>
    </w:p>
    <w:p w14:paraId="76893D60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Protokół stanowi podstawę zawarcia umowy w formie aktu notarialnego.</w:t>
      </w:r>
    </w:p>
    <w:p w14:paraId="0A047647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16. 1. Prezydent Miasta Torunia zawiadomi osobę ustaloną jako nabywca nieruchomości o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lastRenderedPageBreak/>
        <w:t xml:space="preserve">terminie i miejscu zawarcia umowy sprzedaży nieruchomości, najpóźniej w ciągu 21 dni od dnia rozstrzygnięcia przetargu. Wyznaczony termin nie może być krótszy niż 7 dni od dnia doręczenia zawiadomienia.  </w:t>
      </w:r>
    </w:p>
    <w:p w14:paraId="683A3292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Umowa sprzedaży nieruchomości, w formie aktu notarialnego winna zostać zawarta w ter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minie 2 miesięcy od dnia rozstrzygnięcia przetargu. W przypadku wystąpienia wyjątkowych okoliczności, których osoba ustalona jako nabywca nieruchomości nie mogła przewidzieć w dniu przetargu, Prezydent Miasta Torunia może zadecydować o przesunięciu terminu zawarcia umowy.</w:t>
      </w:r>
    </w:p>
    <w:p w14:paraId="1BB2EE66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3. Jeżeli osoba ustalona jako nabywca nieruchomości nie przystąpi bez usprawiedliwienia do zawarcia umowy w miejscu i terminie podanych w zawiadomieniu, o którym mowa w ust. 1, z zastrzeżeniem ust. 2, Prezydent Miasta Torunia może odstąpić od zawarcia umowy, a wpłacone wadium nie podlega zwrotowi.  </w:t>
      </w:r>
    </w:p>
    <w:p w14:paraId="3A706CFD" w14:textId="77777777" w:rsidR="000954BC" w:rsidRPr="0065535A" w:rsidRDefault="000954BC" w:rsidP="000954BC">
      <w:pPr>
        <w:spacing w:line="360" w:lineRule="auto"/>
        <w:ind w:firstLine="285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17. Zwycięzca przetargu zobowiązany jest zapłacić ustaloną w przetargu cenę sprzedaży po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mniejszoną o wpłacone wadium przelewem na rachunek bankowy Urzędu Miasta Torunia BANK MILLENNIUM S.A. O/Toruń nr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95 1160 2202 0000 0000 6171 9127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przed zawarciem umowy notarialnej przenoszącej własność, w terminie i w sposób umożliwiający potwierdzenie wpływu środków pieniężnych na powyżej wskazany rachunek bankowy. Za datę wpłaty ceny sprzedaży uznaje się dzień wpływu środków pieniężnych na konto Gminy Miasta Toruń.</w:t>
      </w:r>
    </w:p>
    <w:p w14:paraId="0611E6A7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18. Nabycie nieruchomości przez cudzoziemca następuje z uwzględnieniem przepisów usta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wy z dnia 24 marca 1920 roku o nabywaniu nieruchomości przez 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cudzoziemców. </w:t>
      </w:r>
    </w:p>
    <w:p w14:paraId="77CA45BE" w14:textId="77777777"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Arial" w:hAnsi="Arial" w:cs="Arial"/>
          <w:color w:val="000000"/>
          <w:sz w:val="21"/>
          <w:szCs w:val="21"/>
          <w:lang w:bidi="ar-SA"/>
        </w:rPr>
        <w:t xml:space="preserve">  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19. Wszelkie koszty nabycia nieruchomości, w tym koszty notarialne i sądowe ponosi jej nabywca.</w:t>
      </w:r>
    </w:p>
    <w:p w14:paraId="25E28941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20. 1. Geodezyjne dane nieruchomości zostały podane na podstawie informacji z ewidencji gruntów i budynków.</w:t>
      </w:r>
    </w:p>
    <w:p w14:paraId="7EB84692" w14:textId="77777777" w:rsidR="000954BC" w:rsidRPr="0065535A" w:rsidRDefault="000954BC" w:rsidP="000954BC">
      <w:pPr>
        <w:spacing w:line="360" w:lineRule="auto"/>
        <w:ind w:firstLine="300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Okazanie przez geodetę granic nieruchomości odbyć się może na koszt i wniosek nabywcy.</w:t>
      </w:r>
    </w:p>
    <w:p w14:paraId="7E784592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21. Prezydent Miasta Torunia może z ważnych powodów odwołać przetarg.</w:t>
      </w:r>
    </w:p>
    <w:p w14:paraId="67120007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22. Uczestnik przetargu może zaskarżyć czynności związane z przeprowadzeniem przetargu do Prezydenta Miasta Torunia. Skarga winna być wniesiona w terminie 7 dni od dnia ogłoszenia wyniku przetargu. </w:t>
      </w:r>
    </w:p>
    <w:p w14:paraId="3897EE7A" w14:textId="77777777"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23. Prezydent Miasta Torunia rozpatrzy skargę w terminie 7 dni od dnia jej otrzymania. </w:t>
      </w:r>
    </w:p>
    <w:p w14:paraId="37A4814F" w14:textId="77777777" w:rsidR="00E967F7" w:rsidRPr="0065535A" w:rsidRDefault="000954BC" w:rsidP="009D55C8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24. Do czasu rozpatrzenia skargi wstrzymane zostają czynności związane ze zbyciem nieruchomości. </w:t>
      </w:r>
    </w:p>
    <w:p w14:paraId="3D017603" w14:textId="77777777" w:rsidR="00F91D7E" w:rsidRPr="0065535A" w:rsidRDefault="00F91D7E" w:rsidP="00E967F7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7C192169" w14:textId="77777777" w:rsidR="009D55C8" w:rsidRPr="0065535A" w:rsidRDefault="009D55C8" w:rsidP="00E967F7">
      <w:pPr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65535A">
        <w:rPr>
          <w:rFonts w:ascii="Arial" w:hAnsi="Arial" w:cs="Arial"/>
          <w:sz w:val="20"/>
          <w:szCs w:val="20"/>
          <w:u w:val="single"/>
        </w:rPr>
        <w:t xml:space="preserve">Załącznik: </w:t>
      </w:r>
    </w:p>
    <w:p w14:paraId="6B23AE8E" w14:textId="77777777" w:rsidR="00F91D7E" w:rsidRPr="0065535A" w:rsidRDefault="009D55C8" w:rsidP="00F91D7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535A">
        <w:rPr>
          <w:rFonts w:ascii="Arial" w:hAnsi="Arial" w:cs="Arial"/>
          <w:sz w:val="20"/>
          <w:szCs w:val="20"/>
        </w:rPr>
        <w:t>- opinia Wydziału Architektury i Budownictwa Urzędu Miasta Torunia z dnia 10.02.2023 r.</w:t>
      </w:r>
      <w:r w:rsidR="00F91D7E" w:rsidRPr="0065535A">
        <w:rPr>
          <w:rFonts w:ascii="Arial" w:hAnsi="Arial" w:cs="Arial"/>
          <w:sz w:val="20"/>
          <w:szCs w:val="20"/>
        </w:rPr>
        <w:t xml:space="preserve">         </w:t>
      </w:r>
    </w:p>
    <w:p w14:paraId="52EC6FB3" w14:textId="77777777" w:rsidR="009D55C8" w:rsidRPr="0065535A" w:rsidRDefault="00F91D7E" w:rsidP="00F91D7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535A">
        <w:rPr>
          <w:rFonts w:ascii="Arial" w:hAnsi="Arial" w:cs="Arial"/>
          <w:sz w:val="20"/>
          <w:szCs w:val="20"/>
        </w:rPr>
        <w:t xml:space="preserve">  </w:t>
      </w:r>
      <w:r w:rsidR="0065535A" w:rsidRPr="0065535A">
        <w:rPr>
          <w:rFonts w:ascii="Arial" w:hAnsi="Arial" w:cs="Arial"/>
          <w:sz w:val="20"/>
          <w:szCs w:val="20"/>
        </w:rPr>
        <w:t>z</w:t>
      </w:r>
      <w:r w:rsidRPr="0065535A">
        <w:rPr>
          <w:rFonts w:ascii="Arial" w:hAnsi="Arial" w:cs="Arial"/>
          <w:sz w:val="20"/>
          <w:szCs w:val="20"/>
        </w:rPr>
        <w:t>nak: WAiB.6724.42.16.14.2023.DD</w:t>
      </w:r>
      <w:r w:rsidR="0065535A" w:rsidRPr="0065535A">
        <w:rPr>
          <w:rFonts w:ascii="Arial" w:hAnsi="Arial" w:cs="Arial"/>
          <w:sz w:val="20"/>
          <w:szCs w:val="20"/>
        </w:rPr>
        <w:t>.</w:t>
      </w:r>
      <w:r w:rsidR="009D55C8" w:rsidRPr="0065535A">
        <w:rPr>
          <w:rFonts w:ascii="Arial" w:hAnsi="Arial" w:cs="Arial"/>
          <w:sz w:val="20"/>
          <w:szCs w:val="20"/>
        </w:rPr>
        <w:t xml:space="preserve"> </w:t>
      </w:r>
    </w:p>
    <w:sectPr w:rsidR="009D55C8" w:rsidRPr="0065535A" w:rsidSect="0083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016A" w14:textId="77777777" w:rsidR="00FB1BE8" w:rsidRDefault="00FB1BE8" w:rsidP="006206AA">
      <w:r>
        <w:separator/>
      </w:r>
    </w:p>
  </w:endnote>
  <w:endnote w:type="continuationSeparator" w:id="0">
    <w:p w14:paraId="63CBF170" w14:textId="77777777" w:rsidR="00FB1BE8" w:rsidRDefault="00FB1BE8" w:rsidP="006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6423" w14:textId="77777777" w:rsidR="00FB1BE8" w:rsidRDefault="00FB1BE8" w:rsidP="006206AA">
      <w:r>
        <w:separator/>
      </w:r>
    </w:p>
  </w:footnote>
  <w:footnote w:type="continuationSeparator" w:id="0">
    <w:p w14:paraId="418CAF62" w14:textId="77777777" w:rsidR="00FB1BE8" w:rsidRDefault="00FB1BE8" w:rsidP="0062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sz w:val="21"/>
        <w:szCs w:val="21"/>
        <w:lang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FD4F51"/>
    <w:multiLevelType w:val="hybridMultilevel"/>
    <w:tmpl w:val="56C8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6F84"/>
    <w:multiLevelType w:val="hybridMultilevel"/>
    <w:tmpl w:val="6C0C7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73"/>
    <w:rsid w:val="00025395"/>
    <w:rsid w:val="00065754"/>
    <w:rsid w:val="000954BC"/>
    <w:rsid w:val="000959ED"/>
    <w:rsid w:val="000F4937"/>
    <w:rsid w:val="00124AD6"/>
    <w:rsid w:val="001253B9"/>
    <w:rsid w:val="00126B17"/>
    <w:rsid w:val="001A23AC"/>
    <w:rsid w:val="002C64D1"/>
    <w:rsid w:val="002D5C4A"/>
    <w:rsid w:val="00307D9C"/>
    <w:rsid w:val="00375D5C"/>
    <w:rsid w:val="003D1BB7"/>
    <w:rsid w:val="004214A7"/>
    <w:rsid w:val="00426689"/>
    <w:rsid w:val="00491F6B"/>
    <w:rsid w:val="00512333"/>
    <w:rsid w:val="00521677"/>
    <w:rsid w:val="006206AA"/>
    <w:rsid w:val="0065535A"/>
    <w:rsid w:val="006771B5"/>
    <w:rsid w:val="00694F00"/>
    <w:rsid w:val="007321E7"/>
    <w:rsid w:val="00742263"/>
    <w:rsid w:val="007526F7"/>
    <w:rsid w:val="007A2897"/>
    <w:rsid w:val="007C4AD1"/>
    <w:rsid w:val="007C4D93"/>
    <w:rsid w:val="00840668"/>
    <w:rsid w:val="00903DC0"/>
    <w:rsid w:val="009C5992"/>
    <w:rsid w:val="009D55C8"/>
    <w:rsid w:val="00A06B25"/>
    <w:rsid w:val="00A22123"/>
    <w:rsid w:val="00A428E7"/>
    <w:rsid w:val="00A548F2"/>
    <w:rsid w:val="00AB24B1"/>
    <w:rsid w:val="00B275A0"/>
    <w:rsid w:val="00B54745"/>
    <w:rsid w:val="00B750F8"/>
    <w:rsid w:val="00B96F10"/>
    <w:rsid w:val="00C019CC"/>
    <w:rsid w:val="00C26CEB"/>
    <w:rsid w:val="00C7597B"/>
    <w:rsid w:val="00CA29A4"/>
    <w:rsid w:val="00CA4F3E"/>
    <w:rsid w:val="00CB3473"/>
    <w:rsid w:val="00D07FD8"/>
    <w:rsid w:val="00D47FF1"/>
    <w:rsid w:val="00D847B9"/>
    <w:rsid w:val="00D92496"/>
    <w:rsid w:val="00E43CBF"/>
    <w:rsid w:val="00E45773"/>
    <w:rsid w:val="00E74994"/>
    <w:rsid w:val="00E85828"/>
    <w:rsid w:val="00E967F7"/>
    <w:rsid w:val="00F10934"/>
    <w:rsid w:val="00F91D7E"/>
    <w:rsid w:val="00FB1BE8"/>
    <w:rsid w:val="00FE4276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FA5"/>
  <w15:chartTrackingRefBased/>
  <w15:docId w15:val="{7A6249CD-734C-4AE0-81B7-18135C2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E45773"/>
    <w:pPr>
      <w:keepNext/>
      <w:widowControl/>
      <w:numPr>
        <w:ilvl w:val="1"/>
        <w:numId w:val="1"/>
      </w:numPr>
      <w:spacing w:line="380" w:lineRule="exact"/>
      <w:jc w:val="center"/>
      <w:outlineLvl w:val="1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7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E457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E85828"/>
    <w:pPr>
      <w:ind w:firstLine="567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828"/>
    <w:rPr>
      <w:rFonts w:ascii="Arial" w:eastAsia="SimSun" w:hAnsi="Arial" w:cs="Arial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847B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6A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6A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EAEA-1721-43F8-82BA-70E3B21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Wesołowska</dc:creator>
  <cp:keywords/>
  <dc:description/>
  <cp:lastModifiedBy>Sylwia Żebrowska</cp:lastModifiedBy>
  <cp:revision>26</cp:revision>
  <cp:lastPrinted>2023-02-10T12:42:00Z</cp:lastPrinted>
  <dcterms:created xsi:type="dcterms:W3CDTF">2022-11-10T10:25:00Z</dcterms:created>
  <dcterms:modified xsi:type="dcterms:W3CDTF">2023-02-10T13:57:00Z</dcterms:modified>
</cp:coreProperties>
</file>