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93F1" w14:textId="3A8B756E" w:rsidR="00490D91" w:rsidRDefault="00490D91" w:rsidP="00490D91">
      <w:pPr>
        <w:jc w:val="center"/>
      </w:pPr>
      <w:r>
        <w:rPr>
          <w:rFonts w:eastAsia="Times New Roman"/>
          <w:b/>
        </w:rPr>
        <w:t xml:space="preserve">ZARZĄDZENIE  </w:t>
      </w:r>
      <w:r>
        <w:rPr>
          <w:rFonts w:eastAsia="Times New Roman"/>
          <w:b/>
          <w:bCs/>
        </w:rPr>
        <w:t xml:space="preserve">NR </w:t>
      </w:r>
      <w:r w:rsidR="00A243CC">
        <w:rPr>
          <w:rFonts w:eastAsia="Times New Roman"/>
          <w:b/>
          <w:bCs/>
        </w:rPr>
        <w:t>407</w:t>
      </w:r>
    </w:p>
    <w:p w14:paraId="461C6B94" w14:textId="77777777" w:rsidR="00490D91" w:rsidRDefault="00490D91" w:rsidP="00490D9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PREZYDENTA MIASTA TORUNIA</w:t>
      </w:r>
    </w:p>
    <w:p w14:paraId="4B57DD3D" w14:textId="4F1999B7" w:rsidR="00490D91" w:rsidRDefault="00490D91" w:rsidP="00490D91">
      <w:pPr>
        <w:pStyle w:val="Tekstpodstawowy"/>
        <w:spacing w:after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z dnia </w:t>
      </w:r>
      <w:r w:rsidR="00A243CC">
        <w:rPr>
          <w:rFonts w:eastAsia="Times New Roman"/>
        </w:rPr>
        <w:t>30.12.2022 r.</w:t>
      </w:r>
    </w:p>
    <w:p w14:paraId="04CF4A26" w14:textId="77777777" w:rsidR="00490D91" w:rsidRDefault="00490D91" w:rsidP="00490D91">
      <w:pPr>
        <w:pStyle w:val="Tekstpodstawowy"/>
        <w:widowControl/>
        <w:spacing w:after="0"/>
        <w:jc w:val="both"/>
        <w:rPr>
          <w:rFonts w:eastAsia="Times New Roman"/>
          <w:b/>
        </w:rPr>
      </w:pPr>
    </w:p>
    <w:p w14:paraId="1F5C573E" w14:textId="77777777" w:rsidR="00EA3F6C" w:rsidRPr="00EA3F6C" w:rsidRDefault="00490D91" w:rsidP="00EA3F6C">
      <w:pPr>
        <w:pStyle w:val="Tekstpodstawowy"/>
        <w:jc w:val="both"/>
        <w:rPr>
          <w:b/>
        </w:rPr>
      </w:pPr>
      <w:r w:rsidRPr="00EA3F6C">
        <w:rPr>
          <w:rFonts w:eastAsia="Times New Roman"/>
          <w:b/>
        </w:rPr>
        <w:t>w sprawie ustalenia Regulaminu I</w:t>
      </w:r>
      <w:r w:rsidR="00A231B4">
        <w:rPr>
          <w:rFonts w:eastAsia="Times New Roman"/>
          <w:b/>
        </w:rPr>
        <w:t>I</w:t>
      </w:r>
      <w:r w:rsidRPr="00EA3F6C">
        <w:rPr>
          <w:rFonts w:eastAsia="Times New Roman"/>
          <w:b/>
        </w:rPr>
        <w:t xml:space="preserve"> ustn</w:t>
      </w:r>
      <w:r w:rsidR="002206E0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przetarg</w:t>
      </w:r>
      <w:r w:rsidR="00EA3F6C" w:rsidRPr="00EA3F6C">
        <w:rPr>
          <w:rFonts w:eastAsia="Times New Roman"/>
          <w:b/>
        </w:rPr>
        <w:t>u</w:t>
      </w:r>
      <w:r w:rsidRPr="00EA3F6C">
        <w:rPr>
          <w:rFonts w:eastAsia="Times New Roman"/>
          <w:b/>
        </w:rPr>
        <w:t xml:space="preserve"> nieograniczon</w:t>
      </w:r>
      <w:r w:rsidR="00EA3F6C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na sprzedaż nieruchomości niezabu</w:t>
      </w:r>
      <w:r w:rsidR="009464D3" w:rsidRPr="00EA3F6C">
        <w:rPr>
          <w:rFonts w:eastAsia="Times New Roman"/>
          <w:b/>
        </w:rPr>
        <w:t>dowan</w:t>
      </w:r>
      <w:r w:rsidR="00EA3F6C" w:rsidRPr="00EA3F6C">
        <w:rPr>
          <w:rFonts w:eastAsia="Times New Roman"/>
          <w:b/>
        </w:rPr>
        <w:t>ej</w:t>
      </w:r>
      <w:r w:rsidR="009464D3" w:rsidRPr="00EA3F6C">
        <w:rPr>
          <w:rFonts w:eastAsia="Times New Roman"/>
          <w:b/>
        </w:rPr>
        <w:t xml:space="preserve">, </w:t>
      </w:r>
      <w:r w:rsidR="00EA3F6C" w:rsidRPr="00EA3F6C">
        <w:rPr>
          <w:b/>
        </w:rPr>
        <w:t>stanowiącej własność Gminy Miasta Toruń położonej</w:t>
      </w:r>
      <w:r w:rsidR="00321504">
        <w:rPr>
          <w:b/>
        </w:rPr>
        <w:br/>
      </w:r>
      <w:r w:rsidR="00EA3F6C" w:rsidRPr="00EA3F6C">
        <w:rPr>
          <w:b/>
        </w:rPr>
        <w:t>w Toruniu przy ul. Szosa Bydgoska 28, oraz powołania Komisji do przeprowadzenia przetargu</w:t>
      </w:r>
      <w:r w:rsidR="00EA3F6C">
        <w:rPr>
          <w:b/>
        </w:rPr>
        <w:t>.</w:t>
      </w:r>
      <w:r w:rsidR="00EA3F6C" w:rsidRPr="00EA3F6C">
        <w:rPr>
          <w:b/>
        </w:rPr>
        <w:t xml:space="preserve"> </w:t>
      </w:r>
    </w:p>
    <w:p w14:paraId="348BAB48" w14:textId="77777777"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</w:rPr>
      </w:pPr>
    </w:p>
    <w:p w14:paraId="6D36C71D" w14:textId="77777777" w:rsidR="00EA3F6C" w:rsidRDefault="00490D91" w:rsidP="00EA3F6C">
      <w:pPr>
        <w:spacing w:after="57"/>
        <w:ind w:firstLine="708"/>
        <w:jc w:val="both"/>
      </w:pPr>
      <w:r>
        <w:t>Na podstawie art. 30 ust. 1 ustawy z dnia 8 marca 1990 r</w:t>
      </w:r>
      <w:r w:rsidR="0002251C">
        <w:t>.</w:t>
      </w:r>
      <w:r>
        <w:t xml:space="preserve"> o samorządzie gminnym  </w:t>
      </w:r>
      <w:r w:rsidR="009464D3">
        <w:t>(Dz. U. z 2022 r., poz. 559 ze zm.</w:t>
      </w:r>
      <w:r w:rsidR="009464D3">
        <w:rPr>
          <w:vertAlign w:val="superscript"/>
        </w:rPr>
        <w:t>1)</w:t>
      </w:r>
      <w:r>
        <w:t>)</w:t>
      </w:r>
      <w:r w:rsidR="00EA3F6C">
        <w:t xml:space="preserve"> oraz</w:t>
      </w:r>
      <w:r>
        <w:rPr>
          <w:rFonts w:eastAsia="HG Mincho Light J"/>
          <w:color w:val="000000"/>
        </w:rPr>
        <w:t xml:space="preserve"> uchwały nr </w:t>
      </w:r>
      <w:r w:rsidR="00EA3F6C">
        <w:rPr>
          <w:rFonts w:eastAsia="HG Mincho Light J"/>
          <w:color w:val="000000"/>
        </w:rPr>
        <w:t>900</w:t>
      </w:r>
      <w:r>
        <w:rPr>
          <w:rFonts w:eastAsia="HG Mincho Light J"/>
          <w:color w:val="000000"/>
        </w:rPr>
        <w:t>/</w:t>
      </w:r>
      <w:r w:rsidR="00EA3F6C">
        <w:rPr>
          <w:rFonts w:eastAsia="HG Mincho Light J"/>
          <w:color w:val="000000"/>
        </w:rPr>
        <w:t>22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 xml:space="preserve">Rady Miasta Torunia </w:t>
      </w:r>
      <w:r>
        <w:rPr>
          <w:rFonts w:eastAsia="HG Mincho Light J"/>
          <w:color w:val="000000"/>
        </w:rPr>
        <w:t>z</w:t>
      </w:r>
      <w:r w:rsidR="00EA3F6C">
        <w:rPr>
          <w:rFonts w:eastAsia="HG Mincho Light J"/>
          <w:color w:val="000000"/>
        </w:rPr>
        <w:t xml:space="preserve"> dnia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>21</w:t>
      </w:r>
      <w:r>
        <w:rPr>
          <w:rFonts w:eastAsia="HG Mincho Light J"/>
          <w:color w:val="000000"/>
        </w:rPr>
        <w:t xml:space="preserve"> lipca </w:t>
      </w:r>
      <w:r w:rsidR="00EA3F6C">
        <w:rPr>
          <w:rFonts w:eastAsia="HG Mincho Light J"/>
          <w:color w:val="000000"/>
        </w:rPr>
        <w:t>2022</w:t>
      </w:r>
      <w:r w:rsidR="0002251C">
        <w:rPr>
          <w:rFonts w:eastAsia="HG Mincho Light J"/>
          <w:color w:val="000000"/>
        </w:rPr>
        <w:t xml:space="preserve"> </w:t>
      </w:r>
      <w:r>
        <w:rPr>
          <w:rFonts w:eastAsia="HG Mincho Light J"/>
          <w:color w:val="000000"/>
        </w:rPr>
        <w:t xml:space="preserve">r. </w:t>
      </w:r>
      <w:r w:rsidR="00EA3F6C" w:rsidRPr="009D14FB">
        <w:rPr>
          <w:bCs/>
        </w:rPr>
        <w:t xml:space="preserve">w sprawie sprzedaży nieruchomości niezabudowanej, stanowiącej własność Gminy Miasta Toruń położonej </w:t>
      </w:r>
      <w:r w:rsidR="00EA3F6C">
        <w:rPr>
          <w:bCs/>
        </w:rPr>
        <w:t>przy  u</w:t>
      </w:r>
      <w:r w:rsidR="00EA3F6C" w:rsidRPr="009D14FB">
        <w:rPr>
          <w:bCs/>
        </w:rPr>
        <w:t>l. Szosa Bydgoska 28 w Toruniu</w:t>
      </w:r>
    </w:p>
    <w:p w14:paraId="69819B32" w14:textId="77777777"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  <w:b/>
          <w:sz w:val="22"/>
          <w:szCs w:val="22"/>
        </w:rPr>
      </w:pPr>
    </w:p>
    <w:p w14:paraId="2C2BAA27" w14:textId="77777777" w:rsidR="00490D91" w:rsidRDefault="00490D91" w:rsidP="002635CB">
      <w:pPr>
        <w:pStyle w:val="Tekstpodstawowy"/>
        <w:ind w:firstLine="708"/>
        <w:jc w:val="both"/>
      </w:pPr>
      <w:r w:rsidRPr="002635CB">
        <w:rPr>
          <w:rFonts w:eastAsia="Times New Roman"/>
          <w:b/>
        </w:rPr>
        <w:t>§1</w:t>
      </w:r>
      <w:r w:rsidRPr="00EA3F6C">
        <w:rPr>
          <w:rFonts w:eastAsia="Times New Roman"/>
        </w:rPr>
        <w:t xml:space="preserve">. Powołać Komisję do przeprowadzenia </w:t>
      </w:r>
      <w:r w:rsidR="00EA3F6C" w:rsidRPr="00EA3F6C">
        <w:rPr>
          <w:rFonts w:eastAsia="Times New Roman"/>
        </w:rPr>
        <w:t>I</w:t>
      </w:r>
      <w:r w:rsidR="00A231B4">
        <w:rPr>
          <w:rFonts w:eastAsia="Times New Roman"/>
        </w:rPr>
        <w:t>I</w:t>
      </w:r>
      <w:r w:rsidR="00EA3F6C" w:rsidRPr="00EA3F6C">
        <w:rPr>
          <w:rFonts w:eastAsia="Times New Roman"/>
        </w:rPr>
        <w:t xml:space="preserve"> ustnego przetargu nieograniczonego na sprzedaż nieruchomości niezabudowanej, </w:t>
      </w:r>
      <w:r w:rsidR="00EA3F6C" w:rsidRPr="00EA3F6C">
        <w:t>stanowiącej własność Gminy Miasta Toruń położonej w Toruniu przy ul. Szosa Bydgoska 28, oraz powołania Komisji do przeprowadzenia przetargu</w:t>
      </w:r>
      <w:r>
        <w:rPr>
          <w:rFonts w:eastAsia="Times New Roman"/>
          <w:lang w:bidi="pl-PL"/>
        </w:rPr>
        <w:t>,</w:t>
      </w:r>
      <w:r>
        <w:rPr>
          <w:rFonts w:eastAsia="Times New Roman"/>
        </w:rPr>
        <w:t xml:space="preserve"> w następującym składzie:</w:t>
      </w:r>
    </w:p>
    <w:p w14:paraId="222B5D9B" w14:textId="77777777" w:rsidR="00490D91" w:rsidRDefault="00490D91" w:rsidP="00490D91">
      <w:pPr>
        <w:pStyle w:val="Tekstpodstawowy21"/>
        <w:spacing w:line="276" w:lineRule="auto"/>
        <w:ind w:left="141"/>
        <w:rPr>
          <w:rFonts w:eastAsia="Times New Roman"/>
        </w:rPr>
      </w:pPr>
      <w:r>
        <w:rPr>
          <w:rFonts w:eastAsia="Times New Roman"/>
        </w:rPr>
        <w:t xml:space="preserve">    1)   Przewodniczący Komisji  - Iwona Więckowska;</w:t>
      </w:r>
    </w:p>
    <w:p w14:paraId="74B2C910" w14:textId="77777777"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Członek                              - Małgorzata Stępińska; </w:t>
      </w:r>
    </w:p>
    <w:p w14:paraId="09D86F24" w14:textId="77777777"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- Robert Dąbrowski;</w:t>
      </w:r>
    </w:p>
    <w:p w14:paraId="4F2C6329" w14:textId="77777777"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                              - Katarzyna Kierys.</w:t>
      </w:r>
    </w:p>
    <w:p w14:paraId="74E506BD" w14:textId="77777777" w:rsidR="00490D91" w:rsidRDefault="00490D91" w:rsidP="00490D91">
      <w:pPr>
        <w:spacing w:line="276" w:lineRule="auto"/>
        <w:ind w:firstLine="340"/>
        <w:jc w:val="both"/>
        <w:rPr>
          <w:rFonts w:eastAsia="Times New Roman"/>
          <w:b/>
        </w:rPr>
      </w:pPr>
    </w:p>
    <w:p w14:paraId="1140819D" w14:textId="77777777"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§2. </w:t>
      </w:r>
      <w:r>
        <w:rPr>
          <w:rFonts w:eastAsia="Times New Roman"/>
        </w:rPr>
        <w:t>Komisja przeprowadzi przetarg zgodnie z Regulaminem, stanowiącym załącznik do niniejszego Zarządzenia.</w:t>
      </w:r>
    </w:p>
    <w:p w14:paraId="72B92EBC" w14:textId="77777777" w:rsidR="00490D91" w:rsidRDefault="00490D91" w:rsidP="00490D91">
      <w:pPr>
        <w:spacing w:line="276" w:lineRule="auto"/>
        <w:jc w:val="both"/>
        <w:rPr>
          <w:rFonts w:eastAsia="Times New Roman"/>
        </w:rPr>
      </w:pPr>
    </w:p>
    <w:p w14:paraId="4542E62C" w14:textId="77777777"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  <w:bCs/>
        </w:rPr>
        <w:t>§3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Przetarg odbęd</w:t>
      </w:r>
      <w:r w:rsidR="00D05475">
        <w:rPr>
          <w:rFonts w:eastAsia="Times New Roman"/>
        </w:rPr>
        <w:t>zie</w:t>
      </w:r>
      <w:r>
        <w:rPr>
          <w:rFonts w:eastAsia="Times New Roman"/>
        </w:rPr>
        <w:t xml:space="preserve"> się w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Wydzia</w:t>
      </w:r>
      <w:r w:rsidR="0002251C">
        <w:rPr>
          <w:rFonts w:eastAsia="Times New Roman"/>
        </w:rPr>
        <w:t>le</w:t>
      </w:r>
      <w:r>
        <w:rPr>
          <w:rFonts w:eastAsia="Times New Roman"/>
        </w:rPr>
        <w:t xml:space="preserve"> Gospodarki Nieruchomościami Urzędu Miasta Torunia, przy ul. Grudziądzkiej 126 b, w sali konferencyjnej na I piętrze (s. 115).</w:t>
      </w:r>
    </w:p>
    <w:p w14:paraId="3284F3D6" w14:textId="77777777"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14:paraId="318B2804" w14:textId="77777777"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§4. </w:t>
      </w:r>
      <w:r>
        <w:rPr>
          <w:rFonts w:eastAsia="Times New Roman"/>
        </w:rPr>
        <w:t>Wykonanie Zarządzenia powierza się Dyrektorowi Wydziału Gospodarki Nieruchomościami.</w:t>
      </w:r>
    </w:p>
    <w:p w14:paraId="428B0209" w14:textId="77777777"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14:paraId="69D9F247" w14:textId="77777777"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§5. </w:t>
      </w:r>
      <w:r>
        <w:rPr>
          <w:rFonts w:eastAsia="Times New Roman"/>
        </w:rPr>
        <w:t>Zarządzenie wchodzi w życie z dniem podjęcia.</w:t>
      </w:r>
    </w:p>
    <w:p w14:paraId="693073EB" w14:textId="77777777" w:rsidR="00490D91" w:rsidRDefault="00490D91" w:rsidP="00490D91">
      <w:pPr>
        <w:spacing w:line="276" w:lineRule="auto"/>
        <w:rPr>
          <w:rFonts w:eastAsia="Times New Roman"/>
        </w:rPr>
      </w:pPr>
    </w:p>
    <w:p w14:paraId="02DBEE51" w14:textId="77777777" w:rsidR="00490D91" w:rsidRDefault="00490D91" w:rsidP="00490D91">
      <w:pPr>
        <w:spacing w:line="276" w:lineRule="auto"/>
        <w:rPr>
          <w:rFonts w:eastAsia="Times New Roman"/>
        </w:rPr>
      </w:pPr>
    </w:p>
    <w:p w14:paraId="4A525B23" w14:textId="77777777" w:rsidR="0079455F" w:rsidRDefault="0079455F" w:rsidP="00490D91">
      <w:pPr>
        <w:spacing w:line="276" w:lineRule="auto"/>
        <w:rPr>
          <w:rFonts w:eastAsia="Times New Roman"/>
        </w:rPr>
      </w:pPr>
    </w:p>
    <w:p w14:paraId="547F3305" w14:textId="77777777" w:rsidR="0016684A" w:rsidRDefault="0016684A" w:rsidP="00490D91">
      <w:pPr>
        <w:spacing w:line="276" w:lineRule="auto"/>
        <w:rPr>
          <w:rFonts w:eastAsia="Times New Roman"/>
        </w:rPr>
      </w:pPr>
    </w:p>
    <w:p w14:paraId="2ED5277A" w14:textId="77777777" w:rsidR="0016684A" w:rsidRDefault="0016684A" w:rsidP="00490D91">
      <w:pPr>
        <w:spacing w:line="276" w:lineRule="auto"/>
        <w:rPr>
          <w:rFonts w:eastAsia="Times New Roman"/>
        </w:rPr>
      </w:pPr>
    </w:p>
    <w:p w14:paraId="425832EF" w14:textId="77777777" w:rsidR="0016684A" w:rsidRDefault="0016684A" w:rsidP="00490D91">
      <w:pPr>
        <w:spacing w:line="276" w:lineRule="auto"/>
        <w:rPr>
          <w:rFonts w:eastAsia="Times New Roman"/>
        </w:rPr>
      </w:pPr>
    </w:p>
    <w:p w14:paraId="4CA6DCD4" w14:textId="77777777" w:rsidR="0079455F" w:rsidRDefault="0079455F" w:rsidP="00490D91">
      <w:pPr>
        <w:spacing w:line="276" w:lineRule="auto"/>
        <w:rPr>
          <w:rFonts w:eastAsia="Times New Roman"/>
        </w:rPr>
      </w:pPr>
    </w:p>
    <w:p w14:paraId="3872A155" w14:textId="77777777" w:rsidR="00490D91" w:rsidRDefault="00490D91" w:rsidP="00490D91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14:paraId="20A41E6F" w14:textId="77777777" w:rsidR="0079455F" w:rsidRDefault="0079455F" w:rsidP="0079455F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14:paraId="53305905" w14:textId="77777777" w:rsidR="009464D3" w:rsidRDefault="009464D3" w:rsidP="009464D3">
      <w:pPr>
        <w:pStyle w:val="Akapitzlist"/>
        <w:numPr>
          <w:ilvl w:val="0"/>
          <w:numId w:val="5"/>
        </w:numPr>
        <w:autoSpaceDN w:val="0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</w:t>
      </w:r>
      <w:r w:rsidR="002635CB">
        <w:t>. 583, poz. 1005</w:t>
      </w:r>
      <w:r w:rsidR="00D05475">
        <w:t>,</w:t>
      </w:r>
      <w:r w:rsidR="002635CB">
        <w:t xml:space="preserve">  poz. 1079</w:t>
      </w:r>
      <w:r w:rsidR="00D05475">
        <w:t xml:space="preserve"> oraz poz. 1561</w:t>
      </w:r>
      <w:r w:rsidR="002635CB">
        <w:t>.</w:t>
      </w:r>
      <w:r>
        <w:t xml:space="preserve">                                                                                   </w:t>
      </w:r>
    </w:p>
    <w:p w14:paraId="00D406B6" w14:textId="77777777" w:rsidR="0016684A" w:rsidRDefault="0016684A" w:rsidP="009464D3">
      <w:pPr>
        <w:pStyle w:val="Akapitzlist1"/>
        <w:ind w:left="5245"/>
        <w:jc w:val="both"/>
      </w:pPr>
    </w:p>
    <w:p w14:paraId="61122B30" w14:textId="77777777" w:rsidR="0016684A" w:rsidRDefault="0016684A" w:rsidP="009464D3">
      <w:pPr>
        <w:pStyle w:val="Akapitzlist1"/>
        <w:ind w:left="5245"/>
        <w:jc w:val="both"/>
      </w:pPr>
    </w:p>
    <w:p w14:paraId="110FBDB0" w14:textId="2F829D1B" w:rsidR="00490D91" w:rsidRPr="00F774DC" w:rsidRDefault="00D05475" w:rsidP="00321504">
      <w:pPr>
        <w:pStyle w:val="Akapitzlist1"/>
        <w:ind w:left="4956" w:firstLine="289"/>
        <w:jc w:val="both"/>
        <w:rPr>
          <w:sz w:val="24"/>
          <w:szCs w:val="24"/>
        </w:rPr>
      </w:pPr>
      <w:r>
        <w:lastRenderedPageBreak/>
        <w:t xml:space="preserve">                            </w:t>
      </w:r>
      <w:r w:rsidR="0079455F" w:rsidRPr="00AF669E">
        <w:t xml:space="preserve">                     </w:t>
      </w:r>
      <w:r w:rsidR="00F774DC">
        <w:t xml:space="preserve">                             </w:t>
      </w:r>
      <w:r w:rsidR="004B7975">
        <w:t xml:space="preserve">                                                                                                       </w:t>
      </w:r>
      <w:r w:rsidR="00F774DC">
        <w:t xml:space="preserve">  </w:t>
      </w:r>
      <w:r w:rsidR="004B7975">
        <w:t xml:space="preserve">                               </w:t>
      </w:r>
      <w:r w:rsidR="00321504">
        <w:t xml:space="preserve">                    </w:t>
      </w:r>
      <w:r w:rsidR="00490D91" w:rsidRPr="00F774DC">
        <w:rPr>
          <w:sz w:val="24"/>
          <w:szCs w:val="24"/>
        </w:rPr>
        <w:t xml:space="preserve">Załącznik do Zarządzenia Nr  </w:t>
      </w:r>
      <w:r w:rsidR="00A243CC">
        <w:rPr>
          <w:sz w:val="24"/>
          <w:szCs w:val="24"/>
        </w:rPr>
        <w:t>407</w:t>
      </w:r>
    </w:p>
    <w:p w14:paraId="23ECC16F" w14:textId="77777777" w:rsidR="00490D91" w:rsidRDefault="00490D91" w:rsidP="00490D91">
      <w:pPr>
        <w:pStyle w:val="Nagwek11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Prezydenta Miasta Torunia</w:t>
      </w:r>
    </w:p>
    <w:p w14:paraId="4CC59784" w14:textId="6EDB5A5D" w:rsidR="00490D91" w:rsidRDefault="00490D91" w:rsidP="00490D91">
      <w:pPr>
        <w:pStyle w:val="Tekstpodstawowy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774D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z dnia </w:t>
      </w:r>
      <w:r w:rsidR="00A243CC">
        <w:rPr>
          <w:rFonts w:eastAsia="Times New Roman"/>
        </w:rPr>
        <w:t>30.12.2022 r.</w:t>
      </w:r>
    </w:p>
    <w:p w14:paraId="535274C6" w14:textId="77777777" w:rsidR="00490D91" w:rsidRDefault="00490D91" w:rsidP="00490D91">
      <w:pPr>
        <w:pStyle w:val="Tekstpodstawowy2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REGULAMIN  </w:t>
      </w:r>
      <w:r w:rsidR="00D05475">
        <w:rPr>
          <w:rFonts w:eastAsia="Times New Roman"/>
          <w:b/>
        </w:rPr>
        <w:t>I</w:t>
      </w:r>
      <w:r>
        <w:rPr>
          <w:rFonts w:eastAsia="Times New Roman"/>
          <w:b/>
        </w:rPr>
        <w:t>I  PRZETARG</w:t>
      </w:r>
      <w:r w:rsidR="00606BD4">
        <w:rPr>
          <w:rFonts w:eastAsia="Times New Roman"/>
          <w:b/>
        </w:rPr>
        <w:t>U</w:t>
      </w:r>
    </w:p>
    <w:p w14:paraId="1D56B742" w14:textId="77777777" w:rsidR="00490D91" w:rsidRDefault="00490D91" w:rsidP="00490D91">
      <w:pPr>
        <w:ind w:firstLine="567"/>
        <w:jc w:val="both"/>
      </w:pPr>
      <w:r>
        <w:rPr>
          <w:rFonts w:eastAsia="Times New Roman"/>
        </w:rPr>
        <w:t>§1.1. Przetarg organizuje i przeprowadza Prezydent Miasta Torunia na zasadach ogólnych określonych w ustawie z dnia 21 sierpnia 1997r. o gospodarce nieruchomościami oraz w rozporządzeniu Rady Ministrów z dnia 14 września 2004 r. w sprawie sposobu i trybu przeprowadzania przetargów oraz rokowań na zbycie nieruchomości oraz na podstawie u</w:t>
      </w:r>
      <w:r>
        <w:rPr>
          <w:rFonts w:eastAsia="HG Mincho Light J"/>
          <w:color w:val="000000"/>
        </w:rPr>
        <w:t xml:space="preserve">chwały nr </w:t>
      </w:r>
      <w:r w:rsidR="00606BD4">
        <w:rPr>
          <w:rFonts w:eastAsia="HG Mincho Light J"/>
          <w:color w:val="000000"/>
        </w:rPr>
        <w:t xml:space="preserve">900/22 Rady Miasta Torunia z dnia 21 lipca 2022 r. </w:t>
      </w:r>
      <w:r w:rsidR="00606BD4" w:rsidRPr="009D14FB">
        <w:rPr>
          <w:bCs/>
        </w:rPr>
        <w:t xml:space="preserve">w sprawie sprzedaży nieruchomości niezabudowanej, stanowiącej własność Gminy Miasta Toruń położonej </w:t>
      </w:r>
      <w:r w:rsidR="00606BD4">
        <w:rPr>
          <w:bCs/>
        </w:rPr>
        <w:t>przy</w:t>
      </w:r>
      <w:r w:rsidR="00606BD4">
        <w:rPr>
          <w:bCs/>
        </w:rPr>
        <w:br/>
        <w:t>u</w:t>
      </w:r>
      <w:r w:rsidR="00606BD4" w:rsidRPr="009D14FB">
        <w:rPr>
          <w:bCs/>
        </w:rPr>
        <w:t>l. Szosa Bydgoska 28 w Toruniu</w:t>
      </w:r>
      <w:r>
        <w:rPr>
          <w:rFonts w:eastAsia="HG Mincho Light J"/>
          <w:color w:val="000000"/>
        </w:rPr>
        <w:t xml:space="preserve"> </w:t>
      </w:r>
      <w:r>
        <w:rPr>
          <w:rFonts w:eastAsia="Times New Roman"/>
        </w:rPr>
        <w:t>oraz niniejszego regulaminu.</w:t>
      </w:r>
    </w:p>
    <w:p w14:paraId="22C124F6" w14:textId="77777777"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14:paraId="66B3BDDE" w14:textId="77777777"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§2.1. Komisja przeprowadzi przetarg w dniu</w:t>
      </w:r>
      <w:r>
        <w:rPr>
          <w:rFonts w:eastAsia="Times New Roman"/>
          <w:b/>
          <w:bCs/>
        </w:rPr>
        <w:t xml:space="preserve"> </w:t>
      </w:r>
      <w:r w:rsidR="00D05475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 xml:space="preserve"> </w:t>
      </w:r>
      <w:r w:rsidR="00D05475">
        <w:rPr>
          <w:rFonts w:eastAsia="Times New Roman"/>
          <w:b/>
          <w:bCs/>
        </w:rPr>
        <w:t>marca</w:t>
      </w:r>
      <w:r>
        <w:rPr>
          <w:rFonts w:eastAsia="Times New Roman"/>
          <w:b/>
          <w:bCs/>
        </w:rPr>
        <w:t xml:space="preserve"> 202</w:t>
      </w:r>
      <w:r w:rsidR="00D0547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r.,</w:t>
      </w:r>
      <w:r>
        <w:rPr>
          <w:rFonts w:eastAsia="Times New Roman"/>
        </w:rPr>
        <w:t xml:space="preserve">  o godz.</w:t>
      </w:r>
      <w:r>
        <w:rPr>
          <w:rFonts w:eastAsia="Times New Roman"/>
          <w:b/>
        </w:rPr>
        <w:t xml:space="preserve"> 10</w:t>
      </w:r>
      <w:r>
        <w:rPr>
          <w:rFonts w:eastAsia="Times New Roman"/>
          <w:b/>
          <w:bCs/>
          <w:vertAlign w:val="superscript"/>
        </w:rPr>
        <w:t>00</w:t>
      </w:r>
      <w:r w:rsidR="00606BD4">
        <w:rPr>
          <w:rFonts w:eastAsia="Times New Roman"/>
        </w:rPr>
        <w:t>.</w:t>
      </w:r>
    </w:p>
    <w:p w14:paraId="1887D8F3" w14:textId="77777777" w:rsidR="00490D91" w:rsidRPr="001E5A87" w:rsidRDefault="00A2440B" w:rsidP="001E5A87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90D91">
        <w:rPr>
          <w:rFonts w:eastAsia="Times New Roman"/>
        </w:rPr>
        <w:t>2. Przedmiotem przetarg</w:t>
      </w:r>
      <w:r w:rsidR="00606BD4">
        <w:rPr>
          <w:rFonts w:eastAsia="Times New Roman"/>
        </w:rPr>
        <w:t xml:space="preserve">u jest </w:t>
      </w:r>
      <w:r w:rsidR="00490D91">
        <w:rPr>
          <w:rFonts w:eastAsia="Times New Roman"/>
        </w:rPr>
        <w:t>nieruchomoś</w:t>
      </w:r>
      <w:r w:rsidR="00606BD4">
        <w:rPr>
          <w:rFonts w:eastAsia="Times New Roman"/>
        </w:rPr>
        <w:t>ć gruntowa niezabudowana</w:t>
      </w:r>
      <w:r w:rsidR="0016151D">
        <w:rPr>
          <w:rFonts w:eastAsia="Times New Roman"/>
        </w:rPr>
        <w:t>,</w:t>
      </w:r>
      <w:r w:rsidR="00606BD4">
        <w:rPr>
          <w:rFonts w:eastAsia="Times New Roman"/>
        </w:rPr>
        <w:t xml:space="preserve"> </w:t>
      </w:r>
      <w:r w:rsidR="004E0877">
        <w:rPr>
          <w:rFonts w:eastAsia="Times New Roman"/>
        </w:rPr>
        <w:t>opisana</w:t>
      </w:r>
      <w:r w:rsidR="00A14B7B">
        <w:rPr>
          <w:rFonts w:eastAsia="Times New Roman"/>
        </w:rPr>
        <w:br/>
      </w:r>
      <w:r w:rsidR="004E0877">
        <w:rPr>
          <w:rFonts w:eastAsia="Times New Roman"/>
        </w:rPr>
        <w:t>w tabeli:</w:t>
      </w:r>
    </w:p>
    <w:tbl>
      <w:tblPr>
        <w:tblpPr w:leftFromText="141" w:rightFromText="141" w:vertAnchor="text" w:horzAnchor="margin" w:tblpXSpec="center" w:tblpY="74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981"/>
        <w:gridCol w:w="3108"/>
      </w:tblGrid>
      <w:tr w:rsidR="00AD0A84" w14:paraId="5BB3D0F2" w14:textId="77777777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A99F3" w14:textId="77777777"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14:paraId="7C10D78A" w14:textId="77777777" w:rsidR="00AD0A84" w:rsidRDefault="00AD0A84" w:rsidP="001E5A87">
            <w:pPr>
              <w:pStyle w:val="WW-Zawartotabeli11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9C84A" w14:textId="77777777"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7BCD" w14:textId="77777777"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34CD" w14:textId="77777777"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56156" w14:textId="77777777" w:rsidR="00AD0A84" w:rsidRDefault="00AD0A84" w:rsidP="001E5A87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D0A84" w14:paraId="7098A514" w14:textId="77777777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3C74E" w14:textId="77777777" w:rsidR="00AD0A84" w:rsidRDefault="00AD0A84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06BD4">
              <w:rPr>
                <w:sz w:val="22"/>
                <w:szCs w:val="22"/>
                <w:lang w:eastAsia="en-US"/>
              </w:rPr>
              <w:t>Szosa Bydgoska 28</w:t>
            </w:r>
          </w:p>
          <w:p w14:paraId="3AE1CAB0" w14:textId="77777777" w:rsidR="008A1D49" w:rsidRDefault="008A1D49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98321" w14:textId="77777777" w:rsidR="00606BD4" w:rsidRDefault="00606BD4" w:rsidP="001E5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  <w:p w14:paraId="6A983D83" w14:textId="77777777"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</w:t>
            </w:r>
            <w:r w:rsidR="00606BD4" w:rsidRPr="00606BD4">
              <w:rPr>
                <w:sz w:val="18"/>
                <w:szCs w:val="18"/>
                <w:lang w:eastAsia="en-US"/>
              </w:rPr>
              <w:t xml:space="preserve"> – zurbanizowane tereny niezabudowane lub w trakcie zabudowy)</w:t>
            </w:r>
            <w:r w:rsidR="00606BD4">
              <w:rPr>
                <w:sz w:val="22"/>
                <w:szCs w:val="22"/>
                <w:lang w:eastAsia="en-US"/>
              </w:rPr>
              <w:t xml:space="preserve"> </w:t>
            </w:r>
          </w:p>
          <w:p w14:paraId="6D7CB117" w14:textId="77777777"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14:paraId="63A2C2C7" w14:textId="77777777" w:rsidR="00A2440B" w:rsidRDefault="00A2440B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 – zurbanizowane tereny niezabudowane lub w trakcie zabudowy)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6173D35" w14:textId="77777777"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1030" w14:textId="77777777" w:rsidR="00AD0A84" w:rsidRDefault="00AD0A84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2440B">
              <w:rPr>
                <w:sz w:val="22"/>
                <w:szCs w:val="22"/>
                <w:lang w:eastAsia="en-US"/>
              </w:rPr>
              <w:t>0026</w:t>
            </w:r>
          </w:p>
          <w:p w14:paraId="6F3DFE0A" w14:textId="77777777"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14:paraId="3847C889" w14:textId="77777777"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14:paraId="34E4EFD6" w14:textId="77777777"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14:paraId="4DD1A3D5" w14:textId="77777777"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0,0746</w:t>
            </w:r>
          </w:p>
          <w:p w14:paraId="7E86F9F7" w14:textId="77777777"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14:paraId="1B3085E6" w14:textId="77777777"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14:paraId="2F8D8420" w14:textId="77777777"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0,0772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29C" w14:textId="77777777"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</w:t>
            </w:r>
            <w:r w:rsidR="00A2440B">
              <w:rPr>
                <w:sz w:val="22"/>
                <w:szCs w:val="22"/>
                <w:lang w:eastAsia="en-US"/>
              </w:rPr>
              <w:t>00012742/0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98358" w14:textId="77777777" w:rsidR="00A2440B" w:rsidRPr="002E0964" w:rsidRDefault="00A2440B" w:rsidP="00A2440B">
            <w:pPr>
              <w:pStyle w:val="Tekstpodstawowy"/>
              <w:spacing w:before="120"/>
              <w:rPr>
                <w:i/>
                <w:sz w:val="22"/>
                <w:szCs w:val="22"/>
              </w:rPr>
            </w:pPr>
            <w:r w:rsidRPr="002E0964">
              <w:rPr>
                <w:sz w:val="22"/>
                <w:szCs w:val="22"/>
              </w:rPr>
              <w:t xml:space="preserve">przeznaczenie podstawowe: </w:t>
            </w:r>
            <w:r w:rsidRPr="002E0964">
              <w:rPr>
                <w:i/>
                <w:sz w:val="22"/>
                <w:szCs w:val="22"/>
              </w:rPr>
              <w:t>zabudowa mieszkaniowa wielorodzinna,</w:t>
            </w:r>
            <w:r w:rsidRPr="002E0964">
              <w:rPr>
                <w:sz w:val="22"/>
                <w:szCs w:val="22"/>
              </w:rPr>
              <w:t xml:space="preserve"> oraz przeznaczenie dopuszczalne: </w:t>
            </w:r>
            <w:r w:rsidRPr="002E0964">
              <w:rPr>
                <w:i/>
                <w:sz w:val="22"/>
                <w:szCs w:val="22"/>
              </w:rPr>
              <w:t>infrastruktura techniczna.</w:t>
            </w:r>
          </w:p>
          <w:p w14:paraId="4BA0BDA8" w14:textId="77777777" w:rsidR="00947329" w:rsidRDefault="00947329" w:rsidP="001E5A8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B01E24F" w14:textId="77777777" w:rsidR="004E0877" w:rsidRPr="005D1D19" w:rsidRDefault="00490D91" w:rsidP="004E0877">
      <w:pPr>
        <w:pStyle w:val="Tekstpodstawowy"/>
        <w:spacing w:before="120"/>
        <w:ind w:firstLine="567"/>
        <w:jc w:val="both"/>
      </w:pPr>
      <w:r>
        <w:rPr>
          <w:rFonts w:eastAsia="Times New Roman"/>
        </w:rPr>
        <w:tab/>
      </w:r>
      <w:r w:rsidR="004E0877">
        <w:rPr>
          <w:rFonts w:eastAsia="Times New Roman"/>
        </w:rPr>
        <w:t xml:space="preserve">3. </w:t>
      </w:r>
      <w:r w:rsidR="004E0877" w:rsidRPr="005D1D19">
        <w:t xml:space="preserve">W sąsiedztwie działek </w:t>
      </w:r>
      <w:r w:rsidR="004E0877">
        <w:t>będących przedmiotem sprzedaży</w:t>
      </w:r>
      <w:r w:rsidR="004E0877" w:rsidRPr="005D1D19">
        <w:t xml:space="preserve"> od strony północnej</w:t>
      </w:r>
      <w:r w:rsidR="004E0877">
        <w:br/>
      </w:r>
      <w:r w:rsidR="004E0877" w:rsidRPr="005D1D19">
        <w:t>i wschodniej  znajduje się zaplecze dużej galerii handlowej (Pasaż Zielen</w:t>
      </w:r>
      <w:r w:rsidR="004E0877">
        <w:t xml:space="preserve">iec), są to tereny przeznaczone </w:t>
      </w:r>
      <w:r w:rsidR="004E0877" w:rsidRPr="005D1D19">
        <w:t>w planie  miejscowym pod obiekty handlowe o powierzchni sprzedaży powyżej 2000 m</w:t>
      </w:r>
      <w:r w:rsidR="004E0877" w:rsidRPr="005D1D19">
        <w:rPr>
          <w:vertAlign w:val="superscript"/>
        </w:rPr>
        <w:t>2</w:t>
      </w:r>
      <w:r w:rsidR="004E0877" w:rsidRPr="005D1D19">
        <w:t xml:space="preserve"> (139.05-UC/U1), zaś od strony zachodniej działki sąsiadują z terenem położonym</w:t>
      </w:r>
      <w:r w:rsidR="00A87C02">
        <w:br/>
      </w:r>
      <w:r w:rsidR="004E0877" w:rsidRPr="005D1D19">
        <w:t>w granicach obszaru wpisanego do rejestru zabytków decyzją Kujawsko-Pomorskiego Wojewódzkiego Konserwatora Zabytków z dnia 25 lipca 2011r. pod nr A/1596 i jako historyczny układ urbanistyczny Bydgoskiego Przedmieścia pozostają przedmiotem ochrony (teren zabudowany</w:t>
      </w:r>
      <w:r w:rsidR="00A14B7B">
        <w:t xml:space="preserve"> jest</w:t>
      </w:r>
      <w:r w:rsidR="004E0877" w:rsidRPr="005D1D19">
        <w:t xml:space="preserve"> starym budynkiem mieszkalnym – 6 lokali mieszkalnych, stanowiącym własność Gminy Miasta Toruń). Od strony wschodniej  w odległości ok. 150 m znajdują się stare budynki z muru pruskiego (d. koszary ułanów) i osiedle mieszkaniowe Zieleniec – budynki z lat 90-tych XX w. oraz wybudowane później. Po drugiej stronie ulicy Szosa Bydgoska  zlokalizowane są tereny zieleni miejskiej oraz grunty przewidziane w planie miejscowym pod zabudowę wielorodzinną. </w:t>
      </w:r>
    </w:p>
    <w:p w14:paraId="0253B5DD" w14:textId="77777777" w:rsidR="004E0877" w:rsidRPr="005D1D19" w:rsidRDefault="003857D0" w:rsidP="004E0877">
      <w:pPr>
        <w:pStyle w:val="Tekstpodstawowy"/>
        <w:spacing w:before="120"/>
        <w:jc w:val="both"/>
      </w:pPr>
      <w:r>
        <w:rPr>
          <w:rFonts w:eastAsia="Times New Roman"/>
        </w:rPr>
        <w:tab/>
      </w:r>
      <w:r w:rsidR="00490D91">
        <w:rPr>
          <w:rFonts w:eastAsia="Times New Roman"/>
        </w:rPr>
        <w:t xml:space="preserve">§3.1 </w:t>
      </w:r>
      <w:r w:rsidR="004E0877">
        <w:rPr>
          <w:rFonts w:eastAsia="Times New Roman"/>
        </w:rPr>
        <w:t>N</w:t>
      </w:r>
      <w:r w:rsidR="004E0877" w:rsidRPr="005D1D19">
        <w:t>ieruchomość położona jest na terenie objętym miejscowym planem zagospodarowania przestrzennego „Park Handlowy Zieleniec” dla obszaru położonego  pomiędzy ulicą Broniewskiego i ulicą Szosa Bydgoska w Toruniu przyjętym uchwałą</w:t>
      </w:r>
      <w:r w:rsidR="004E0877" w:rsidRPr="005D1D19">
        <w:br/>
        <w:t xml:space="preserve">Nr 359/20 Rady Miasta Torunia  z dnia 23 kwietnia 2020r.  </w:t>
      </w:r>
    </w:p>
    <w:p w14:paraId="6074857F" w14:textId="77777777" w:rsidR="004E0877" w:rsidRPr="005D1D19" w:rsidRDefault="004E0877" w:rsidP="00A87C02">
      <w:pPr>
        <w:pStyle w:val="Tekstpodstawowy"/>
        <w:spacing w:after="0"/>
        <w:jc w:val="both"/>
        <w:rPr>
          <w:i/>
        </w:rPr>
      </w:pPr>
      <w:r w:rsidRPr="005D1D19">
        <w:t xml:space="preserve">Zgodnie z zapisami przytoczonego planu działki znajdują się w granicach  jednostki planistycznej oznaczonej symbolem 139.05-MW3, dla której ustalono przeznaczenie </w:t>
      </w:r>
      <w:r w:rsidRPr="005D1D19">
        <w:lastRenderedPageBreak/>
        <w:t xml:space="preserve">podstawowe: </w:t>
      </w:r>
      <w:r w:rsidRPr="005D1D19">
        <w:rPr>
          <w:i/>
        </w:rPr>
        <w:t>zabudowa mieszkaniowa wielorodzinna,</w:t>
      </w:r>
      <w:r w:rsidRPr="005D1D19">
        <w:t xml:space="preserve"> oraz przeznaczenie dopuszczalne: </w:t>
      </w:r>
      <w:r w:rsidRPr="005D1D19">
        <w:rPr>
          <w:i/>
        </w:rPr>
        <w:t>infrastruktura techniczna.</w:t>
      </w:r>
    </w:p>
    <w:p w14:paraId="71324B67" w14:textId="77777777" w:rsidR="004E0877" w:rsidRPr="005D1D19" w:rsidRDefault="004E0877" w:rsidP="00A87C02">
      <w:pPr>
        <w:pStyle w:val="Tekstpodstawowy"/>
        <w:spacing w:after="0"/>
        <w:jc w:val="both"/>
      </w:pPr>
      <w:r w:rsidRPr="005D1D19">
        <w:t>Najistotniejszymi postanowieniami planu dotyczącymi budowy obiektu wielorodzinnego na przedmiotowym terenie są następujące parametry i wskaźniki:</w:t>
      </w:r>
    </w:p>
    <w:p w14:paraId="31839F56" w14:textId="77777777"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maksymalna wysokość zabudowy – 17 m,</w:t>
      </w:r>
    </w:p>
    <w:p w14:paraId="218475E5" w14:textId="77777777"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geometria dachów  - dachy o nachyleniu połaci dachowych od 35</w:t>
      </w:r>
      <w:r w:rsidRPr="005D1D19">
        <w:rPr>
          <w:vertAlign w:val="superscript"/>
        </w:rPr>
        <w:t>o</w:t>
      </w:r>
      <w:r w:rsidRPr="005D1D19">
        <w:t xml:space="preserve"> do 45</w:t>
      </w:r>
      <w:r w:rsidRPr="005D1D19">
        <w:rPr>
          <w:vertAlign w:val="superscript"/>
        </w:rPr>
        <w:t>o</w:t>
      </w:r>
      <w:r w:rsidRPr="005D1D19">
        <w:t>,</w:t>
      </w:r>
    </w:p>
    <w:p w14:paraId="71AB88E3" w14:textId="77777777"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 xml:space="preserve">nakaz zachowania minimum 25% powierzchni terenu biologicznie czynnego, </w:t>
      </w:r>
    </w:p>
    <w:p w14:paraId="5CAF5D3B" w14:textId="77777777" w:rsidR="004E0877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minimalny wskaźnik miejsc do parkowania – 1 stanowisko na 1 mieszkanie.</w:t>
      </w:r>
    </w:p>
    <w:p w14:paraId="4E988882" w14:textId="77777777" w:rsidR="00A87C02" w:rsidRDefault="004E0877" w:rsidP="00A87C02">
      <w:pPr>
        <w:pStyle w:val="Tekstpodstawowy"/>
        <w:spacing w:after="0"/>
        <w:ind w:firstLine="709"/>
        <w:jc w:val="both"/>
      </w:pPr>
      <w:r>
        <w:t xml:space="preserve">2.  </w:t>
      </w:r>
      <w:r w:rsidRPr="005D1D19">
        <w:t xml:space="preserve">Zgodnie z opinią Miejskiego Konserwatora Zabytków </w:t>
      </w:r>
      <w:r>
        <w:t>wyrażoną w piśmie z dnia</w:t>
      </w:r>
      <w:r>
        <w:br/>
        <w:t xml:space="preserve">12 maja 2022r. znak BMKZ.4120.175.2022.AWK </w:t>
      </w:r>
      <w:r w:rsidRPr="005D1D19">
        <w:t>działki nr 198 i 201 nie są objęte żadną formą ochrony konserwatorskiej i w związku z tym nie będą w stosunku do tego terenu formułowane wytyczne konserwatorskie.</w:t>
      </w:r>
      <w:r w:rsidRPr="005D1D19">
        <w:rPr>
          <w:i/>
        </w:rPr>
        <w:t xml:space="preserve"> </w:t>
      </w:r>
      <w:r w:rsidRPr="005D1D19">
        <w:t xml:space="preserve"> </w:t>
      </w:r>
      <w:r w:rsidR="00A87C02">
        <w:t xml:space="preserve">Działki są zadrzewione i zakrzaczone o kształcie nieregularnego wieloboku. </w:t>
      </w:r>
    </w:p>
    <w:p w14:paraId="4CB9C887" w14:textId="77777777" w:rsidR="0016151D" w:rsidRDefault="0016151D" w:rsidP="0016151D">
      <w:pPr>
        <w:ind w:firstLine="578"/>
        <w:jc w:val="both"/>
      </w:pPr>
      <w:r>
        <w:rPr>
          <w:color w:val="000000"/>
        </w:rPr>
        <w:t>3.</w:t>
      </w:r>
      <w:r>
        <w:t xml:space="preserve"> Przed przystąpieniem do przetargu jego uczestnik winien we własnym zakresie ustalić możliwość realizacji na nieruchomości planowanego przedsięwzięcia oraz jego zgodność</w:t>
      </w:r>
      <w:r>
        <w:br/>
        <w:t>z przepisami odrębnymi.</w:t>
      </w:r>
    </w:p>
    <w:p w14:paraId="0E4ED310" w14:textId="77777777" w:rsidR="00A87C02" w:rsidRDefault="0016151D" w:rsidP="00A87C02">
      <w:pPr>
        <w:pStyle w:val="Tekstpodstawowy"/>
        <w:spacing w:after="0"/>
        <w:ind w:firstLine="708"/>
        <w:jc w:val="both"/>
      </w:pPr>
      <w:r>
        <w:t>§ 4.1</w:t>
      </w:r>
      <w:r w:rsidR="004E0877">
        <w:t xml:space="preserve">. </w:t>
      </w:r>
      <w:r w:rsidR="004E0877" w:rsidRPr="005D1D19">
        <w:t>Nieruchomość posiada bezpośredni dostęp do drogi publicznej – ul. Szosy Bydgoskiej, stanowiącej drogę o nawierzchni asfaltowej z urządzonym ciągiem pieszym</w:t>
      </w:r>
      <w:r w:rsidR="00A87C02">
        <w:br/>
      </w:r>
      <w:r w:rsidR="004E0877" w:rsidRPr="005D1D19">
        <w:t>po stronie północnej. Dopuszczalna jest budowa zjazdu z ulicy Szosa Bydgoska</w:t>
      </w:r>
      <w:r w:rsidR="00A87C02">
        <w:t>,</w:t>
      </w:r>
      <w:r w:rsidR="004E0877" w:rsidRPr="005D1D19">
        <w:br/>
        <w:t>z uwzględnieniem ochrony istniejącego drzewostanu.</w:t>
      </w:r>
      <w:r w:rsidR="00A87C02">
        <w:t xml:space="preserve"> Budowa zjazdu wymaga uzyskania zgody Miejskiego Zarządu Dróg.</w:t>
      </w:r>
    </w:p>
    <w:p w14:paraId="0103D57F" w14:textId="77777777" w:rsidR="00A87C02" w:rsidRDefault="0016151D" w:rsidP="00A87C02">
      <w:pPr>
        <w:pStyle w:val="Tekstpodstawowy"/>
        <w:spacing w:after="0"/>
        <w:ind w:firstLine="708"/>
        <w:jc w:val="both"/>
      </w:pPr>
      <w:r>
        <w:t>2</w:t>
      </w:r>
      <w:r w:rsidR="00A87C02">
        <w:t xml:space="preserve">. W pasie ulicy Szosa Bydgoska przebiegają sieci: wodociągowa, energii elektrycznej, gazowa. </w:t>
      </w:r>
      <w:r w:rsidR="00A87C02" w:rsidRPr="008E5876">
        <w:t xml:space="preserve"> Spółka „Toruńskie Wodociągi” Sp.  z o.o. podała warunki techniczne podłączenia do sieci wod.-kan. tj. zaopatrzenie w wodę  można przewidzieć w nawiązaniu do istniejącego przewodu wodociągowego DN 150 w ul. Bydgoskiej, odprowadzenie zaś ścieków sanitarnych </w:t>
      </w:r>
      <w:r w:rsidR="00A87C02">
        <w:t xml:space="preserve"> może nastąpić opcjonalnie poprzez:</w:t>
      </w:r>
    </w:p>
    <w:p w14:paraId="0B2223F5" w14:textId="77777777" w:rsidR="00A87C02" w:rsidRDefault="00A87C02" w:rsidP="00A87C02">
      <w:pPr>
        <w:pStyle w:val="Tekstpodstawowy"/>
        <w:spacing w:after="0"/>
        <w:jc w:val="both"/>
      </w:pPr>
      <w:r>
        <w:t>-  istniejący na terenie działek gminnych nr  200/1 i 201 przewód kanalizacyjny o średnicy DN200, po jego przebudowie na długości ok. 60 m (odcinek S0-S1) – dyslokacji poza działkę 201 w pas drogowy i pod warunkiem uzyskania zgody właściciela działki 202/2 na włączenie nowego odcinka przewodu kanalizacyjnego,</w:t>
      </w:r>
    </w:p>
    <w:p w14:paraId="37CA3809" w14:textId="77777777" w:rsidR="00A87C02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S0-S2) odprowadzający ścieki sanitarne do ul. Asnyka z włączeniem w istniejącą kanalizację DN300 w studnię S2 – w takim przypadku niezbędne jest wybudowanie ok. 180 m przewodu kanalizacyjnego, </w:t>
      </w:r>
    </w:p>
    <w:p w14:paraId="63D481EE" w14:textId="77777777" w:rsidR="0016151D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S0-S3) odprowadzający ścieki sanitarne do kolektora „C” o średnicy DN1800 zlokalizowanego w ul. Szosa Bydgoska na przedłużeniu ul. Szosa Okrężna, z włączeniem  w istniejącą komorę S3 – w takim przypadku niezbędne jest wybudowanie ok. 270 m przewodu kanalizacyjnego. </w:t>
      </w:r>
    </w:p>
    <w:p w14:paraId="6A8962B9" w14:textId="77777777" w:rsidR="00A87C02" w:rsidRDefault="00A87C02" w:rsidP="00A87C02">
      <w:pPr>
        <w:pStyle w:val="Tekstpodstawowy"/>
        <w:spacing w:after="0"/>
        <w:jc w:val="both"/>
      </w:pPr>
      <w:r>
        <w:t xml:space="preserve">Koszty </w:t>
      </w:r>
      <w:r w:rsidR="0016151D">
        <w:t>tych</w:t>
      </w:r>
      <w:r>
        <w:t xml:space="preserve"> inwestycji obciążać będą nabywcę nieruchomości.</w:t>
      </w:r>
    </w:p>
    <w:p w14:paraId="339D3630" w14:textId="77777777" w:rsidR="00A87C02" w:rsidRDefault="00A87C02" w:rsidP="00A87C02">
      <w:pPr>
        <w:pStyle w:val="Tekstpodstawowy"/>
        <w:spacing w:after="0"/>
        <w:jc w:val="both"/>
      </w:pPr>
      <w:r>
        <w:t xml:space="preserve">Spółka poinformowała, że w obowiązującym „Wieloletnim planie  rozwoju i modernizacji urządzeń wodociągowych i urządzeń kanalizacyjnych Toruńskich Wodociągów Sp. z o.o. na lata 2022-2026” nie zostały przewidziane nakłady na zadanie związane z budową uzbrojenia kanalizacyjnego w ul. Szosa Bydgoska dla potrzeb posesji nr 28 – działek nr 198 i 201. Spółka zadeklarowała, że przy aktualizacji planu inwestycyjnego rozważone zostanie uwzględnienie w tym planie pozycji dotyczącej budowy przewodów kanalizacyjnych dla potrzeb ww. nieruchomości. </w:t>
      </w:r>
    </w:p>
    <w:p w14:paraId="3134A741" w14:textId="77777777" w:rsidR="00A87C02" w:rsidRDefault="00A87C02" w:rsidP="00A87C02">
      <w:pPr>
        <w:pStyle w:val="Tekstpodstawowy"/>
        <w:spacing w:after="0"/>
        <w:jc w:val="both"/>
      </w:pPr>
      <w:r>
        <w:t>Ponadto Spółka Toruńskie Wodociągi Sp. z o. o. zaleca lokalne zagospodarowanie wód opadowych w granicach działek.</w:t>
      </w:r>
    </w:p>
    <w:p w14:paraId="4C013DF5" w14:textId="77777777" w:rsidR="0016151D" w:rsidRDefault="0016151D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</w:p>
    <w:p w14:paraId="66B2B592" w14:textId="77777777" w:rsidR="0016151D" w:rsidRDefault="0016151D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</w:p>
    <w:p w14:paraId="70EC8C82" w14:textId="77777777" w:rsidR="00490D91" w:rsidRDefault="00490D91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</w:rPr>
        <w:lastRenderedPageBreak/>
        <w:t>§5.1.Ustala się następujące warunki przetarg</w:t>
      </w:r>
      <w:r w:rsidR="0016151D">
        <w:rPr>
          <w:rFonts w:eastAsia="Times New Roman"/>
        </w:rPr>
        <w:t>u</w:t>
      </w:r>
      <w:r>
        <w:rPr>
          <w:rFonts w:eastAsia="Times New Roman"/>
        </w:rPr>
        <w:t>:</w:t>
      </w:r>
    </w:p>
    <w:tbl>
      <w:tblPr>
        <w:tblpPr w:leftFromText="141" w:rightFromText="141" w:vertAnchor="text" w:horzAnchor="margin" w:tblpXSpec="center" w:tblpY="7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7"/>
        <w:gridCol w:w="1418"/>
        <w:gridCol w:w="990"/>
        <w:gridCol w:w="2835"/>
        <w:gridCol w:w="1630"/>
      </w:tblGrid>
      <w:tr w:rsidR="00490D91" w14:paraId="28A8BACB" w14:textId="77777777" w:rsidTr="00254030">
        <w:trPr>
          <w:trHeight w:val="4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5BB3" w14:textId="77777777"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C144" w14:textId="77777777"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3FC02" w14:textId="77777777"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7BC4F" w14:textId="77777777"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E589" w14:textId="77777777" w:rsidR="00490D91" w:rsidRPr="00254030" w:rsidRDefault="00490D91" w:rsidP="00254030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wywoławcza z VAT (zł)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9382" w14:textId="77777777" w:rsidR="00490D91" w:rsidRDefault="00490D91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Wadium (zł)</w:t>
            </w:r>
          </w:p>
        </w:tc>
      </w:tr>
      <w:tr w:rsidR="00490D91" w14:paraId="3195208E" w14:textId="77777777" w:rsidTr="00254030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C0B" w14:textId="77777777" w:rsidR="00490D91" w:rsidRDefault="00490D91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BB15" w14:textId="77777777" w:rsidR="00490D91" w:rsidRDefault="00A411C2" w:rsidP="00A411C2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16151D">
              <w:rPr>
                <w:sz w:val="22"/>
                <w:szCs w:val="22"/>
                <w:lang w:eastAsia="en-US"/>
              </w:rPr>
              <w:t>Szosa Bydgoska 28</w:t>
            </w:r>
          </w:p>
          <w:p w14:paraId="0A57DC7D" w14:textId="77777777" w:rsidR="00211A88" w:rsidRPr="00211A88" w:rsidRDefault="00211A88" w:rsidP="00A411C2">
            <w:pPr>
              <w:suppressAutoHyphens w:val="0"/>
              <w:spacing w:before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624D" w14:textId="77777777" w:rsidR="00490D91" w:rsidRDefault="0016151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 i 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B55" w14:textId="77777777" w:rsidR="00490D91" w:rsidRDefault="0016151D">
            <w:pPr>
              <w:pStyle w:val="Zawartotabeli"/>
              <w:spacing w:before="1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7347" w14:textId="77777777" w:rsidR="00490D91" w:rsidRDefault="00540601" w:rsidP="0016151D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16151D">
              <w:rPr>
                <w:sz w:val="22"/>
                <w:szCs w:val="22"/>
                <w:lang w:eastAsia="en-US"/>
              </w:rPr>
              <w:t>00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5E1D" w14:textId="77777777" w:rsidR="00490D91" w:rsidRDefault="00540601" w:rsidP="00A411C2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</w:tr>
    </w:tbl>
    <w:p w14:paraId="410EACE5" w14:textId="77777777"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Ustalona w przetargu cena stanowi cenę brutto w rozumieniu przepisów o podatku od towarów i usług.</w:t>
      </w:r>
    </w:p>
    <w:p w14:paraId="6B0BA7B4" w14:textId="77777777"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§6.1. W przetargu mogą wziąć udział podmioty, które wpłacą wadium w pieniądzu,</w:t>
      </w:r>
      <w:r>
        <w:rPr>
          <w:rFonts w:eastAsia="Times New Roman"/>
        </w:rPr>
        <w:br/>
        <w:t xml:space="preserve">w formie przelewu, na konto Urzędu Miasta Torunia - BANK MILLENNIUM S.A. O/Toruń nr </w:t>
      </w:r>
      <w:r>
        <w:t xml:space="preserve">62 1160  2202  0000  0003  3943  1400 </w:t>
      </w:r>
      <w:r>
        <w:rPr>
          <w:rFonts w:eastAsia="Times New Roman"/>
        </w:rPr>
        <w:t xml:space="preserve">w terminie do dnia </w:t>
      </w:r>
      <w:r w:rsidR="00756BD9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 w:rsidR="00756BD9">
        <w:rPr>
          <w:rFonts w:eastAsia="Times New Roman"/>
          <w:b/>
        </w:rPr>
        <w:t>marca</w:t>
      </w:r>
      <w:r w:rsidR="00EF26D2">
        <w:rPr>
          <w:rFonts w:eastAsia="Times New Roman"/>
          <w:b/>
        </w:rPr>
        <w:t xml:space="preserve"> 202</w:t>
      </w:r>
      <w:r w:rsidR="00756BD9">
        <w:rPr>
          <w:rFonts w:eastAsia="Times New Roman"/>
          <w:b/>
        </w:rPr>
        <w:t>3</w:t>
      </w:r>
      <w:r w:rsidR="00EF26D2">
        <w:rPr>
          <w:rFonts w:eastAsia="Times New Roman"/>
          <w:b/>
        </w:rPr>
        <w:t>r.</w:t>
      </w:r>
      <w:r>
        <w:rPr>
          <w:rFonts w:eastAsia="Times New Roman"/>
        </w:rPr>
        <w:t xml:space="preserve"> włącznie. Za datę wpłaty wadium uznaje się dzień wpływu środków pieniężnych na wskazane konto Gminy. Na dowodzie wpłaty należy umieścić dopisek wskazujący oznaczenie działek lub </w:t>
      </w:r>
      <w:r w:rsidR="0016151D">
        <w:rPr>
          <w:rFonts w:eastAsia="Times New Roman"/>
        </w:rPr>
        <w:t>ich położenie</w:t>
      </w:r>
      <w:r>
        <w:rPr>
          <w:rFonts w:eastAsia="Times New Roman"/>
        </w:rPr>
        <w:t xml:space="preserve"> do licytacji których uczestnik zamierza przystąpić. Wpłacone wadium uprawnia do uczestnictwa wyłącznie w przetargu, którego dotyczy.</w:t>
      </w:r>
    </w:p>
    <w:p w14:paraId="392D8E6A" w14:textId="77777777"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Podmioty, które wpłacą wadium w sposób niezgodny z postanowieniami ust. 1, </w:t>
      </w:r>
      <w:r>
        <w:rPr>
          <w:rFonts w:eastAsia="Times New Roman"/>
        </w:rPr>
        <w:br/>
        <w:t>w szczególności gdy wadium zostanie wpłacone w gotówce w kasie Urzędu Miasta Torunia, nie zostaną dopuszczone do udziału w przetargu.</w:t>
      </w:r>
    </w:p>
    <w:p w14:paraId="23BD533F" w14:textId="77777777"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Komisja przetargowa w dniu </w:t>
      </w:r>
      <w:r w:rsidR="00756BD9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="00756BD9">
        <w:rPr>
          <w:rFonts w:eastAsia="Times New Roman"/>
        </w:rPr>
        <w:t>marca</w:t>
      </w:r>
      <w:r>
        <w:rPr>
          <w:rFonts w:eastAsia="Times New Roman"/>
        </w:rPr>
        <w:t xml:space="preserve"> 202</w:t>
      </w:r>
      <w:r w:rsidR="00756BD9">
        <w:rPr>
          <w:rFonts w:eastAsia="Times New Roman"/>
        </w:rPr>
        <w:t>3</w:t>
      </w:r>
      <w:r>
        <w:rPr>
          <w:rFonts w:eastAsia="Times New Roman"/>
        </w:rPr>
        <w:t>r. stwierdzi dokonanie wpłat wadiów na podstawie wyciągu bankowego z wskazanego konta i sporządzi wykaz osób, które spełniły ten warunek.</w:t>
      </w:r>
    </w:p>
    <w:p w14:paraId="312F7074" w14:textId="77777777" w:rsidR="00490D91" w:rsidRDefault="00490D91" w:rsidP="00490D91">
      <w:pPr>
        <w:ind w:firstLine="567"/>
        <w:jc w:val="both"/>
      </w:pPr>
      <w:r>
        <w:t>§7.1. Uczestnicy przetargu i osoby działające w ich imieniu winni przed przystąpieniem do licytacji przedstawić Komisji Przetargowej:</w:t>
      </w:r>
    </w:p>
    <w:p w14:paraId="03F9E072" w14:textId="77777777" w:rsidR="00490D91" w:rsidRDefault="00490D91" w:rsidP="00490D91">
      <w:pPr>
        <w:ind w:firstLine="567"/>
        <w:jc w:val="both"/>
      </w:pPr>
      <w:r>
        <w:t>1) wszyscy: dokument potwierdzający tożsamość tj. dowód osobisty lub paszport;</w:t>
      </w:r>
    </w:p>
    <w:p w14:paraId="242421C6" w14:textId="77777777" w:rsidR="00490D91" w:rsidRDefault="00490D91" w:rsidP="00490D91">
      <w:pPr>
        <w:ind w:firstLine="567"/>
        <w:jc w:val="both"/>
      </w:pPr>
      <w: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14:paraId="193070CA" w14:textId="77777777" w:rsidR="00490D91" w:rsidRDefault="00490D91" w:rsidP="00490D91">
      <w:pPr>
        <w:ind w:firstLine="567"/>
        <w:jc w:val="both"/>
      </w:pPr>
      <w:r>
        <w:t>3) pełnomocnicy - pełnomocnictwo do uczestnictwa w przetargu (w formie pisemnej) lub pełnomocnictwo do nabycia nieruchomości (w formie aktu notarialnego);</w:t>
      </w:r>
    </w:p>
    <w:p w14:paraId="7263B046" w14:textId="77777777" w:rsidR="00490D91" w:rsidRDefault="00490D91" w:rsidP="00490D91">
      <w:pPr>
        <w:ind w:firstLine="567"/>
        <w:jc w:val="both"/>
      </w:pPr>
      <w:r>
        <w:t>4) małżonek zamierzający samodzielnie licytować nieruchomość nabywaną do majątku wspólnego – pisemną zgodę współmałżonka;</w:t>
      </w:r>
    </w:p>
    <w:p w14:paraId="756E64CA" w14:textId="77777777"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2. Nie przedłożenie wymaganych dokumentów wymienionych w ust. 1 skutkować będzie nie dopuszczeniem do uczestnictwa w przetargu.</w:t>
      </w:r>
    </w:p>
    <w:p w14:paraId="271D80DC" w14:textId="77777777"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31E54BEB" w14:textId="77777777"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14:paraId="449E4199" w14:textId="77777777" w:rsidR="00490D91" w:rsidRDefault="00490D91" w:rsidP="00490D91">
      <w:pPr>
        <w:pStyle w:val="Tekstpodstawowy"/>
        <w:spacing w:after="0"/>
        <w:ind w:firstLine="567"/>
        <w:jc w:val="both"/>
      </w:pPr>
      <w:r>
        <w:rPr>
          <w:rFonts w:eastAsia="Times New Roman"/>
        </w:rPr>
        <w:t xml:space="preserve">2. Uczestnicy przetargu zgłaszają kolejne postąpienia w wysokości nie niższej niż 1% ceny wywoławczej z </w:t>
      </w:r>
      <w:r>
        <w:t>zaokrągleniem w górę do pełnych dziesiątek złotych.</w:t>
      </w:r>
    </w:p>
    <w:p w14:paraId="06477283" w14:textId="77777777" w:rsidR="00490D91" w:rsidRDefault="00490D91" w:rsidP="00490D91">
      <w:pPr>
        <w:pStyle w:val="Tekstpodstawowy"/>
        <w:tabs>
          <w:tab w:val="left" w:pos="435"/>
        </w:tabs>
        <w:spacing w:after="0"/>
        <w:ind w:firstLine="567"/>
        <w:jc w:val="both"/>
      </w:pPr>
      <w:r>
        <w:rPr>
          <w:rFonts w:eastAsia="Times New Roman"/>
        </w:rPr>
        <w:t>§9.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O rozstrzygnięciu licytacji decyduje wielkość i kolejność zaoferowanej ceny.</w:t>
      </w:r>
    </w:p>
    <w:p w14:paraId="7E00BC97" w14:textId="77777777"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§10. Po trzecim wywołaniu najwyższej zaoferowanej ceny dalsze postąpienia nie zostaną przyjęte.</w:t>
      </w:r>
    </w:p>
    <w:p w14:paraId="7D4FE51D" w14:textId="77777777"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§11. Przetarg jest ważny bez względu na liczbę uczestników przetargu, jeżeli chociaż jeden uczestnik zaoferuje co najmniej jedno postąpienie powyżej ceny wywoławczej.</w:t>
      </w:r>
    </w:p>
    <w:p w14:paraId="7D1577E7" w14:textId="77777777" w:rsidR="00490D91" w:rsidRDefault="00490D91" w:rsidP="00490D91">
      <w:pPr>
        <w:ind w:firstLine="567"/>
        <w:jc w:val="both"/>
      </w:pPr>
      <w:r>
        <w:t>§12. Wadium wpłacone przez uczestnika, który przetarg wygrał zalicza się na poczet ceny sprzedaży z chwilą zawarcia umowy przenoszącej własność nieruchomości w formie aktu notarialnego.</w:t>
      </w:r>
    </w:p>
    <w:p w14:paraId="3BA5C830" w14:textId="77777777" w:rsidR="00490D91" w:rsidRDefault="00490D91" w:rsidP="00490D91">
      <w:pPr>
        <w:ind w:firstLine="567"/>
        <w:jc w:val="both"/>
      </w:pPr>
      <w:r>
        <w:t xml:space="preserve">§13. Pozostałym uczestnikom przetargu wadium zostanie niezwłocznie, nie później niż przed upływem 3 dni od dnia odwołania, unieważnienia lub rozstrzygnięcia przetargu, </w:t>
      </w:r>
      <w:r>
        <w:lastRenderedPageBreak/>
        <w:t>zwrócone przelewem  - w wysokości nominalnej, na wskazane przez nich konto. W przypadku braku pisemnego wskazania - najpóźniej w dniu przetargu - rachunku bankowego, na które ma być dokonany zwrot wadium zostanie ono zwrócone na konto, z którego wpłynęło.</w:t>
      </w:r>
    </w:p>
    <w:p w14:paraId="61FDA93C" w14:textId="77777777"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§14.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1. Protokół przetargu sporządza się w trzech jednobrzmiących egzemplarzach.</w:t>
      </w:r>
    </w:p>
    <w:p w14:paraId="5B524DCB" w14:textId="77777777"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Protokół przetargu stanowi podstawę do zawarcia aktu notarialnego.</w:t>
      </w:r>
    </w:p>
    <w:p w14:paraId="7F7F4D44" w14:textId="77777777" w:rsidR="00490D91" w:rsidRDefault="00490D91" w:rsidP="00490D91">
      <w:pPr>
        <w:ind w:firstLine="567"/>
        <w:jc w:val="both"/>
        <w:rPr>
          <w:rFonts w:eastAsia="SimSun"/>
          <w:kern w:val="2"/>
        </w:rPr>
      </w:pPr>
      <w:r>
        <w:t xml:space="preserve">§15.1. </w:t>
      </w:r>
      <w:r>
        <w:rPr>
          <w:rStyle w:val="alb"/>
        </w:rPr>
        <w:t xml:space="preserve">Prezydent Miasta Torunia </w:t>
      </w:r>
      <w:r>
        <w:t>zawiadomi osobę ustaloną jako nabywca nieruchomości o miejscu i terminie zawarcia umowy sprzedaży  nieruchomości, najpóźniej w ciągu 21 dni od dnia rozstrzygnięcia przetargu. Wyznaczony termin nie może być krótszy niż 7 dni od dnia doręczenia zawiadomienia.</w:t>
      </w:r>
    </w:p>
    <w:p w14:paraId="51C438D1" w14:textId="77777777" w:rsidR="00490D91" w:rsidRDefault="00490D91" w:rsidP="00490D91">
      <w:pPr>
        <w:jc w:val="both"/>
        <w:rPr>
          <w:rStyle w:val="alb"/>
          <w:rFonts w:ascii="Liberation Serif" w:hAnsi="Liberation Serif" w:cs="Mangal"/>
        </w:rPr>
      </w:pPr>
      <w:r>
        <w:t xml:space="preserve">                2. Umowa sprzedaży nieruchomości, w formie aktu notarialnego, winna zostać zawarta najpóźniej w terminie </w:t>
      </w:r>
      <w:r w:rsidR="00756BD9">
        <w:t>dwóch miesięcy od dnia rozstrzygnięcia przetargu.</w:t>
      </w:r>
      <w:r>
        <w:rPr>
          <w:color w:val="000000"/>
        </w:rPr>
        <w:t xml:space="preserve"> </w:t>
      </w:r>
      <w:r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14:paraId="6FC4815D" w14:textId="77777777" w:rsidR="00490D91" w:rsidRDefault="00490D91" w:rsidP="00490D91">
      <w:pPr>
        <w:jc w:val="both"/>
      </w:pPr>
      <w:r>
        <w:rPr>
          <w:rStyle w:val="alb"/>
        </w:rPr>
        <w:t xml:space="preserve">                3. </w:t>
      </w:r>
      <w:r>
        <w:t>Jeżeli osoba ustalona jako nabywca nieruchomości nie przystąpi bez usprawiedliwienia do zawarcia umowy w miejscu i w terminie podanych w zawiadomieniu,</w:t>
      </w:r>
      <w:r>
        <w:br/>
        <w:t xml:space="preserve">o którym mowa w ust. 1, z zastrzeżeniem ust. 2, Prezydent Miasta Torunia może odstąpić od zawarcia umowy, a wpłacone wadium nie podlega zwrotowi. </w:t>
      </w:r>
    </w:p>
    <w:p w14:paraId="60A3CC03" w14:textId="77777777" w:rsidR="00490D91" w:rsidRDefault="00490D91" w:rsidP="0016151D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§16.  Zwycięzca prze</w:t>
      </w:r>
      <w:r w:rsidR="0016151D">
        <w:rPr>
          <w:color w:val="000000"/>
          <w:sz w:val="24"/>
          <w:szCs w:val="24"/>
        </w:rPr>
        <w:t xml:space="preserve">targu zobowiązany jest zapłacić </w:t>
      </w: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14:paraId="06D6796B" w14:textId="77777777"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14:paraId="6CFCA7AE" w14:textId="77777777"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14:paraId="33B9A5B0" w14:textId="77777777"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nabycia nieruchomości ponosi nabywający.</w:t>
      </w:r>
    </w:p>
    <w:p w14:paraId="741624EE" w14:textId="77777777"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14:paraId="1093B00E" w14:textId="77777777"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  §20. Prezydent Miasta Torunia może z ważnych powodów  odwołać przetarg.</w:t>
      </w:r>
    </w:p>
    <w:p w14:paraId="0CD5CAA7" w14:textId="77777777"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§21. 1. Uczestnik przetargu może zaskarżyć czynności związane z przeprowadzeniem przetargu do Prezydenta Miasta Torunia. Skarga winna być wniesiona w terminie 7 dni od dnia ogłoszenia wyniku przetargu.</w:t>
      </w:r>
    </w:p>
    <w:p w14:paraId="00CC19AD" w14:textId="77777777" w:rsidR="00490D91" w:rsidRDefault="00490D91" w:rsidP="00490D91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14:paraId="3101AD62" w14:textId="77777777" w:rsidR="00490D91" w:rsidRDefault="00490D91" w:rsidP="00490D91">
      <w:pPr>
        <w:pStyle w:val="Textbody"/>
        <w:spacing w:after="0" w:line="240" w:lineRule="auto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p w14:paraId="28655089" w14:textId="77777777" w:rsidR="00490D91" w:rsidRDefault="00490D91" w:rsidP="00490D91">
      <w:pPr>
        <w:pStyle w:val="Textbody"/>
        <w:spacing w:after="0" w:line="276" w:lineRule="auto"/>
        <w:ind w:firstLine="567"/>
        <w:jc w:val="both"/>
      </w:pPr>
    </w:p>
    <w:p w14:paraId="51CF6522" w14:textId="77777777" w:rsidR="00490D91" w:rsidRDefault="00490D91" w:rsidP="00490D91">
      <w:r>
        <w:t>IW</w:t>
      </w:r>
    </w:p>
    <w:p w14:paraId="1C67A4E1" w14:textId="77777777" w:rsidR="00490D91" w:rsidRDefault="00490D91" w:rsidP="00490D91"/>
    <w:p w14:paraId="4F2D0D86" w14:textId="77777777" w:rsidR="00490D91" w:rsidRDefault="00490D91"/>
    <w:sectPr w:rsidR="004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4FB6CE0"/>
    <w:multiLevelType w:val="hybridMultilevel"/>
    <w:tmpl w:val="34DAF120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EC5"/>
    <w:multiLevelType w:val="hybridMultilevel"/>
    <w:tmpl w:val="77BE17E4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12"/>
    <w:rsid w:val="00001996"/>
    <w:rsid w:val="0002251C"/>
    <w:rsid w:val="00050C19"/>
    <w:rsid w:val="000875C3"/>
    <w:rsid w:val="000B2E9F"/>
    <w:rsid w:val="000D1E0D"/>
    <w:rsid w:val="000E0954"/>
    <w:rsid w:val="001557C7"/>
    <w:rsid w:val="0016151D"/>
    <w:rsid w:val="0016684A"/>
    <w:rsid w:val="001A035D"/>
    <w:rsid w:val="001B05C0"/>
    <w:rsid w:val="001E5A87"/>
    <w:rsid w:val="001F5C0C"/>
    <w:rsid w:val="00211A88"/>
    <w:rsid w:val="002206E0"/>
    <w:rsid w:val="00254030"/>
    <w:rsid w:val="002635CB"/>
    <w:rsid w:val="00276386"/>
    <w:rsid w:val="002C2E10"/>
    <w:rsid w:val="002E0964"/>
    <w:rsid w:val="00321504"/>
    <w:rsid w:val="003857D0"/>
    <w:rsid w:val="003B50E8"/>
    <w:rsid w:val="003C28C0"/>
    <w:rsid w:val="00417312"/>
    <w:rsid w:val="00457479"/>
    <w:rsid w:val="00490D91"/>
    <w:rsid w:val="004B7975"/>
    <w:rsid w:val="004E0877"/>
    <w:rsid w:val="005267F5"/>
    <w:rsid w:val="00540601"/>
    <w:rsid w:val="005F4D8C"/>
    <w:rsid w:val="00606BD4"/>
    <w:rsid w:val="00681273"/>
    <w:rsid w:val="00700044"/>
    <w:rsid w:val="00756BD9"/>
    <w:rsid w:val="0079455F"/>
    <w:rsid w:val="00821A44"/>
    <w:rsid w:val="008A1D49"/>
    <w:rsid w:val="008B207A"/>
    <w:rsid w:val="008C7445"/>
    <w:rsid w:val="008E1FF7"/>
    <w:rsid w:val="009464D3"/>
    <w:rsid w:val="00947329"/>
    <w:rsid w:val="0094772F"/>
    <w:rsid w:val="0098743B"/>
    <w:rsid w:val="00A015A3"/>
    <w:rsid w:val="00A14B7B"/>
    <w:rsid w:val="00A231B4"/>
    <w:rsid w:val="00A243CC"/>
    <w:rsid w:val="00A2440B"/>
    <w:rsid w:val="00A411C2"/>
    <w:rsid w:val="00A87C02"/>
    <w:rsid w:val="00AB66A9"/>
    <w:rsid w:val="00AD0A84"/>
    <w:rsid w:val="00B52336"/>
    <w:rsid w:val="00BA47C1"/>
    <w:rsid w:val="00C51449"/>
    <w:rsid w:val="00C5424A"/>
    <w:rsid w:val="00CD5283"/>
    <w:rsid w:val="00D05475"/>
    <w:rsid w:val="00E23EB5"/>
    <w:rsid w:val="00E52B93"/>
    <w:rsid w:val="00EA3F6C"/>
    <w:rsid w:val="00EE02E3"/>
    <w:rsid w:val="00EF26D2"/>
    <w:rsid w:val="00F55369"/>
    <w:rsid w:val="00F774DC"/>
    <w:rsid w:val="00FA56DA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8B2C"/>
  <w15:chartTrackingRefBased/>
  <w15:docId w15:val="{5F4D5B7F-B3FA-4DF2-B5FD-57986E0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479"/>
    <w:pPr>
      <w:widowControl/>
      <w:suppressAutoHyphens w:val="0"/>
      <w:autoSpaceDN/>
      <w:spacing w:before="100" w:beforeAutospacing="1" w:after="142" w:line="288" w:lineRule="auto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57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7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79"/>
    <w:pPr>
      <w:widowControl/>
      <w:suppressAutoHyphens w:val="0"/>
      <w:autoSpaceDN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Textbody">
    <w:name w:val="Text body"/>
    <w:basedOn w:val="Normalny"/>
    <w:uiPriority w:val="99"/>
    <w:rsid w:val="00457479"/>
    <w:pPr>
      <w:widowControl/>
      <w:suppressAutoHyphens w:val="0"/>
      <w:spacing w:after="140" w:line="288" w:lineRule="auto"/>
    </w:pPr>
    <w:rPr>
      <w:rFonts w:eastAsia="Times New Roman"/>
      <w:kern w:val="0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457479"/>
    <w:pPr>
      <w:keepNext/>
      <w:jc w:val="both"/>
      <w:outlineLvl w:val="0"/>
    </w:pPr>
  </w:style>
  <w:style w:type="paragraph" w:customStyle="1" w:styleId="Tekstpodstawowy31">
    <w:name w:val="Tekst podstawowy 31"/>
    <w:basedOn w:val="Normalny"/>
    <w:uiPriority w:val="99"/>
    <w:rsid w:val="00457479"/>
    <w:pPr>
      <w:ind w:right="-69"/>
      <w:jc w:val="both"/>
    </w:pPr>
    <w:rPr>
      <w:b/>
    </w:rPr>
  </w:style>
  <w:style w:type="paragraph" w:customStyle="1" w:styleId="Zawartotabeli">
    <w:name w:val="Zawarto?? tabeli"/>
    <w:basedOn w:val="Normalny"/>
    <w:uiPriority w:val="99"/>
    <w:rsid w:val="00457479"/>
    <w:pPr>
      <w:suppressLineNumbers/>
      <w:overflowPunct w:val="0"/>
      <w:autoSpaceDE w:val="0"/>
    </w:pPr>
    <w:rPr>
      <w:rFonts w:eastAsia="Times New Roman"/>
      <w:kern w:val="0"/>
      <w:szCs w:val="20"/>
    </w:rPr>
  </w:style>
  <w:style w:type="paragraph" w:customStyle="1" w:styleId="Tekstpodstawowy21">
    <w:name w:val="Tekst podstawowy 21"/>
    <w:basedOn w:val="Normalny"/>
    <w:uiPriority w:val="99"/>
    <w:rsid w:val="00457479"/>
    <w:pPr>
      <w:autoSpaceDN/>
    </w:pPr>
    <w:rPr>
      <w:kern w:val="2"/>
    </w:rPr>
  </w:style>
  <w:style w:type="paragraph" w:customStyle="1" w:styleId="WW-Zawartotabeli11">
    <w:name w:val="WW-Zawartość tabeli11"/>
    <w:basedOn w:val="Tekstpodstawowy"/>
    <w:uiPriority w:val="99"/>
    <w:rsid w:val="00457479"/>
    <w:pPr>
      <w:widowControl/>
      <w:suppressLineNumbers/>
      <w:autoSpaceDN/>
      <w:spacing w:after="0" w:line="360" w:lineRule="auto"/>
      <w:jc w:val="center"/>
    </w:pPr>
    <w:rPr>
      <w:rFonts w:eastAsia="Times New Roman"/>
      <w:b/>
      <w:kern w:val="0"/>
      <w:szCs w:val="20"/>
      <w:lang w:bidi="pl-PL"/>
    </w:rPr>
  </w:style>
  <w:style w:type="paragraph" w:customStyle="1" w:styleId="Tretekstu">
    <w:name w:val="Treść tekstu"/>
    <w:basedOn w:val="Normalny"/>
    <w:uiPriority w:val="99"/>
    <w:semiHidden/>
    <w:rsid w:val="00457479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lb">
    <w:name w:val="a_lb"/>
    <w:basedOn w:val="Domylnaczcionkaakapitu"/>
    <w:rsid w:val="00457479"/>
  </w:style>
  <w:style w:type="paragraph" w:customStyle="1" w:styleId="Akapitzlist1">
    <w:name w:val="Akapit z listą1"/>
    <w:basedOn w:val="Normalny"/>
    <w:rsid w:val="0079455F"/>
    <w:pPr>
      <w:widowControl/>
      <w:suppressAutoHyphens w:val="0"/>
      <w:autoSpaceDN/>
      <w:ind w:left="720"/>
    </w:pPr>
    <w:rPr>
      <w:rFonts w:eastAsia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F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2</cp:revision>
  <cp:lastPrinted>2022-12-05T14:03:00Z</cp:lastPrinted>
  <dcterms:created xsi:type="dcterms:W3CDTF">2023-01-02T08:37:00Z</dcterms:created>
  <dcterms:modified xsi:type="dcterms:W3CDTF">2023-01-02T08:37:00Z</dcterms:modified>
</cp:coreProperties>
</file>