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91" w:rsidRDefault="00490D91" w:rsidP="00490D91">
      <w:pPr>
        <w:jc w:val="center"/>
      </w:pPr>
      <w:r>
        <w:rPr>
          <w:rFonts w:eastAsia="Times New Roman"/>
          <w:b/>
        </w:rPr>
        <w:t xml:space="preserve">ZARZĄDZENIE  </w:t>
      </w:r>
      <w:r>
        <w:rPr>
          <w:rFonts w:eastAsia="Times New Roman"/>
          <w:b/>
          <w:bCs/>
        </w:rPr>
        <w:t xml:space="preserve">NR </w:t>
      </w:r>
      <w:r w:rsidR="00A06257">
        <w:rPr>
          <w:rFonts w:eastAsia="Times New Roman"/>
          <w:b/>
          <w:bCs/>
        </w:rPr>
        <w:t>388</w:t>
      </w:r>
    </w:p>
    <w:p w:rsidR="00490D91" w:rsidRDefault="00490D91" w:rsidP="00490D91">
      <w:pPr>
        <w:jc w:val="center"/>
        <w:rPr>
          <w:rFonts w:eastAsia="Times New Roman"/>
          <w:b/>
        </w:rPr>
      </w:pPr>
      <w:r>
        <w:rPr>
          <w:rFonts w:eastAsia="Times New Roman"/>
          <w:b/>
        </w:rPr>
        <w:t>PREZYDENTA MIASTA TORUNIA</w:t>
      </w:r>
    </w:p>
    <w:p w:rsidR="00490D91" w:rsidRDefault="00490D91" w:rsidP="00490D91">
      <w:pPr>
        <w:pStyle w:val="Tekstpodstawowy"/>
        <w:spacing w:after="0"/>
        <w:jc w:val="center"/>
        <w:rPr>
          <w:rFonts w:eastAsia="Times New Roman"/>
          <w:b/>
        </w:rPr>
      </w:pPr>
      <w:r>
        <w:rPr>
          <w:rFonts w:eastAsia="Times New Roman"/>
        </w:rPr>
        <w:t xml:space="preserve">z dnia </w:t>
      </w:r>
      <w:r w:rsidR="00A06257">
        <w:rPr>
          <w:rFonts w:eastAsia="Times New Roman"/>
        </w:rPr>
        <w:t>30.11.2022r.</w:t>
      </w:r>
    </w:p>
    <w:p w:rsidR="00490D91" w:rsidRDefault="00490D91" w:rsidP="00490D91">
      <w:pPr>
        <w:pStyle w:val="Tekstpodstawowy"/>
        <w:widowControl/>
        <w:spacing w:after="0"/>
        <w:jc w:val="both"/>
        <w:rPr>
          <w:rFonts w:eastAsia="Times New Roman"/>
          <w:b/>
        </w:rPr>
      </w:pPr>
    </w:p>
    <w:p w:rsidR="00490D91" w:rsidRDefault="00490D91" w:rsidP="00490D91">
      <w:pPr>
        <w:pStyle w:val="Tekstpodstawowy"/>
        <w:widowControl/>
        <w:spacing w:after="0"/>
        <w:jc w:val="both"/>
        <w:rPr>
          <w:rFonts w:eastAsia="Times New Roman"/>
          <w:b/>
        </w:rPr>
      </w:pPr>
      <w:r>
        <w:rPr>
          <w:rFonts w:eastAsia="Times New Roman"/>
          <w:b/>
        </w:rPr>
        <w:t>w sprawie ustalenia Regulaminu I</w:t>
      </w:r>
      <w:r w:rsidR="0070724A">
        <w:rPr>
          <w:rFonts w:eastAsia="Times New Roman"/>
          <w:b/>
        </w:rPr>
        <w:t>I</w:t>
      </w:r>
      <w:r>
        <w:rPr>
          <w:rFonts w:eastAsia="Times New Roman"/>
          <w:b/>
        </w:rPr>
        <w:t xml:space="preserve"> ustnych przetargów nieograniczonych na sprzedaż nieruchomości gruntowych, niezabu</w:t>
      </w:r>
      <w:r w:rsidR="009464D3">
        <w:rPr>
          <w:rFonts w:eastAsia="Times New Roman"/>
          <w:b/>
        </w:rPr>
        <w:t xml:space="preserve">dowanych, położonych w Toruniu przy ul. </w:t>
      </w:r>
      <w:r>
        <w:rPr>
          <w:rFonts w:eastAsia="Times New Roman"/>
          <w:b/>
        </w:rPr>
        <w:t>Szosa Bydgoska</w:t>
      </w:r>
      <w:r w:rsidR="009464D3">
        <w:rPr>
          <w:rFonts w:eastAsia="Times New Roman"/>
          <w:b/>
        </w:rPr>
        <w:t xml:space="preserve"> 76-80</w:t>
      </w:r>
      <w:r>
        <w:rPr>
          <w:rFonts w:eastAsia="Times New Roman"/>
          <w:b/>
        </w:rPr>
        <w:t xml:space="preserve"> i </w:t>
      </w:r>
      <w:r w:rsidR="009464D3">
        <w:rPr>
          <w:rFonts w:eastAsia="Times New Roman"/>
          <w:b/>
        </w:rPr>
        <w:t xml:space="preserve">ul. </w:t>
      </w:r>
      <w:r>
        <w:rPr>
          <w:rFonts w:eastAsia="Times New Roman"/>
          <w:b/>
        </w:rPr>
        <w:t xml:space="preserve">Pera </w:t>
      </w:r>
      <w:proofErr w:type="spellStart"/>
      <w:r>
        <w:rPr>
          <w:rFonts w:eastAsia="Times New Roman"/>
          <w:b/>
        </w:rPr>
        <w:t>Jonssona</w:t>
      </w:r>
      <w:proofErr w:type="spellEnd"/>
      <w:r w:rsidR="009464D3">
        <w:rPr>
          <w:rFonts w:eastAsia="Times New Roman"/>
          <w:b/>
        </w:rPr>
        <w:t xml:space="preserve"> 4</w:t>
      </w:r>
      <w:r>
        <w:rPr>
          <w:rFonts w:eastAsia="Times New Roman"/>
          <w:b/>
        </w:rPr>
        <w:t>, stanowiących własność Gminy Miasta Toruń oraz powołania Komisji do przeprowadzenia przetargów.</w:t>
      </w:r>
    </w:p>
    <w:p w:rsidR="00490D91" w:rsidRDefault="00490D91" w:rsidP="00490D91">
      <w:pPr>
        <w:spacing w:line="360" w:lineRule="auto"/>
        <w:jc w:val="both"/>
        <w:rPr>
          <w:rFonts w:eastAsia="Times New Roman"/>
        </w:rPr>
      </w:pPr>
    </w:p>
    <w:p w:rsidR="00490D91" w:rsidRDefault="00490D91" w:rsidP="00490D91">
      <w:pPr>
        <w:pStyle w:val="Tekstpodstawowy"/>
        <w:widowControl/>
        <w:spacing w:after="0"/>
        <w:jc w:val="both"/>
        <w:rPr>
          <w:rFonts w:eastAsia="Times New Roman"/>
        </w:rPr>
      </w:pPr>
      <w:r>
        <w:rPr>
          <w:rFonts w:eastAsia="HG Mincho Light J"/>
          <w:color w:val="000000"/>
        </w:rPr>
        <w:tab/>
      </w:r>
      <w:r>
        <w:t>Na podstawie art. 30 ust. 1 ustawy z dnia 8 marca 1990 r</w:t>
      </w:r>
      <w:r w:rsidR="0002251C">
        <w:t>.</w:t>
      </w:r>
      <w:r>
        <w:t xml:space="preserve"> o samorządzie gminnym  </w:t>
      </w:r>
      <w:r w:rsidR="009464D3">
        <w:t>(Dz. U. z 2022 r., poz. 559 ze zm.</w:t>
      </w:r>
      <w:r w:rsidR="009464D3">
        <w:rPr>
          <w:vertAlign w:val="superscript"/>
        </w:rPr>
        <w:t>1)</w:t>
      </w:r>
      <w:r>
        <w:t>),</w:t>
      </w:r>
      <w:r>
        <w:rPr>
          <w:rFonts w:eastAsia="HG Mincho Light J"/>
          <w:color w:val="000000"/>
        </w:rPr>
        <w:t xml:space="preserve"> uchwały nr 894/18 z 19 lipca 2018</w:t>
      </w:r>
      <w:r w:rsidR="0002251C">
        <w:rPr>
          <w:rFonts w:eastAsia="HG Mincho Light J"/>
          <w:color w:val="000000"/>
        </w:rPr>
        <w:t xml:space="preserve"> </w:t>
      </w:r>
      <w:r>
        <w:rPr>
          <w:rFonts w:eastAsia="HG Mincho Light J"/>
          <w:color w:val="000000"/>
        </w:rPr>
        <w:t xml:space="preserve">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sidR="00CD5283">
        <w:rPr>
          <w:rFonts w:eastAsia="HG Mincho Light J"/>
          <w:color w:val="000000"/>
        </w:rPr>
        <w:t xml:space="preserve">oraz </w:t>
      </w:r>
      <w:r w:rsidR="00F774DC">
        <w:rPr>
          <w:rFonts w:eastAsia="HG Mincho Light J"/>
          <w:color w:val="000000"/>
        </w:rPr>
        <w:t xml:space="preserve">§ 2 ust. 1 i § 3 ust. 1 i 3 </w:t>
      </w:r>
      <w:r w:rsidR="00CD5283">
        <w:rPr>
          <w:rFonts w:eastAsia="HG Mincho Light J"/>
          <w:color w:val="000000"/>
        </w:rPr>
        <w:t xml:space="preserve">uchwały nr 547/09 Rady Miasta Torunia z dnia 30 kwietnia 2009r. w sprawie zasad obciążania służebnościami gruntowymi i </w:t>
      </w:r>
      <w:proofErr w:type="spellStart"/>
      <w:r w:rsidR="00CD5283">
        <w:rPr>
          <w:rFonts w:eastAsia="HG Mincho Light J"/>
          <w:color w:val="000000"/>
        </w:rPr>
        <w:t>przesyłu</w:t>
      </w:r>
      <w:proofErr w:type="spellEnd"/>
      <w:r w:rsidR="00CD5283">
        <w:rPr>
          <w:rFonts w:eastAsia="HG Mincho Light J"/>
          <w:color w:val="000000"/>
        </w:rPr>
        <w:t xml:space="preserve"> nieruchomości należących do zasobu </w:t>
      </w:r>
      <w:r w:rsidR="001557C7">
        <w:rPr>
          <w:rFonts w:eastAsia="HG Mincho Light J"/>
          <w:color w:val="000000"/>
        </w:rPr>
        <w:t xml:space="preserve">nieruchomości </w:t>
      </w:r>
      <w:r w:rsidR="00CD5283">
        <w:rPr>
          <w:rFonts w:eastAsia="HG Mincho Light J"/>
          <w:color w:val="000000"/>
        </w:rPr>
        <w:t>Gminy Miasta Toruń</w:t>
      </w:r>
      <w:r w:rsidR="004B7975">
        <w:rPr>
          <w:rFonts w:eastAsia="HG Mincho Light J"/>
          <w:color w:val="000000"/>
        </w:rPr>
        <w:t xml:space="preserve"> (Dz. U</w:t>
      </w:r>
      <w:r w:rsidR="000A62E9">
        <w:rPr>
          <w:rFonts w:eastAsia="HG Mincho Light J"/>
          <w:color w:val="000000"/>
        </w:rPr>
        <w:t>rz</w:t>
      </w:r>
      <w:r w:rsidR="004B7975">
        <w:rPr>
          <w:rFonts w:eastAsia="HG Mincho Light J"/>
          <w:color w:val="000000"/>
        </w:rPr>
        <w:t xml:space="preserve">. </w:t>
      </w:r>
      <w:proofErr w:type="spellStart"/>
      <w:r w:rsidR="004B7975">
        <w:rPr>
          <w:rFonts w:eastAsia="HG Mincho Light J"/>
          <w:color w:val="000000"/>
        </w:rPr>
        <w:t>Woj.Kuj</w:t>
      </w:r>
      <w:proofErr w:type="spellEnd"/>
      <w:r w:rsidR="004B7975">
        <w:rPr>
          <w:rFonts w:eastAsia="HG Mincho Light J"/>
          <w:color w:val="000000"/>
        </w:rPr>
        <w:t>.-Pom. z 2015</w:t>
      </w:r>
      <w:r w:rsidR="0002251C">
        <w:rPr>
          <w:rFonts w:eastAsia="HG Mincho Light J"/>
          <w:color w:val="000000"/>
        </w:rPr>
        <w:t xml:space="preserve"> </w:t>
      </w:r>
      <w:r w:rsidR="004B7975">
        <w:rPr>
          <w:rFonts w:eastAsia="HG Mincho Light J"/>
          <w:color w:val="000000"/>
        </w:rPr>
        <w:t xml:space="preserve">r. poz. 4759 z </w:t>
      </w:r>
      <w:proofErr w:type="spellStart"/>
      <w:r w:rsidR="004B7975">
        <w:rPr>
          <w:rFonts w:eastAsia="HG Mincho Light J"/>
          <w:color w:val="000000"/>
        </w:rPr>
        <w:t>późn</w:t>
      </w:r>
      <w:proofErr w:type="spellEnd"/>
      <w:r w:rsidR="004B7975">
        <w:rPr>
          <w:rFonts w:eastAsia="HG Mincho Light J"/>
          <w:color w:val="000000"/>
        </w:rPr>
        <w:t xml:space="preserve"> zm</w:t>
      </w:r>
      <w:r w:rsidR="004B7975">
        <w:rPr>
          <w:rFonts w:eastAsia="HG Mincho Light J"/>
          <w:color w:val="000000"/>
          <w:vertAlign w:val="superscript"/>
        </w:rPr>
        <w:t>2)</w:t>
      </w:r>
      <w:r w:rsidR="00CD5283">
        <w:rPr>
          <w:rFonts w:eastAsia="HG Mincho Light J"/>
          <w:color w:val="000000"/>
        </w:rPr>
        <w:t xml:space="preserve">, </w:t>
      </w:r>
      <w:r>
        <w:rPr>
          <w:rFonts w:eastAsia="HG Mincho Light J"/>
          <w:color w:val="000000"/>
        </w:rPr>
        <w:t>zarządza się, co następuje:</w:t>
      </w:r>
    </w:p>
    <w:p w:rsidR="00490D91" w:rsidRDefault="00490D91" w:rsidP="00490D91">
      <w:pPr>
        <w:spacing w:line="360" w:lineRule="auto"/>
        <w:jc w:val="both"/>
        <w:rPr>
          <w:rFonts w:eastAsia="Times New Roman"/>
          <w:b/>
          <w:sz w:val="22"/>
          <w:szCs w:val="22"/>
        </w:rPr>
      </w:pPr>
    </w:p>
    <w:p w:rsidR="00490D91" w:rsidRDefault="00490D91" w:rsidP="00490D91">
      <w:pPr>
        <w:tabs>
          <w:tab w:val="left" w:pos="283"/>
        </w:tabs>
        <w:spacing w:line="276" w:lineRule="auto"/>
        <w:jc w:val="both"/>
      </w:pPr>
      <w:r>
        <w:rPr>
          <w:rFonts w:eastAsia="Times New Roman"/>
          <w:b/>
        </w:rPr>
        <w:tab/>
        <w:t>§1.</w:t>
      </w:r>
      <w:r>
        <w:rPr>
          <w:rFonts w:eastAsia="Times New Roman"/>
        </w:rPr>
        <w:t xml:space="preserve"> Powołać Komisję do przeprowadzenia I ustnych przetargów nieograniczonych na sprzedaż nieruchomości gruntowych, niezabu</w:t>
      </w:r>
      <w:r w:rsidR="009464D3">
        <w:rPr>
          <w:rFonts w:eastAsia="Times New Roman"/>
        </w:rPr>
        <w:t>dowanych, położonych w Toruniu przy ul.</w:t>
      </w:r>
      <w:r>
        <w:rPr>
          <w:rFonts w:eastAsia="Times New Roman"/>
        </w:rPr>
        <w:t xml:space="preserve"> Szosa Bydgoska</w:t>
      </w:r>
      <w:r w:rsidR="009464D3">
        <w:rPr>
          <w:rFonts w:eastAsia="Times New Roman"/>
        </w:rPr>
        <w:t xml:space="preserve"> 76-80</w:t>
      </w:r>
      <w:r>
        <w:rPr>
          <w:rFonts w:eastAsia="Times New Roman"/>
        </w:rPr>
        <w:t xml:space="preserve"> i </w:t>
      </w:r>
      <w:r w:rsidR="009464D3">
        <w:rPr>
          <w:rFonts w:eastAsia="Times New Roman"/>
        </w:rPr>
        <w:t xml:space="preserve">ul. </w:t>
      </w:r>
      <w:r>
        <w:rPr>
          <w:rFonts w:eastAsia="Times New Roman"/>
        </w:rPr>
        <w:t xml:space="preserve">Pera </w:t>
      </w:r>
      <w:proofErr w:type="spellStart"/>
      <w:r>
        <w:rPr>
          <w:rFonts w:eastAsia="Times New Roman"/>
        </w:rPr>
        <w:t>Jonssona</w:t>
      </w:r>
      <w:proofErr w:type="spellEnd"/>
      <w:r w:rsidR="009464D3">
        <w:rPr>
          <w:rFonts w:eastAsia="Times New Roman"/>
        </w:rPr>
        <w:t xml:space="preserve"> 4</w:t>
      </w:r>
      <w:r>
        <w:rPr>
          <w:rFonts w:eastAsia="Times New Roman"/>
          <w:lang w:bidi="pl-PL"/>
        </w:rPr>
        <w:t>,</w:t>
      </w:r>
      <w:r>
        <w:rPr>
          <w:rFonts w:eastAsia="Times New Roman"/>
        </w:rPr>
        <w:t xml:space="preserve"> w następującym składzie:</w:t>
      </w:r>
    </w:p>
    <w:p w:rsidR="00490D91" w:rsidRDefault="00490D91" w:rsidP="00490D91">
      <w:pPr>
        <w:tabs>
          <w:tab w:val="left" w:pos="283"/>
        </w:tabs>
        <w:spacing w:line="276" w:lineRule="auto"/>
        <w:jc w:val="both"/>
        <w:rPr>
          <w:rFonts w:eastAsia="Times New Roman"/>
        </w:rPr>
      </w:pPr>
    </w:p>
    <w:p w:rsidR="00490D91" w:rsidRDefault="00490D91" w:rsidP="00490D91">
      <w:pPr>
        <w:pStyle w:val="Tekstpodstawowy21"/>
        <w:spacing w:line="276" w:lineRule="auto"/>
        <w:ind w:left="141"/>
        <w:rPr>
          <w:rFonts w:eastAsia="Times New Roman"/>
        </w:rPr>
      </w:pPr>
      <w:r>
        <w:rPr>
          <w:rFonts w:eastAsia="Times New Roman"/>
        </w:rPr>
        <w:t xml:space="preserve">    1)   Przewodniczący Komisji  - Iwona Więckowska;</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490D91" w:rsidRDefault="00490D91" w:rsidP="00490D91">
      <w:pPr>
        <w:spacing w:line="276" w:lineRule="auto"/>
        <w:ind w:firstLine="340"/>
        <w:jc w:val="both"/>
        <w:rPr>
          <w:rFonts w:eastAsia="Times New Roman"/>
          <w:b/>
        </w:rPr>
      </w:pPr>
    </w:p>
    <w:p w:rsidR="00490D91" w:rsidRDefault="00490D91" w:rsidP="00490D91">
      <w:pPr>
        <w:spacing w:line="276" w:lineRule="auto"/>
        <w:ind w:firstLine="340"/>
        <w:jc w:val="both"/>
      </w:pPr>
      <w:r>
        <w:rPr>
          <w:rFonts w:eastAsia="Times New Roman"/>
          <w:b/>
        </w:rPr>
        <w:t xml:space="preserve">§2. </w:t>
      </w:r>
      <w:r>
        <w:rPr>
          <w:rFonts w:eastAsia="Times New Roman"/>
        </w:rPr>
        <w:t>Komisja przeprowadzi przetargi zgodnie z Regulaminem, stanowiącym załącznik do niniejszego Zarządzenia.</w:t>
      </w:r>
    </w:p>
    <w:p w:rsidR="00490D91" w:rsidRDefault="00490D91" w:rsidP="00490D91">
      <w:pPr>
        <w:spacing w:line="276" w:lineRule="auto"/>
        <w:jc w:val="both"/>
        <w:rPr>
          <w:rFonts w:eastAsia="Times New Roman"/>
        </w:rPr>
      </w:pPr>
    </w:p>
    <w:p w:rsidR="00490D91" w:rsidRDefault="00490D91" w:rsidP="00490D91">
      <w:pPr>
        <w:spacing w:line="276" w:lineRule="auto"/>
        <w:ind w:firstLine="340"/>
        <w:jc w:val="both"/>
      </w:pPr>
      <w:r>
        <w:rPr>
          <w:rFonts w:eastAsia="Times New Roman"/>
          <w:b/>
          <w:bCs/>
        </w:rPr>
        <w:t>§3</w:t>
      </w:r>
      <w:r>
        <w:rPr>
          <w:rFonts w:eastAsia="Times New Roman"/>
          <w:b/>
        </w:rPr>
        <w:t xml:space="preserve">. </w:t>
      </w:r>
      <w:r>
        <w:rPr>
          <w:rFonts w:eastAsia="Times New Roman"/>
        </w:rPr>
        <w:t>Przetargi odbędą się w</w:t>
      </w:r>
      <w:r>
        <w:rPr>
          <w:rFonts w:eastAsia="Times New Roman"/>
          <w:b/>
        </w:rPr>
        <w:t xml:space="preserve"> </w:t>
      </w:r>
      <w:r>
        <w:rPr>
          <w:rFonts w:eastAsia="Times New Roman"/>
        </w:rPr>
        <w:t>Wydzia</w:t>
      </w:r>
      <w:r w:rsidR="0002251C">
        <w:rPr>
          <w:rFonts w:eastAsia="Times New Roman"/>
        </w:rPr>
        <w:t>le</w:t>
      </w:r>
      <w:r>
        <w:rPr>
          <w:rFonts w:eastAsia="Times New Roman"/>
        </w:rPr>
        <w:t xml:space="preserve"> Gospodarki Nieruchomościami Urzędu Miasta Torunia, przy ul. Grudziądzkiej 126 b, w sali konferencyjnej na I piętrze (s. 115).</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§4. </w:t>
      </w:r>
      <w:r>
        <w:rPr>
          <w:rFonts w:eastAsia="Times New Roman"/>
        </w:rPr>
        <w:t>Wykonanie Zarządzenia powierza się Dyrektorowi Wydziału Gospodarki Nieruchomościami.</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§5. </w:t>
      </w:r>
      <w:r>
        <w:rPr>
          <w:rFonts w:eastAsia="Times New Roman"/>
        </w:rPr>
        <w:t>Zarządzenie wchodzi w życie z dniem podjęcia.</w:t>
      </w:r>
    </w:p>
    <w:p w:rsidR="00490D91" w:rsidRDefault="00490D91" w:rsidP="00490D91">
      <w:pPr>
        <w:spacing w:line="276" w:lineRule="auto"/>
        <w:rPr>
          <w:rFonts w:eastAsia="Times New Roman"/>
        </w:rPr>
      </w:pPr>
    </w:p>
    <w:p w:rsidR="00490D91" w:rsidRDefault="00490D91" w:rsidP="00490D91">
      <w:pPr>
        <w:spacing w:line="276" w:lineRule="auto"/>
        <w:rPr>
          <w:rFonts w:eastAsia="Times New Roman"/>
        </w:rPr>
      </w:pPr>
    </w:p>
    <w:p w:rsidR="0079455F" w:rsidRDefault="0079455F" w:rsidP="00490D91">
      <w:pPr>
        <w:spacing w:line="276" w:lineRule="auto"/>
        <w:rPr>
          <w:rFonts w:eastAsia="Times New Roman"/>
        </w:rPr>
      </w:pPr>
    </w:p>
    <w:p w:rsidR="0079455F" w:rsidRDefault="0079455F" w:rsidP="00490D91">
      <w:pPr>
        <w:spacing w:line="276" w:lineRule="auto"/>
        <w:rPr>
          <w:rFonts w:eastAsia="Times New Roman"/>
        </w:rPr>
      </w:pPr>
    </w:p>
    <w:p w:rsidR="00490D91" w:rsidRDefault="00490D91" w:rsidP="00490D91">
      <w:pPr>
        <w:spacing w:line="276" w:lineRule="auto"/>
        <w:rPr>
          <w:rFonts w:eastAsia="Times New Roman"/>
        </w:rPr>
      </w:pPr>
      <w:r>
        <w:rPr>
          <w:rFonts w:eastAsia="Times New Roman"/>
        </w:rPr>
        <w:t xml:space="preserve">                          </w:t>
      </w:r>
      <w:r>
        <w:rPr>
          <w:rFonts w:eastAsia="Times New Roman"/>
        </w:rPr>
        <w:tab/>
      </w:r>
    </w:p>
    <w:p w:rsidR="0079455F" w:rsidRDefault="0079455F" w:rsidP="0079455F">
      <w:pPr>
        <w:pStyle w:val="Tekstpodstawowy"/>
      </w:pPr>
      <w:r>
        <w:rPr>
          <w:vertAlign w:val="superscript"/>
        </w:rPr>
        <w:t>-------------------------------------------------------------------------------------------------------------------------------------------------------------------------</w:t>
      </w:r>
    </w:p>
    <w:p w:rsidR="009464D3" w:rsidRDefault="009464D3" w:rsidP="009464D3">
      <w:pPr>
        <w:pStyle w:val="Akapitzlist"/>
        <w:numPr>
          <w:ilvl w:val="0"/>
          <w:numId w:val="5"/>
        </w:numPr>
        <w:autoSpaceDN w:val="0"/>
        <w:jc w:val="both"/>
        <w:textAlignment w:val="top"/>
      </w:pPr>
      <w:r>
        <w:t xml:space="preserve">Zmiany tekstu jednolitego wymienionej ustawy zostały ogłoszone w </w:t>
      </w:r>
      <w:r>
        <w:rPr>
          <w:color w:val="000000"/>
        </w:rPr>
        <w:t xml:space="preserve">Dz. U. </w:t>
      </w:r>
      <w:r>
        <w:t xml:space="preserve"> z  2022 r. poz. 583, poz. 1005</w:t>
      </w:r>
      <w:r w:rsidR="0070724A">
        <w:t>,</w:t>
      </w:r>
      <w:r>
        <w:t xml:space="preserve"> poz. 1079</w:t>
      </w:r>
      <w:r w:rsidR="0070724A">
        <w:t xml:space="preserve"> oraz poz. 1561</w:t>
      </w:r>
      <w:r>
        <w:t xml:space="preserve">,                                                                                   </w:t>
      </w:r>
    </w:p>
    <w:p w:rsidR="004B7975" w:rsidRDefault="004B7975" w:rsidP="004B7975">
      <w:pPr>
        <w:pStyle w:val="Akapitzlist1"/>
        <w:numPr>
          <w:ilvl w:val="0"/>
          <w:numId w:val="5"/>
        </w:numPr>
        <w:jc w:val="both"/>
      </w:pPr>
      <w:r>
        <w:t>Zmiany tekstu jednolitego wymienionej uchwały zostały ogłoszone w Dz. U</w:t>
      </w:r>
      <w:r w:rsidR="000A62E9">
        <w:t>rz</w:t>
      </w:r>
      <w:r>
        <w:t>. Woj. Kuj.-Pom. z 2020</w:t>
      </w:r>
      <w:r w:rsidR="0002251C">
        <w:t xml:space="preserve"> </w:t>
      </w:r>
      <w:r>
        <w:t>r. poz. 5133.</w:t>
      </w:r>
    </w:p>
    <w:p w:rsidR="00490D91" w:rsidRPr="00F774DC" w:rsidRDefault="0079455F" w:rsidP="009464D3">
      <w:pPr>
        <w:pStyle w:val="Akapitzlist1"/>
        <w:ind w:left="5245"/>
        <w:jc w:val="both"/>
        <w:rPr>
          <w:sz w:val="24"/>
          <w:szCs w:val="24"/>
        </w:rPr>
      </w:pPr>
      <w:r w:rsidRPr="00AF669E">
        <w:lastRenderedPageBreak/>
        <w:t xml:space="preserve">                                                     </w:t>
      </w:r>
      <w:r w:rsidR="00F774DC">
        <w:t xml:space="preserve">                             </w:t>
      </w:r>
      <w:r w:rsidR="004B7975">
        <w:t xml:space="preserve">                                                                                                       </w:t>
      </w:r>
      <w:r w:rsidR="00F774DC">
        <w:t xml:space="preserve">  </w:t>
      </w:r>
      <w:r w:rsidR="004B7975">
        <w:t xml:space="preserve">                               </w:t>
      </w:r>
      <w:r w:rsidR="00490D91" w:rsidRPr="00F774DC">
        <w:rPr>
          <w:sz w:val="24"/>
          <w:szCs w:val="24"/>
        </w:rPr>
        <w:t xml:space="preserve">Załącznik do Zarządzenia Nr  </w:t>
      </w:r>
      <w:r w:rsidR="00A06257">
        <w:rPr>
          <w:sz w:val="24"/>
          <w:szCs w:val="24"/>
        </w:rPr>
        <w:t>388</w:t>
      </w:r>
    </w:p>
    <w:p w:rsidR="00490D91" w:rsidRDefault="00490D91" w:rsidP="00490D9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Prezydenta Miasta Torunia</w:t>
      </w:r>
    </w:p>
    <w:p w:rsidR="00490D91" w:rsidRDefault="00490D91" w:rsidP="00490D9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 xml:space="preserve">           z dnia </w:t>
      </w:r>
      <w:r w:rsidR="00A06257">
        <w:rPr>
          <w:rFonts w:eastAsia="Times New Roman"/>
        </w:rPr>
        <w:t>30.11.2022r.</w:t>
      </w:r>
      <w:bookmarkStart w:id="0" w:name="_GoBack"/>
      <w:bookmarkEnd w:id="0"/>
    </w:p>
    <w:p w:rsidR="00490D91" w:rsidRDefault="00490D91" w:rsidP="00490D91">
      <w:pPr>
        <w:pStyle w:val="Tekstpodstawowy2"/>
        <w:spacing w:line="360" w:lineRule="auto"/>
        <w:jc w:val="center"/>
        <w:rPr>
          <w:rFonts w:eastAsia="Times New Roman"/>
          <w:b/>
        </w:rPr>
      </w:pPr>
      <w:r>
        <w:rPr>
          <w:rFonts w:eastAsia="Times New Roman"/>
          <w:b/>
        </w:rPr>
        <w:t>REGULAMIN  I</w:t>
      </w:r>
      <w:r w:rsidR="0070724A">
        <w:rPr>
          <w:rFonts w:eastAsia="Times New Roman"/>
          <w:b/>
        </w:rPr>
        <w:t>I</w:t>
      </w:r>
      <w:r>
        <w:rPr>
          <w:rFonts w:eastAsia="Times New Roman"/>
          <w:b/>
        </w:rPr>
        <w:t xml:space="preserve">  PRZETARGÓW</w:t>
      </w:r>
    </w:p>
    <w:p w:rsidR="00490D91" w:rsidRDefault="00490D91" w:rsidP="00490D91">
      <w:pPr>
        <w:ind w:firstLine="567"/>
        <w:jc w:val="both"/>
      </w:pPr>
      <w:r>
        <w:rPr>
          <w:rFonts w:eastAsia="Times New Roman"/>
        </w:rPr>
        <w:t>§1.1. Przetargi organizuje i przeprowadza Prezydent Miasta Torunia na zasadach ogólnych określonych w ustawie z dnia 21 sierpnia 1997r. o gospodarce nieruchomościami oraz w rozporządzeniu Rady Ministrów z dnia 14 września 2004 r. w sprawie sposobu i trybu przeprowadzania przetargów oraz rokowań na zbycie nieruchomości oraz na podstawie u</w:t>
      </w:r>
      <w:r>
        <w:rPr>
          <w:rFonts w:eastAsia="HG Mincho Light J"/>
          <w:color w:val="000000"/>
        </w:rPr>
        <w:t xml:space="preserve">chwały nr 894/18 z 19 lipca 2018r.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Pr>
          <w:rFonts w:eastAsia="Times New Roman"/>
        </w:rPr>
        <w:t>oraz niniejszego regulaminu.</w:t>
      </w:r>
    </w:p>
    <w:p w:rsidR="00490D91" w:rsidRDefault="00490D91" w:rsidP="00490D9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490D91" w:rsidRDefault="00490D91" w:rsidP="00490D91">
      <w:pPr>
        <w:pStyle w:val="Tekstpodstawowy"/>
        <w:tabs>
          <w:tab w:val="left" w:pos="55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§2.1. Komisja przeprowadzi przetargi w dniu</w:t>
      </w:r>
      <w:r>
        <w:rPr>
          <w:rFonts w:eastAsia="Times New Roman"/>
          <w:b/>
          <w:bCs/>
        </w:rPr>
        <w:t xml:space="preserve"> </w:t>
      </w:r>
      <w:r w:rsidR="00B070FC">
        <w:rPr>
          <w:rFonts w:eastAsia="Times New Roman"/>
          <w:b/>
          <w:bCs/>
        </w:rPr>
        <w:t>14</w:t>
      </w:r>
      <w:r>
        <w:rPr>
          <w:rFonts w:eastAsia="Times New Roman"/>
          <w:b/>
          <w:bCs/>
        </w:rPr>
        <w:t xml:space="preserve"> </w:t>
      </w:r>
      <w:r w:rsidR="00CC366C">
        <w:rPr>
          <w:rFonts w:eastAsia="Times New Roman"/>
          <w:b/>
          <w:bCs/>
        </w:rPr>
        <w:t>lutego</w:t>
      </w:r>
      <w:r>
        <w:rPr>
          <w:rFonts w:eastAsia="Times New Roman"/>
          <w:b/>
          <w:bCs/>
        </w:rPr>
        <w:t xml:space="preserve"> 202</w:t>
      </w:r>
      <w:r w:rsidR="0070724A">
        <w:rPr>
          <w:rFonts w:eastAsia="Times New Roman"/>
          <w:b/>
          <w:bCs/>
        </w:rPr>
        <w:t>3</w:t>
      </w:r>
      <w:r>
        <w:rPr>
          <w:rFonts w:eastAsia="Times New Roman"/>
          <w:b/>
          <w:bCs/>
        </w:rPr>
        <w:t>r.,</w:t>
      </w:r>
      <w:r>
        <w:rPr>
          <w:rFonts w:eastAsia="Times New Roman"/>
        </w:rPr>
        <w:t xml:space="preserve">  począwszy od godz.</w:t>
      </w:r>
      <w:r>
        <w:rPr>
          <w:rFonts w:eastAsia="Times New Roman"/>
          <w:b/>
        </w:rPr>
        <w:t xml:space="preserve"> 10</w:t>
      </w:r>
      <w:r>
        <w:rPr>
          <w:rFonts w:eastAsia="Times New Roman"/>
          <w:b/>
          <w:bCs/>
          <w:vertAlign w:val="superscript"/>
        </w:rPr>
        <w:t>00</w:t>
      </w:r>
      <w:r>
        <w:rPr>
          <w:rFonts w:eastAsia="Times New Roman"/>
        </w:rPr>
        <w:t xml:space="preserve">, w </w:t>
      </w:r>
      <w:r>
        <w:t xml:space="preserve"> kolejności wskazanej w § 5 ust. 1.</w:t>
      </w:r>
    </w:p>
    <w:p w:rsidR="00490D91" w:rsidRPr="001E5A87" w:rsidRDefault="00490D91" w:rsidP="001E5A87">
      <w:pPr>
        <w:pStyle w:val="Tekstpodstawowy"/>
        <w:tabs>
          <w:tab w:val="left" w:pos="424"/>
        </w:tabs>
        <w:spacing w:after="0"/>
        <w:ind w:firstLine="567"/>
        <w:jc w:val="both"/>
        <w:rPr>
          <w:rFonts w:eastAsia="Times New Roman"/>
        </w:rPr>
      </w:pPr>
      <w:r>
        <w:rPr>
          <w:rFonts w:eastAsia="Times New Roman"/>
        </w:rPr>
        <w:t>2. Przedmiotem przetargów są następujące nieruchomości gruntowe, położone</w:t>
      </w:r>
      <w:r>
        <w:rPr>
          <w:rFonts w:eastAsia="Times New Roman"/>
        </w:rPr>
        <w:br/>
        <w:t>w Toruniu:</w:t>
      </w:r>
    </w:p>
    <w:tbl>
      <w:tblPr>
        <w:tblpPr w:leftFromText="141" w:rightFromText="141" w:vertAnchor="text" w:horzAnchor="margin" w:tblpXSpec="center" w:tblpY="74"/>
        <w:tblW w:w="10471" w:type="dxa"/>
        <w:tblLayout w:type="fixed"/>
        <w:tblCellMar>
          <w:left w:w="70" w:type="dxa"/>
          <w:right w:w="70" w:type="dxa"/>
        </w:tblCellMar>
        <w:tblLook w:val="04A0" w:firstRow="1" w:lastRow="0" w:firstColumn="1" w:lastColumn="0" w:noHBand="0" w:noVBand="1"/>
      </w:tblPr>
      <w:tblGrid>
        <w:gridCol w:w="2046"/>
        <w:gridCol w:w="1633"/>
        <w:gridCol w:w="1275"/>
        <w:gridCol w:w="2409"/>
        <w:gridCol w:w="3108"/>
      </w:tblGrid>
      <w:tr w:rsidR="00AD0A84" w:rsidTr="00AD0A84">
        <w:trPr>
          <w:trHeight w:val="362"/>
        </w:trPr>
        <w:tc>
          <w:tcPr>
            <w:tcW w:w="2046" w:type="dxa"/>
            <w:tcBorders>
              <w:top w:val="single" w:sz="4" w:space="0" w:color="000000"/>
              <w:left w:val="single" w:sz="4" w:space="0" w:color="000000"/>
              <w:bottom w:val="single" w:sz="4" w:space="0" w:color="000000"/>
              <w:right w:val="nil"/>
            </w:tcBorders>
          </w:tcPr>
          <w:p w:rsidR="00AD0A84" w:rsidRDefault="00AD0A84" w:rsidP="001E5A87">
            <w:pPr>
              <w:pStyle w:val="WW-Zawartotabeli11"/>
              <w:snapToGrid w:val="0"/>
              <w:spacing w:line="240" w:lineRule="auto"/>
              <w:rPr>
                <w:sz w:val="22"/>
                <w:szCs w:val="22"/>
                <w:lang w:eastAsia="en-US"/>
              </w:rPr>
            </w:pPr>
            <w:r>
              <w:rPr>
                <w:sz w:val="22"/>
                <w:szCs w:val="22"/>
                <w:lang w:eastAsia="en-US"/>
              </w:rPr>
              <w:t>Położenie</w:t>
            </w:r>
          </w:p>
          <w:p w:rsidR="00AD0A84" w:rsidRDefault="00AD0A84" w:rsidP="001E5A87">
            <w:pPr>
              <w:pStyle w:val="WW-Zawartotabeli11"/>
              <w:spacing w:line="240" w:lineRule="auto"/>
              <w:rPr>
                <w:sz w:val="22"/>
                <w:szCs w:val="22"/>
                <w:lang w:eastAsia="en-US"/>
              </w:rPr>
            </w:pPr>
          </w:p>
        </w:tc>
        <w:tc>
          <w:tcPr>
            <w:tcW w:w="1633" w:type="dxa"/>
            <w:tcBorders>
              <w:top w:val="single" w:sz="4" w:space="0" w:color="000000"/>
              <w:left w:val="single" w:sz="4" w:space="0" w:color="000000"/>
              <w:bottom w:val="single" w:sz="4" w:space="0" w:color="000000"/>
              <w:right w:val="nil"/>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działki/użytek</w:t>
            </w:r>
          </w:p>
        </w:tc>
        <w:tc>
          <w:tcPr>
            <w:tcW w:w="1275"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Pow. ha</w:t>
            </w:r>
          </w:p>
        </w:tc>
        <w:tc>
          <w:tcPr>
            <w:tcW w:w="2409"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księgi wieczystej</w:t>
            </w:r>
          </w:p>
        </w:tc>
        <w:tc>
          <w:tcPr>
            <w:tcW w:w="3108" w:type="dxa"/>
            <w:tcBorders>
              <w:top w:val="single" w:sz="4" w:space="0" w:color="000000"/>
              <w:left w:val="single" w:sz="4" w:space="0" w:color="000000"/>
              <w:bottom w:val="single" w:sz="4" w:space="0" w:color="000000"/>
              <w:right w:val="single" w:sz="4" w:space="0" w:color="auto"/>
            </w:tcBorders>
            <w:hideMark/>
          </w:tcPr>
          <w:p w:rsidR="00AD0A84" w:rsidRDefault="00AD0A84" w:rsidP="001E5A87">
            <w:pPr>
              <w:pStyle w:val="Tekstpodstawowy31"/>
              <w:snapToGrid w:val="0"/>
              <w:jc w:val="center"/>
              <w:rPr>
                <w:rFonts w:eastAsia="Times New Roman"/>
                <w:sz w:val="22"/>
                <w:szCs w:val="22"/>
                <w:lang w:eastAsia="en-US"/>
              </w:rPr>
            </w:pPr>
            <w:r>
              <w:rPr>
                <w:rFonts w:eastAsia="Times New Roman"/>
                <w:sz w:val="22"/>
                <w:szCs w:val="22"/>
                <w:lang w:eastAsia="en-US"/>
              </w:rPr>
              <w:t>przeznaczenie</w:t>
            </w:r>
          </w:p>
        </w:tc>
      </w:tr>
      <w:tr w:rsidR="00AD0A84" w:rsidTr="00AD0A84">
        <w:trPr>
          <w:trHeight w:val="362"/>
        </w:trPr>
        <w:tc>
          <w:tcPr>
            <w:tcW w:w="2046" w:type="dxa"/>
            <w:tcBorders>
              <w:top w:val="single" w:sz="4" w:space="0" w:color="000000"/>
              <w:left w:val="single" w:sz="4" w:space="0" w:color="000000"/>
              <w:bottom w:val="single" w:sz="4" w:space="0" w:color="000000"/>
              <w:right w:val="nil"/>
            </w:tcBorders>
          </w:tcPr>
          <w:p w:rsidR="00AD0A84" w:rsidRDefault="00AD0A84" w:rsidP="001E5A87">
            <w:pPr>
              <w:suppressAutoHyphens w:val="0"/>
              <w:rPr>
                <w:sz w:val="22"/>
                <w:szCs w:val="22"/>
                <w:lang w:eastAsia="en-US"/>
              </w:rPr>
            </w:pPr>
            <w:r>
              <w:rPr>
                <w:sz w:val="22"/>
                <w:szCs w:val="22"/>
                <w:lang w:eastAsia="en-US"/>
              </w:rPr>
              <w:t xml:space="preserve">ul. Pera </w:t>
            </w:r>
            <w:proofErr w:type="spellStart"/>
            <w:r>
              <w:rPr>
                <w:sz w:val="22"/>
                <w:szCs w:val="22"/>
                <w:lang w:eastAsia="en-US"/>
              </w:rPr>
              <w:t>Jonssona</w:t>
            </w:r>
            <w:proofErr w:type="spellEnd"/>
            <w:r>
              <w:rPr>
                <w:sz w:val="22"/>
                <w:szCs w:val="22"/>
                <w:lang w:eastAsia="en-US"/>
              </w:rPr>
              <w:t xml:space="preserve"> 4</w:t>
            </w:r>
          </w:p>
          <w:p w:rsidR="00AD0A84" w:rsidRDefault="00AD0A84" w:rsidP="001E5A87">
            <w:pPr>
              <w:suppressAutoHyphens w:val="0"/>
              <w:rPr>
                <w:sz w:val="22"/>
                <w:szCs w:val="22"/>
                <w:lang w:eastAsia="en-US"/>
              </w:rPr>
            </w:pPr>
            <w:r>
              <w:rPr>
                <w:sz w:val="22"/>
                <w:szCs w:val="22"/>
                <w:lang w:eastAsia="en-US"/>
              </w:rPr>
              <w:t>- kompleks nr 1</w:t>
            </w:r>
          </w:p>
        </w:tc>
        <w:tc>
          <w:tcPr>
            <w:tcW w:w="1633" w:type="dxa"/>
            <w:tcBorders>
              <w:top w:val="single" w:sz="4" w:space="0" w:color="000000"/>
              <w:left w:val="single" w:sz="4" w:space="0" w:color="000000"/>
              <w:bottom w:val="single" w:sz="4" w:space="0" w:color="000000"/>
              <w:right w:val="nil"/>
            </w:tcBorders>
          </w:tcPr>
          <w:p w:rsidR="00AD0A84" w:rsidRDefault="00AD0A84" w:rsidP="001E5A87">
            <w:pPr>
              <w:jc w:val="center"/>
              <w:rPr>
                <w:sz w:val="22"/>
                <w:szCs w:val="22"/>
                <w:lang w:eastAsia="en-US"/>
              </w:rPr>
            </w:pPr>
            <w:r>
              <w:rPr>
                <w:sz w:val="22"/>
                <w:szCs w:val="22"/>
                <w:lang w:eastAsia="en-US"/>
              </w:rPr>
              <w:t>35/15 (Bp), obręb 23</w:t>
            </w:r>
          </w:p>
        </w:tc>
        <w:tc>
          <w:tcPr>
            <w:tcW w:w="1275" w:type="dxa"/>
            <w:tcBorders>
              <w:top w:val="single" w:sz="4" w:space="0" w:color="000000"/>
              <w:left w:val="single" w:sz="4" w:space="0" w:color="000000"/>
              <w:bottom w:val="single" w:sz="4" w:space="0" w:color="000000"/>
              <w:right w:val="single" w:sz="4" w:space="0" w:color="000000"/>
            </w:tcBorders>
          </w:tcPr>
          <w:p w:rsidR="00AD0A84" w:rsidRDefault="00AD0A84" w:rsidP="001E5A87">
            <w:pPr>
              <w:pStyle w:val="Zawartotabeli"/>
              <w:jc w:val="right"/>
              <w:rPr>
                <w:sz w:val="22"/>
                <w:szCs w:val="22"/>
                <w:lang w:eastAsia="en-US"/>
              </w:rPr>
            </w:pPr>
            <w:r>
              <w:rPr>
                <w:sz w:val="22"/>
                <w:szCs w:val="22"/>
                <w:lang w:eastAsia="en-US"/>
              </w:rPr>
              <w:t>0,3179</w:t>
            </w:r>
          </w:p>
        </w:tc>
        <w:tc>
          <w:tcPr>
            <w:tcW w:w="2409" w:type="dxa"/>
            <w:tcBorders>
              <w:top w:val="single" w:sz="4" w:space="0" w:color="000000"/>
              <w:left w:val="single" w:sz="4" w:space="0" w:color="000000"/>
              <w:bottom w:val="single" w:sz="4" w:space="0" w:color="000000"/>
              <w:right w:val="single" w:sz="4" w:space="0" w:color="000000"/>
            </w:tcBorders>
          </w:tcPr>
          <w:p w:rsidR="00AD0A84" w:rsidRDefault="00AD0A84" w:rsidP="001E5A87">
            <w:pPr>
              <w:jc w:val="both"/>
              <w:rPr>
                <w:sz w:val="22"/>
                <w:szCs w:val="22"/>
                <w:lang w:eastAsia="en-US"/>
              </w:rPr>
            </w:pPr>
            <w:r>
              <w:rPr>
                <w:sz w:val="22"/>
                <w:szCs w:val="22"/>
                <w:lang w:eastAsia="en-US"/>
              </w:rPr>
              <w:t>TO1T/00035395/9</w:t>
            </w:r>
          </w:p>
        </w:tc>
        <w:tc>
          <w:tcPr>
            <w:tcW w:w="3108" w:type="dxa"/>
            <w:tcBorders>
              <w:top w:val="single" w:sz="4" w:space="0" w:color="000000"/>
              <w:left w:val="single" w:sz="4" w:space="0" w:color="000000"/>
              <w:bottom w:val="single" w:sz="4" w:space="0" w:color="000000"/>
              <w:right w:val="single" w:sz="4" w:space="0" w:color="auto"/>
            </w:tcBorders>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r w:rsidR="00947329">
              <w:rPr>
                <w:sz w:val="22"/>
                <w:szCs w:val="22"/>
                <w:lang w:eastAsia="en-US"/>
              </w:rPr>
              <w:t>,</w:t>
            </w:r>
          </w:p>
          <w:p w:rsidR="00947329" w:rsidRDefault="00947329" w:rsidP="001E5A87">
            <w:pPr>
              <w:pStyle w:val="NormalnyWeb"/>
              <w:spacing w:before="0" w:beforeAutospacing="0" w:after="0" w:line="240" w:lineRule="auto"/>
              <w:rPr>
                <w:sz w:val="22"/>
                <w:szCs w:val="22"/>
                <w:lang w:eastAsia="en-US"/>
              </w:rPr>
            </w:pPr>
            <w:r>
              <w:rPr>
                <w:sz w:val="22"/>
                <w:szCs w:val="22"/>
                <w:lang w:eastAsia="en-US"/>
              </w:rPr>
              <w:t>fragment działki nr 35</w:t>
            </w:r>
            <w:r w:rsidR="00FA56DA">
              <w:rPr>
                <w:sz w:val="22"/>
                <w:szCs w:val="22"/>
                <w:lang w:eastAsia="en-US"/>
              </w:rPr>
              <w:t>/15</w:t>
            </w:r>
            <w:r>
              <w:rPr>
                <w:sz w:val="22"/>
                <w:szCs w:val="22"/>
                <w:lang w:eastAsia="en-US"/>
              </w:rPr>
              <w:t xml:space="preserve"> o pow. ca 7 m</w:t>
            </w:r>
            <w:r w:rsidRPr="00947329">
              <w:rPr>
                <w:sz w:val="22"/>
                <w:szCs w:val="22"/>
                <w:vertAlign w:val="superscript"/>
                <w:lang w:eastAsia="en-US"/>
              </w:rPr>
              <w:t>2</w:t>
            </w:r>
            <w:r>
              <w:rPr>
                <w:sz w:val="22"/>
                <w:szCs w:val="22"/>
                <w:lang w:eastAsia="en-US"/>
              </w:rPr>
              <w:t xml:space="preserve"> – 94.01-KD(L)1 – komunikacja – droga publiczna – ulica lokalna</w:t>
            </w:r>
          </w:p>
        </w:tc>
      </w:tr>
      <w:tr w:rsidR="00AD0A84" w:rsidTr="00AD0A84">
        <w:trPr>
          <w:trHeight w:val="325"/>
        </w:trPr>
        <w:tc>
          <w:tcPr>
            <w:tcW w:w="2046" w:type="dxa"/>
            <w:tcBorders>
              <w:top w:val="single" w:sz="4" w:space="0" w:color="auto"/>
              <w:left w:val="single" w:sz="4" w:space="0" w:color="auto"/>
              <w:bottom w:val="single" w:sz="4" w:space="0" w:color="auto"/>
              <w:right w:val="single" w:sz="4" w:space="0" w:color="auto"/>
            </w:tcBorders>
            <w:hideMark/>
          </w:tcPr>
          <w:p w:rsidR="00AD0A84" w:rsidRDefault="00AD0A84" w:rsidP="001E5A87">
            <w:pPr>
              <w:suppressAutoHyphens w:val="0"/>
              <w:rPr>
                <w:sz w:val="22"/>
                <w:szCs w:val="22"/>
                <w:lang w:eastAsia="en-US"/>
              </w:rPr>
            </w:pPr>
            <w:r>
              <w:rPr>
                <w:sz w:val="22"/>
                <w:szCs w:val="22"/>
                <w:lang w:eastAsia="en-US"/>
              </w:rPr>
              <w:t>ul. Szosa Bydgoska 76-80</w:t>
            </w:r>
          </w:p>
          <w:p w:rsidR="00AD0A84" w:rsidRDefault="00AD0A84" w:rsidP="001E5A87">
            <w:pPr>
              <w:suppressAutoHyphens w:val="0"/>
              <w:rPr>
                <w:sz w:val="22"/>
                <w:szCs w:val="22"/>
                <w:lang w:eastAsia="en-US"/>
              </w:rPr>
            </w:pPr>
            <w:r>
              <w:rPr>
                <w:sz w:val="22"/>
                <w:szCs w:val="22"/>
                <w:lang w:eastAsia="en-US"/>
              </w:rPr>
              <w:t>- kompleks nr 2</w:t>
            </w:r>
          </w:p>
        </w:tc>
        <w:tc>
          <w:tcPr>
            <w:tcW w:w="1633" w:type="dxa"/>
            <w:tcBorders>
              <w:top w:val="single" w:sz="4" w:space="0" w:color="auto"/>
              <w:left w:val="single" w:sz="4" w:space="0" w:color="auto"/>
              <w:bottom w:val="single" w:sz="4" w:space="0" w:color="auto"/>
              <w:right w:val="single" w:sz="4" w:space="0" w:color="auto"/>
            </w:tcBorders>
            <w:hideMark/>
          </w:tcPr>
          <w:p w:rsidR="00AD0A84" w:rsidRDefault="00AD0A84" w:rsidP="001E5A87">
            <w:pPr>
              <w:jc w:val="center"/>
              <w:rPr>
                <w:sz w:val="22"/>
                <w:szCs w:val="22"/>
                <w:lang w:eastAsia="en-US"/>
              </w:rPr>
            </w:pPr>
            <w:r>
              <w:rPr>
                <w:sz w:val="22"/>
                <w:szCs w:val="22"/>
                <w:lang w:eastAsia="en-US"/>
              </w:rPr>
              <w:t>35/16 (Bp), 44/3 (</w:t>
            </w:r>
            <w:proofErr w:type="spellStart"/>
            <w:r>
              <w:rPr>
                <w:sz w:val="22"/>
                <w:szCs w:val="22"/>
                <w:lang w:eastAsia="en-US"/>
              </w:rPr>
              <w:t>Lz</w:t>
            </w:r>
            <w:proofErr w:type="spellEnd"/>
            <w:r>
              <w:rPr>
                <w:sz w:val="22"/>
                <w:szCs w:val="22"/>
                <w:lang w:eastAsia="en-US"/>
              </w:rPr>
              <w:t>), 45/1 (Bp),</w:t>
            </w:r>
            <w:r w:rsidR="001B05C0">
              <w:rPr>
                <w:sz w:val="22"/>
                <w:szCs w:val="22"/>
                <w:lang w:eastAsia="en-US"/>
              </w:rPr>
              <w:t xml:space="preserve"> </w:t>
            </w:r>
            <w:r>
              <w:rPr>
                <w:sz w:val="22"/>
                <w:szCs w:val="22"/>
                <w:lang w:eastAsia="en-US"/>
              </w:rPr>
              <w:t>91/4 (RVI),  102/4 (Bp), obręb 23</w:t>
            </w:r>
          </w:p>
        </w:tc>
        <w:tc>
          <w:tcPr>
            <w:tcW w:w="1275"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Zawartotabeli"/>
              <w:jc w:val="right"/>
              <w:rPr>
                <w:sz w:val="22"/>
                <w:szCs w:val="22"/>
                <w:lang w:eastAsia="en-US"/>
              </w:rPr>
            </w:pPr>
            <w:r>
              <w:rPr>
                <w:sz w:val="22"/>
                <w:szCs w:val="22"/>
                <w:lang w:eastAsia="en-US"/>
              </w:rPr>
              <w:t>0,6268</w:t>
            </w:r>
          </w:p>
        </w:tc>
        <w:tc>
          <w:tcPr>
            <w:tcW w:w="2409" w:type="dxa"/>
            <w:tcBorders>
              <w:top w:val="single" w:sz="4" w:space="0" w:color="auto"/>
              <w:left w:val="single" w:sz="4" w:space="0" w:color="auto"/>
              <w:bottom w:val="single" w:sz="4" w:space="0" w:color="auto"/>
              <w:right w:val="single" w:sz="4" w:space="0" w:color="auto"/>
            </w:tcBorders>
            <w:hideMark/>
          </w:tcPr>
          <w:p w:rsidR="00AD0A84" w:rsidRDefault="001B05C0" w:rsidP="001E5A87">
            <w:pPr>
              <w:jc w:val="both"/>
              <w:rPr>
                <w:sz w:val="22"/>
                <w:szCs w:val="22"/>
                <w:lang w:eastAsia="en-US"/>
              </w:rPr>
            </w:pPr>
            <w:r>
              <w:rPr>
                <w:sz w:val="22"/>
                <w:szCs w:val="22"/>
                <w:lang w:eastAsia="en-US"/>
              </w:rPr>
              <w:t>TO1T/00035395/9</w:t>
            </w:r>
          </w:p>
          <w:p w:rsidR="00AD0A84" w:rsidRDefault="001B05C0" w:rsidP="001E5A87">
            <w:pPr>
              <w:jc w:val="both"/>
              <w:rPr>
                <w:sz w:val="22"/>
                <w:szCs w:val="22"/>
                <w:lang w:eastAsia="en-US"/>
              </w:rPr>
            </w:pPr>
            <w:r>
              <w:rPr>
                <w:sz w:val="22"/>
                <w:szCs w:val="22"/>
                <w:lang w:eastAsia="en-US"/>
              </w:rPr>
              <w:t>TO1T/00045451/3</w:t>
            </w:r>
          </w:p>
          <w:p w:rsidR="00AD0A84" w:rsidRDefault="001B05C0" w:rsidP="001E5A87">
            <w:pPr>
              <w:jc w:val="both"/>
              <w:rPr>
                <w:sz w:val="22"/>
                <w:szCs w:val="22"/>
                <w:lang w:eastAsia="en-US"/>
              </w:rPr>
            </w:pPr>
            <w:r>
              <w:rPr>
                <w:sz w:val="22"/>
                <w:szCs w:val="22"/>
                <w:lang w:eastAsia="en-US"/>
              </w:rPr>
              <w:t>TO1T/00037371/9</w:t>
            </w:r>
          </w:p>
          <w:p w:rsidR="00AD0A84" w:rsidRDefault="001B05C0" w:rsidP="001E5A87">
            <w:pPr>
              <w:jc w:val="both"/>
              <w:rPr>
                <w:sz w:val="22"/>
                <w:szCs w:val="22"/>
                <w:lang w:eastAsia="en-US"/>
              </w:rPr>
            </w:pPr>
            <w:r>
              <w:rPr>
                <w:sz w:val="22"/>
                <w:szCs w:val="22"/>
                <w:lang w:eastAsia="en-US"/>
              </w:rPr>
              <w:t>TO1T00045452/0</w:t>
            </w:r>
          </w:p>
        </w:tc>
        <w:tc>
          <w:tcPr>
            <w:tcW w:w="3108"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p>
        </w:tc>
      </w:tr>
    </w:tbl>
    <w:p w:rsidR="000875C3" w:rsidRDefault="00490D91" w:rsidP="000875C3">
      <w:pPr>
        <w:pStyle w:val="Tekstpodstawowy"/>
        <w:widowControl/>
        <w:tabs>
          <w:tab w:val="left" w:pos="435"/>
        </w:tabs>
        <w:spacing w:after="0"/>
        <w:ind w:left="11"/>
        <w:jc w:val="both"/>
        <w:rPr>
          <w:rFonts w:eastAsia="Times New Roman"/>
        </w:rPr>
      </w:pPr>
      <w:r>
        <w:rPr>
          <w:rFonts w:eastAsia="Times New Roman"/>
        </w:rPr>
        <w:tab/>
        <w:t xml:space="preserve">3. </w:t>
      </w:r>
      <w:r w:rsidR="000875C3">
        <w:rPr>
          <w:rFonts w:eastAsia="Times New Roman"/>
        </w:rPr>
        <w:t>W księdze wieczystej KW Nr TO1T/00035395/9 w „Dziale III - Prawa, roszczenia</w:t>
      </w:r>
      <w:r w:rsidR="000875C3">
        <w:rPr>
          <w:rFonts w:eastAsia="Times New Roman"/>
        </w:rPr>
        <w:br/>
        <w:t xml:space="preserve">i ograniczenia” znajdują się wpisy dot. ograniczonego prawa rzeczowego – 1) „służebność </w:t>
      </w:r>
      <w:proofErr w:type="spellStart"/>
      <w:r w:rsidR="000875C3">
        <w:rPr>
          <w:rFonts w:eastAsia="Times New Roman"/>
        </w:rPr>
        <w:t>przesyłu</w:t>
      </w:r>
      <w:proofErr w:type="spellEnd"/>
      <w:r w:rsidR="000875C3">
        <w:rPr>
          <w:rFonts w:eastAsia="Times New Roman"/>
        </w:rPr>
        <w:t xml:space="preserve"> na rzecz Spółki pod firmą: ENERGA – OPERATOR S.A. z siedzibą w Gdańsku zgodnie z treścią  3 umowy o ustanowienie służebności </w:t>
      </w:r>
      <w:proofErr w:type="spellStart"/>
      <w:r w:rsidR="000875C3">
        <w:rPr>
          <w:rFonts w:eastAsia="Times New Roman"/>
        </w:rPr>
        <w:t>przesyłu</w:t>
      </w:r>
      <w:proofErr w:type="spellEnd"/>
      <w:r w:rsidR="000875C3">
        <w:rPr>
          <w:rFonts w:eastAsia="Times New Roman"/>
        </w:rPr>
        <w:t xml:space="preserve"> z  dnia 24.03.2015r. sporządzonej przed notariuszem Agnieszką Eska-Królikowską w Toruniu (Rep. Aktu 2201/2015), przedmiot wykonywania działka nr 134/2” </w:t>
      </w:r>
      <w:r w:rsidR="000E0954">
        <w:rPr>
          <w:rFonts w:eastAsia="Times New Roman"/>
        </w:rPr>
        <w:t>;</w:t>
      </w:r>
      <w:r w:rsidR="000875C3">
        <w:rPr>
          <w:rFonts w:eastAsia="Times New Roman"/>
        </w:rPr>
        <w:t xml:space="preserve"> 2) „służebność </w:t>
      </w:r>
      <w:proofErr w:type="spellStart"/>
      <w:r w:rsidR="000875C3">
        <w:rPr>
          <w:rFonts w:eastAsia="Times New Roman"/>
        </w:rPr>
        <w:t>przesyłu</w:t>
      </w:r>
      <w:proofErr w:type="spellEnd"/>
      <w:r w:rsidR="000875C3">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w:t>
      </w:r>
      <w:r w:rsidR="000E0954">
        <w:rPr>
          <w:rFonts w:eastAsia="Times New Roman"/>
        </w:rPr>
        <w:t xml:space="preserve">stało do działek 35/15 i 134/2” oraz 3) służebność </w:t>
      </w:r>
      <w:proofErr w:type="spellStart"/>
      <w:r w:rsidR="000E0954">
        <w:rPr>
          <w:rFonts w:eastAsia="Times New Roman"/>
        </w:rPr>
        <w:t>przesyłu</w:t>
      </w:r>
      <w:proofErr w:type="spellEnd"/>
      <w:r w:rsidR="000E0954">
        <w:rPr>
          <w:rFonts w:eastAsia="Times New Roman"/>
        </w:rPr>
        <w:t xml:space="preserve">  ustanowiona na czas nieoznaczony</w:t>
      </w:r>
      <w:r w:rsidR="00AB66A9">
        <w:rPr>
          <w:rFonts w:eastAsia="Times New Roman"/>
        </w:rPr>
        <w:t xml:space="preserve"> na rzecz ENERGA – OPERATOR S.A. </w:t>
      </w:r>
      <w:r w:rsidR="000E0954">
        <w:rPr>
          <w:rFonts w:eastAsia="Times New Roman"/>
        </w:rPr>
        <w:t xml:space="preserve"> polegająca na: a) prawie do wybudowania oraz trwałego utrzymywania na nieruchomości oznaczonej nr  działki 134/2 odcinka sieci elektroenergetycznej – linii kablowej NN-110kV wraz z kanalizacją teletechniczną, zgodnie z przebiegiem określonym na załączniku nr 8 do aktu notarialnego, b) prawie do korzystania z nieruchomości oznaczonej nr działki 134/2, w pasie technologicznym wynoszącym 0,5 m szerokości od krawędzi zewnętrznych urządzeń sieci elektroenergetycznej opisanej w pkt a), w zakresie niezbędnym do dokonywania konserwacji, remontów, modernizacji, usuwania awarii oraz przebudowy urządzeń i instalacji </w:t>
      </w:r>
      <w:r w:rsidR="000E0954">
        <w:rPr>
          <w:rFonts w:eastAsia="Times New Roman"/>
        </w:rPr>
        <w:lastRenderedPageBreak/>
        <w:t xml:space="preserve">elektroenergetycznych, jak również usytuowania w przyszłości kolejnych wyprowadzeń linii, w obszarze nieruchomości zajętym dotychczas przez urządzenia elektroenergetyczne, wraz z prawem  wejścia i </w:t>
      </w:r>
      <w:r w:rsidR="00AB66A9">
        <w:rPr>
          <w:rFonts w:eastAsia="Times New Roman"/>
        </w:rPr>
        <w:t>wjazdu</w:t>
      </w:r>
      <w:r w:rsidR="000E0954">
        <w:rPr>
          <w:rFonts w:eastAsia="Times New Roman"/>
        </w:rPr>
        <w:t xml:space="preserve"> na teren odpowiednim </w:t>
      </w:r>
      <w:r w:rsidR="00AB66A9">
        <w:rPr>
          <w:rFonts w:eastAsia="Times New Roman"/>
        </w:rPr>
        <w:t>sprzętem przez pracowników przedsiębiorstw oraz przez wszystkie podmioty i osoby, którymi przedsiębiorstwo to posługuje się w związku z prowadzoną działalnością</w:t>
      </w:r>
    </w:p>
    <w:p w:rsidR="000875C3" w:rsidRDefault="000875C3" w:rsidP="000875C3">
      <w:pPr>
        <w:pStyle w:val="Tekstpodstawowy"/>
        <w:widowControl/>
        <w:tabs>
          <w:tab w:val="left" w:pos="435"/>
        </w:tabs>
        <w:spacing w:after="0"/>
        <w:ind w:left="11"/>
        <w:jc w:val="both"/>
        <w:rPr>
          <w:rFonts w:eastAsia="Times New Roman"/>
        </w:rPr>
      </w:pPr>
      <w:r>
        <w:rPr>
          <w:rFonts w:eastAsia="Times New Roman"/>
        </w:rPr>
        <w:t xml:space="preserve">       4. Służebność </w:t>
      </w:r>
      <w:proofErr w:type="spellStart"/>
      <w:r>
        <w:rPr>
          <w:rFonts w:eastAsia="Times New Roman"/>
        </w:rPr>
        <w:t>przesyłu</w:t>
      </w:r>
      <w:proofErr w:type="spellEnd"/>
      <w:r>
        <w:rPr>
          <w:rFonts w:eastAsia="Times New Roman"/>
        </w:rPr>
        <w:t xml:space="preserve"> ustanowiona na </w:t>
      </w:r>
      <w:r w:rsidR="001E5A87">
        <w:rPr>
          <w:rFonts w:eastAsia="Times New Roman"/>
        </w:rPr>
        <w:t>rzecz Sp</w:t>
      </w:r>
      <w:r w:rsidR="003857D0">
        <w:rPr>
          <w:rFonts w:eastAsia="Times New Roman"/>
        </w:rPr>
        <w:t>.</w:t>
      </w:r>
      <w:r w:rsidR="001E5A87">
        <w:rPr>
          <w:rFonts w:eastAsia="Times New Roman"/>
        </w:rPr>
        <w:t xml:space="preserve"> „Geotermia Toruń”  </w:t>
      </w:r>
      <w:r>
        <w:rPr>
          <w:rFonts w:eastAsia="Times New Roman"/>
        </w:rPr>
        <w:t xml:space="preserve">Sp. z o.o., o której mowa powyżej </w:t>
      </w:r>
      <w:r w:rsidR="000E0954">
        <w:rPr>
          <w:rFonts w:eastAsia="Times New Roman"/>
        </w:rPr>
        <w:t xml:space="preserve">w pkt 2) </w:t>
      </w:r>
      <w:r>
        <w:rPr>
          <w:rFonts w:eastAsia="Times New Roman"/>
        </w:rPr>
        <w:t xml:space="preserve">polega na prawie wybudowania oraz trwałego utrzymywania odcinków sieci ciepłowniczej, jaka posadowiona zostanie m.in. na działce 35/15, położonej przy ul. Pera </w:t>
      </w:r>
      <w:proofErr w:type="spellStart"/>
      <w:r>
        <w:rPr>
          <w:rFonts w:eastAsia="Times New Roman"/>
        </w:rPr>
        <w:t>Jonssona</w:t>
      </w:r>
      <w:proofErr w:type="spellEnd"/>
      <w:r>
        <w:rPr>
          <w:rFonts w:eastAsia="Times New Roman"/>
        </w:rPr>
        <w:t xml:space="preserve"> 4 oraz na prawie korzystania z nieruchomości obciążonej, w pasie technologicznym  wynoszącym dwa metry szerokości od krawędzi zewnętrznych urządzeń sieci ciepłowniczej, w zakresie niezbędnym do dokonywania konserwacji, remontów, modernizacji, usuwania awarii oraz przebudowy urządzeń i instalacji ciepłowniczych, jak również usytuowania w przyszłości kolejnych  wyprowadzeń linii, w obszarze  nieruchomości zajętych dotychczas przez urządzenia ciepłownicze wraz z prawem wejścia i wjazdu na teren odpowiednim sprzętem przez pracowników przedsiębiorst</w:t>
      </w:r>
      <w:r w:rsidR="003857D0">
        <w:rPr>
          <w:rFonts w:eastAsia="Times New Roman"/>
        </w:rPr>
        <w:t xml:space="preserve">w oraz przez wszystkie podmioty </w:t>
      </w:r>
      <w:r>
        <w:rPr>
          <w:rFonts w:eastAsia="Times New Roman"/>
        </w:rPr>
        <w:t>i osoby, którymi przedsiębiorstwo to posługuje się w związku z prowadzoną działalnością Spółka jest zobowiązana do przywrócenia nieruchomości obciążonych, oraz ulic, chodników</w:t>
      </w:r>
      <w:r>
        <w:rPr>
          <w:rFonts w:eastAsia="Times New Roman"/>
        </w:rPr>
        <w:br/>
        <w:t>i innych obszarów przyległych, zniszczonych na skutek przemieszczania się pojazdów bądź sprzętu budowlanego, do stanu pierwotnego, niezwłocznie po zakończeniu prac budowlanych, eksploatacyjnych albo remontowych, w sposób gwarantujący ich użytkowanie zgodnie</w:t>
      </w:r>
      <w:r>
        <w:rPr>
          <w:rFonts w:eastAsia="Times New Roman"/>
        </w:rPr>
        <w:br/>
        <w:t>z przeznaczeniem. Ponadto Spółka została zobowiązana do wybudowana fragmentu sieci ciepłowniczej zlokalizowanej na działce 35/15 w taki sposób by umożliwić przejazd pojazdami ciężarowymi, zgodne z właściwymi przepisami mającymi zastosowanie do dróg publicznych przebiegających przez odpowiednie działki.</w:t>
      </w:r>
    </w:p>
    <w:p w:rsidR="00490D91" w:rsidRDefault="000875C3" w:rsidP="00490D91">
      <w:pPr>
        <w:pStyle w:val="Tekstpodstawowy"/>
        <w:widowControl/>
        <w:tabs>
          <w:tab w:val="left" w:pos="435"/>
        </w:tabs>
        <w:spacing w:after="0"/>
        <w:ind w:left="11"/>
        <w:jc w:val="both"/>
        <w:rPr>
          <w:rFonts w:eastAsia="Times New Roman"/>
        </w:rPr>
      </w:pPr>
      <w:r>
        <w:rPr>
          <w:rFonts w:eastAsia="Times New Roman"/>
        </w:rPr>
        <w:tab/>
        <w:t xml:space="preserve">5. </w:t>
      </w:r>
      <w:r w:rsidR="00490D91">
        <w:rPr>
          <w:rFonts w:eastAsia="Times New Roman"/>
        </w:rPr>
        <w:t xml:space="preserve">W KW Nr TO1T/00045452/0 w </w:t>
      </w:r>
      <w:r w:rsidR="003857D0">
        <w:rPr>
          <w:rFonts w:eastAsia="Times New Roman"/>
        </w:rPr>
        <w:t xml:space="preserve">„Dziale III – Prawa, roszczenia </w:t>
      </w:r>
      <w:r w:rsidR="00490D91">
        <w:rPr>
          <w:rFonts w:eastAsia="Times New Roman"/>
        </w:rPr>
        <w:t xml:space="preserve">i ograniczenia” znajdują się wpisy dot. ograniczonego prawa rzeczowego – 1) „służebność gruntowa polegająca na prawie przechodu i przejazdu przez działkę geod. nr 91/2, na rzecz każdoczesnego użytkownika wieczystego gruntu położonego w Toruniu przy ul. Szosa Bydgoska 78, oznaczonego w ewidencji gruntów numerami działek: 91/1, 103/1, 87/1, 51/1 wpisanych w księdze wieczystej nr 32186, zgodnie z treścią i na podstawie § 6 aktu notarialnego   z  dnia 22 lipca 2002r., Rep. A Nr 1551/02” oraz 2) „służebność </w:t>
      </w:r>
      <w:proofErr w:type="spellStart"/>
      <w:r w:rsidR="00490D91">
        <w:rPr>
          <w:rFonts w:eastAsia="Times New Roman"/>
        </w:rPr>
        <w:t>przesyłu</w:t>
      </w:r>
      <w:proofErr w:type="spellEnd"/>
      <w:r w:rsidR="00490D91">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zostało do działki nr 53/6”.</w:t>
      </w:r>
    </w:p>
    <w:p w:rsidR="003857D0" w:rsidRDefault="000875C3" w:rsidP="0098743B">
      <w:pPr>
        <w:pStyle w:val="Tekstpodstawowy"/>
        <w:widowControl/>
        <w:tabs>
          <w:tab w:val="left" w:pos="435"/>
        </w:tabs>
        <w:spacing w:after="0"/>
        <w:ind w:left="11"/>
        <w:jc w:val="both"/>
        <w:rPr>
          <w:rFonts w:eastAsia="Times New Roman"/>
        </w:rPr>
      </w:pPr>
      <w:r>
        <w:rPr>
          <w:rFonts w:eastAsia="Times New Roman"/>
        </w:rPr>
        <w:t xml:space="preserve">       </w:t>
      </w:r>
      <w:r w:rsidR="0098743B">
        <w:rPr>
          <w:rFonts w:eastAsia="Times New Roman"/>
        </w:rPr>
        <w:t xml:space="preserve">6. Opisane powyżej służebności nie obciążają zbywanych nieruchomości z wyjątkiem służebności </w:t>
      </w:r>
      <w:proofErr w:type="spellStart"/>
      <w:r w:rsidR="0098743B">
        <w:rPr>
          <w:rFonts w:eastAsia="Times New Roman"/>
        </w:rPr>
        <w:t>przesyłu</w:t>
      </w:r>
      <w:proofErr w:type="spellEnd"/>
      <w:r w:rsidR="0098743B">
        <w:rPr>
          <w:rFonts w:eastAsia="Times New Roman"/>
        </w:rPr>
        <w:t xml:space="preserve"> ustanowionej na rzecz Sp. „Geotermia Toruń”  Sp. z o.o. na działce geod. nr 35/15 – kompleks nr 1 (w zachodniej jej części, poza liniami zabudowy).</w:t>
      </w:r>
    </w:p>
    <w:p w:rsidR="0098743B" w:rsidRDefault="0098743B" w:rsidP="0098743B">
      <w:pPr>
        <w:pStyle w:val="Tekstpodstawowy"/>
        <w:widowControl/>
        <w:tabs>
          <w:tab w:val="left" w:pos="435"/>
        </w:tabs>
        <w:spacing w:after="0"/>
        <w:ind w:left="11"/>
        <w:jc w:val="both"/>
        <w:rPr>
          <w:rFonts w:eastAsia="Times New Roman"/>
        </w:rPr>
      </w:pPr>
      <w:r>
        <w:rPr>
          <w:rFonts w:eastAsia="Times New Roman"/>
        </w:rPr>
        <w:tab/>
        <w:t xml:space="preserve">7. W </w:t>
      </w:r>
      <w:r w:rsidR="00BA47C1">
        <w:rPr>
          <w:rFonts w:eastAsia="Times New Roman"/>
        </w:rPr>
        <w:t>sąsiedztwie</w:t>
      </w:r>
      <w:r>
        <w:rPr>
          <w:rFonts w:eastAsia="Times New Roman"/>
        </w:rPr>
        <w:t xml:space="preserve"> zbywanych </w:t>
      </w:r>
      <w:r w:rsidR="00BA47C1">
        <w:rPr>
          <w:rFonts w:eastAsia="Times New Roman"/>
        </w:rPr>
        <w:t>gruntów</w:t>
      </w:r>
      <w:r>
        <w:rPr>
          <w:rFonts w:eastAsia="Times New Roman"/>
        </w:rPr>
        <w:t xml:space="preserve"> znajdują się grunty </w:t>
      </w:r>
      <w:r w:rsidR="00BA47C1">
        <w:rPr>
          <w:rFonts w:eastAsia="Times New Roman"/>
        </w:rPr>
        <w:t>niezabudowane</w:t>
      </w:r>
      <w:r>
        <w:rPr>
          <w:rFonts w:eastAsia="Times New Roman"/>
        </w:rPr>
        <w:t xml:space="preserve"> oraz salon </w:t>
      </w:r>
      <w:r w:rsidR="00BA47C1">
        <w:rPr>
          <w:rFonts w:eastAsia="Times New Roman"/>
        </w:rPr>
        <w:t xml:space="preserve">samochody Citroen i stacja kontroli pojazdów, w odległości ok. 800 m sklep budowlany </w:t>
      </w:r>
      <w:proofErr w:type="spellStart"/>
      <w:r w:rsidR="00BA47C1">
        <w:rPr>
          <w:rFonts w:eastAsia="Times New Roman"/>
        </w:rPr>
        <w:t>Castorama</w:t>
      </w:r>
      <w:proofErr w:type="spellEnd"/>
      <w:r w:rsidR="00BA47C1">
        <w:rPr>
          <w:rFonts w:eastAsia="Times New Roman"/>
        </w:rPr>
        <w:t xml:space="preserve">, od strony północnej stadion żużlowy </w:t>
      </w:r>
      <w:proofErr w:type="spellStart"/>
      <w:r w:rsidR="00BA47C1">
        <w:rPr>
          <w:rFonts w:eastAsia="Times New Roman"/>
        </w:rPr>
        <w:t>Motoarena</w:t>
      </w:r>
      <w:proofErr w:type="spellEnd"/>
      <w:r w:rsidR="00BA47C1">
        <w:rPr>
          <w:rFonts w:eastAsia="Times New Roman"/>
        </w:rPr>
        <w:t>, od strony południowej pętla tramwajowa, zaś po drugiej stronie ulicy Szosa Bydgoska  - oczyszczalnia ścieków.</w:t>
      </w:r>
    </w:p>
    <w:p w:rsidR="0098743B" w:rsidRDefault="0098743B" w:rsidP="0098743B">
      <w:pPr>
        <w:pStyle w:val="Tekstpodstawowy"/>
        <w:widowControl/>
        <w:tabs>
          <w:tab w:val="left" w:pos="435"/>
        </w:tabs>
        <w:spacing w:after="0"/>
        <w:ind w:left="11"/>
        <w:jc w:val="both"/>
        <w:rPr>
          <w:rFonts w:eastAsia="Times New Roman"/>
        </w:rPr>
      </w:pPr>
    </w:p>
    <w:p w:rsidR="00490D91" w:rsidRPr="001E5A87" w:rsidRDefault="003857D0" w:rsidP="003857D0">
      <w:pPr>
        <w:pStyle w:val="Tekstpodstawowy"/>
        <w:widowControl/>
        <w:tabs>
          <w:tab w:val="left" w:pos="435"/>
        </w:tabs>
        <w:spacing w:after="0"/>
        <w:jc w:val="both"/>
      </w:pPr>
      <w:r>
        <w:rPr>
          <w:rFonts w:eastAsia="Times New Roman"/>
        </w:rPr>
        <w:tab/>
      </w:r>
      <w:r w:rsidR="00490D91">
        <w:rPr>
          <w:rFonts w:eastAsia="Times New Roman"/>
        </w:rPr>
        <w:t xml:space="preserve">§3.1 Nieruchomości </w:t>
      </w:r>
      <w:r w:rsidR="00490D91">
        <w:t xml:space="preserve">położone są na obszarze objętym </w:t>
      </w:r>
      <w:proofErr w:type="spellStart"/>
      <w:r w:rsidR="00490D91">
        <w:t>m</w:t>
      </w:r>
      <w:r w:rsidR="001E5A87">
        <w:t>.</w:t>
      </w:r>
      <w:r w:rsidR="00490D91">
        <w:t>p</w:t>
      </w:r>
      <w:r w:rsidR="001E5A87">
        <w:t>.</w:t>
      </w:r>
      <w:r w:rsidR="00490D91">
        <w:t>z</w:t>
      </w:r>
      <w:r w:rsidR="001E5A87">
        <w:t>.</w:t>
      </w:r>
      <w:r w:rsidR="00490D91">
        <w:t>p</w:t>
      </w:r>
      <w:proofErr w:type="spellEnd"/>
      <w:r w:rsidR="001E5A87">
        <w:t>.</w:t>
      </w:r>
      <w:r w:rsidR="00490D91">
        <w:t xml:space="preserve"> dla terenów położonych pomiędzy ulicą Sz</w:t>
      </w:r>
      <w:r w:rsidR="001E5A87">
        <w:t>.</w:t>
      </w:r>
      <w:r w:rsidR="00BA47C1">
        <w:t xml:space="preserve"> </w:t>
      </w:r>
      <w:r w:rsidR="001E5A87">
        <w:t xml:space="preserve">Bydgoska </w:t>
      </w:r>
      <w:r w:rsidR="00490D91">
        <w:t>i ulicą Łukasiewicza w Toruniu, zatwierdzonym Uchwał</w:t>
      </w:r>
      <w:r w:rsidR="001E5A87">
        <w:t xml:space="preserve">ą Nr 726/17 RMT </w:t>
      </w:r>
      <w:r w:rsidR="00490D91">
        <w:t>z dnia 23 listopada 2017r., oznaczonym jako jednostki planistyczne:</w:t>
      </w:r>
      <w:r w:rsidR="000875C3">
        <w:t xml:space="preserve"> </w:t>
      </w:r>
      <w:r w:rsidR="00490D91">
        <w:t xml:space="preserve">100.01-U03, dla której ustalono przeznaczenie podstawowe: </w:t>
      </w:r>
      <w:r w:rsidR="00490D91">
        <w:rPr>
          <w:i/>
        </w:rPr>
        <w:t xml:space="preserve">„teren zabudowy usługowej” </w:t>
      </w:r>
      <w:r w:rsidR="00821A44">
        <w:t xml:space="preserve">oraz </w:t>
      </w:r>
      <w:r w:rsidR="00490D91">
        <w:t xml:space="preserve">dopuszczalne </w:t>
      </w:r>
      <w:r w:rsidR="00490D91">
        <w:rPr>
          <w:i/>
        </w:rPr>
        <w:t>„obiekty usługowo-produkcyjne, parkingi, drogi wewnętrzne, obiekty</w:t>
      </w:r>
      <w:r w:rsidR="00821A44">
        <w:rPr>
          <w:i/>
        </w:rPr>
        <w:br/>
      </w:r>
      <w:r w:rsidR="00490D91">
        <w:rPr>
          <w:i/>
        </w:rPr>
        <w:t>i urządzenia infrastruktury technicznej</w:t>
      </w:r>
      <w:r w:rsidR="00490D91">
        <w:t>”</w:t>
      </w:r>
      <w:r w:rsidR="001E5A87">
        <w:t xml:space="preserve"> oraz część dz. geod. nr 35/15 o pow. ca. 7 m</w:t>
      </w:r>
      <w:r w:rsidR="001E5A87" w:rsidRPr="003857D0">
        <w:rPr>
          <w:vertAlign w:val="superscript"/>
        </w:rPr>
        <w:t>2</w:t>
      </w:r>
      <w:r w:rsidR="001E5A87">
        <w:t xml:space="preserve"> położona </w:t>
      </w:r>
      <w:r w:rsidR="00821A44">
        <w:t xml:space="preserve">jest </w:t>
      </w:r>
      <w:r w:rsidR="001E5A87">
        <w:t xml:space="preserve">na obszarze oznaczonym symbolem 94.01-KD(L)1–przeznaczenie podstawowe: </w:t>
      </w:r>
      <w:r w:rsidR="001E5A87" w:rsidRPr="001E5A87">
        <w:rPr>
          <w:i/>
        </w:rPr>
        <w:t>komunikacja – droga  publiczna – ulica lokalna</w:t>
      </w:r>
      <w:r w:rsidR="000875C3" w:rsidRPr="001E5A87">
        <w:rPr>
          <w:i/>
        </w:rPr>
        <w:t>.</w:t>
      </w:r>
      <w:r w:rsidR="00490D91" w:rsidRPr="001E5A87">
        <w:rPr>
          <w:i/>
        </w:rPr>
        <w:t xml:space="preserve"> </w:t>
      </w:r>
      <w:r w:rsidR="001E5A87">
        <w:t xml:space="preserve">Na podstawie uchwały Nr 113/11 RMT  z dnia </w:t>
      </w:r>
      <w:r w:rsidR="001E5A87">
        <w:lastRenderedPageBreak/>
        <w:t xml:space="preserve">2 czerwca 2011r. w sprawie zaliczenia drogi do kategorii dróg publicznych, ul. Pera </w:t>
      </w:r>
      <w:proofErr w:type="spellStart"/>
      <w:r w:rsidR="001E5A87">
        <w:t>Jonssona</w:t>
      </w:r>
      <w:proofErr w:type="spellEnd"/>
      <w:r w:rsidR="001E5A87">
        <w:t>, łącząca ul. Sz</w:t>
      </w:r>
      <w:r w:rsidR="00821A44">
        <w:t>.</w:t>
      </w:r>
      <w:r w:rsidR="001E5A87">
        <w:t xml:space="preserve"> Bydgoska z ul. Łukasiewicza została zaliczona do kategorii dróg gminnych</w:t>
      </w:r>
      <w:r>
        <w:t>, a w</w:t>
      </w:r>
      <w:r w:rsidR="001E5A87">
        <w:t xml:space="preserve"> jej przebiegu nie </w:t>
      </w:r>
      <w:r>
        <w:t>znajduje się</w:t>
      </w:r>
      <w:r w:rsidR="001E5A87">
        <w:t xml:space="preserve"> działka nr 35/15 (użytek Bp) położona przy ul. Pera </w:t>
      </w:r>
      <w:proofErr w:type="spellStart"/>
      <w:r w:rsidR="001E5A87">
        <w:t>Jonssona</w:t>
      </w:r>
      <w:proofErr w:type="spellEnd"/>
      <w:r w:rsidR="001E5A87">
        <w:t xml:space="preserve"> 4. </w:t>
      </w:r>
    </w:p>
    <w:p w:rsidR="000875C3" w:rsidRDefault="000875C3" w:rsidP="003857D0">
      <w:pPr>
        <w:pStyle w:val="Tekstpodstawowy"/>
        <w:spacing w:after="0"/>
        <w:jc w:val="both"/>
      </w:pPr>
      <w:r>
        <w:t xml:space="preserve">            2. Działka nr 35/15 (kompleks 1) posiada dostęp do drogi publicznej – ul. Pera </w:t>
      </w:r>
      <w:proofErr w:type="spellStart"/>
      <w:r>
        <w:t>Jonssona</w:t>
      </w:r>
      <w:proofErr w:type="spellEnd"/>
      <w:r>
        <w:t xml:space="preserve"> o nawierzchni asfaltowej z urządzonym ciągiem pieszym. Wjazd należy urządzić na  warunkach ustalonych z zarządcą drogi. </w:t>
      </w:r>
    </w:p>
    <w:p w:rsidR="00490D91" w:rsidRDefault="000875C3" w:rsidP="005F4D8C">
      <w:pPr>
        <w:pStyle w:val="Tekstpodstawowy"/>
        <w:autoSpaceDN/>
        <w:spacing w:after="0"/>
        <w:ind w:firstLine="708"/>
        <w:jc w:val="both"/>
      </w:pPr>
      <w:r>
        <w:t>3</w:t>
      </w:r>
      <w:r w:rsidR="00490D91">
        <w:t xml:space="preserve">. Droga dojazdowa do nieruchomości </w:t>
      </w:r>
      <w:r>
        <w:t xml:space="preserve">oznaczonej jako kompleks 2 </w:t>
      </w:r>
      <w:r w:rsidR="00490D91">
        <w:t>jest nieurząd</w:t>
      </w:r>
      <w:r>
        <w:t xml:space="preserve">zona. Dojazd odbywać się będzie </w:t>
      </w:r>
      <w:r w:rsidR="00490D91">
        <w:t>z przyległych dróg publicznych i poprzez drogi wewnętrzne tj.: od strony ul. Szosa Bydgoska drogą wewnętrzną zaprojektowaną w obszarze KDW3, do której dojazd należy zaprojektować z drogi KD(D)2, na warunkach ustalonych z zarządcą drogi</w:t>
      </w:r>
      <w:r>
        <w:t>.</w:t>
      </w:r>
      <w:r>
        <w:br/>
      </w:r>
      <w:r w:rsidR="00490D91">
        <w:t>W umow</w:t>
      </w:r>
      <w:r>
        <w:t>ie</w:t>
      </w:r>
      <w:r w:rsidR="00490D91">
        <w:t xml:space="preserve"> sprzedaży zostan</w:t>
      </w:r>
      <w:r>
        <w:t>ie</w:t>
      </w:r>
      <w:r w:rsidR="00490D91">
        <w:t xml:space="preserve"> ustanowion</w:t>
      </w:r>
      <w:r>
        <w:t>a</w:t>
      </w:r>
      <w:r w:rsidR="00490D91">
        <w:t xml:space="preserve"> odpłatn</w:t>
      </w:r>
      <w:r>
        <w:t>a</w:t>
      </w:r>
      <w:r w:rsidR="003C28C0">
        <w:t xml:space="preserve"> służebność</w:t>
      </w:r>
      <w:r w:rsidR="001A035D">
        <w:t xml:space="preserve"> gruntowa</w:t>
      </w:r>
      <w:r w:rsidR="00490D91">
        <w:t xml:space="preserve"> (</w:t>
      </w:r>
      <w:r>
        <w:t xml:space="preserve">jednorazowe wynagrodzenie za ustanowienie służebności gruntowej wynosi </w:t>
      </w:r>
      <w:r w:rsidR="00700044">
        <w:t xml:space="preserve">56.257,74 </w:t>
      </w:r>
      <w:r>
        <w:t>z</w:t>
      </w:r>
      <w:r w:rsidR="00700044">
        <w:t>ł z</w:t>
      </w:r>
      <w:r>
        <w:t xml:space="preserve"> VAT w wysokości 23 %</w:t>
      </w:r>
      <w:r w:rsidR="008E1FF7">
        <w:t>)</w:t>
      </w:r>
      <w:r w:rsidR="00490D91">
        <w:t xml:space="preserve"> polegając</w:t>
      </w:r>
      <w:r w:rsidR="003C28C0">
        <w:t>a</w:t>
      </w:r>
      <w:r w:rsidR="00490D91">
        <w:t xml:space="preserve"> na prawie przejazdu i przechodu po terenie działki  geod. nr 101/6 z obrębu nr 23, KW TO1T/00068204/4 – pas terenu o szerokości 7m biegnący wzdłuż północnej granicy działki nr 101/6,</w:t>
      </w:r>
      <w:r w:rsidR="00254030" w:rsidRPr="00254030">
        <w:t xml:space="preserve"> </w:t>
      </w:r>
      <w:r w:rsidR="00254030">
        <w:t>o powierzchni 791 m</w:t>
      </w:r>
      <w:r w:rsidR="00254030" w:rsidRPr="00700044">
        <w:rPr>
          <w:vertAlign w:val="superscript"/>
        </w:rPr>
        <w:t>2</w:t>
      </w:r>
      <w:r w:rsidR="00490D91">
        <w:t xml:space="preserve"> stanowiącej własność Gminy Miasta Toruń na rzecz każdoczesn</w:t>
      </w:r>
      <w:r w:rsidR="003C28C0">
        <w:t>ego</w:t>
      </w:r>
      <w:r w:rsidR="00490D91">
        <w:t xml:space="preserve"> właścicieli</w:t>
      </w:r>
      <w:r w:rsidR="008E1FF7">
        <w:t xml:space="preserve"> nieruchomości, położonych przy ul. Szosa Bydgoska 76-80</w:t>
      </w:r>
      <w:r w:rsidR="00254030">
        <w:t xml:space="preserve">, oznaczonych geod. jako działki nr: </w:t>
      </w:r>
      <w:r w:rsidR="00254030" w:rsidRPr="00681273">
        <w:rPr>
          <w:lang w:eastAsia="en-US"/>
        </w:rPr>
        <w:t>35/16 (Bp), 44/3 (</w:t>
      </w:r>
      <w:proofErr w:type="spellStart"/>
      <w:r w:rsidR="00254030" w:rsidRPr="00681273">
        <w:rPr>
          <w:lang w:eastAsia="en-US"/>
        </w:rPr>
        <w:t>Lz</w:t>
      </w:r>
      <w:proofErr w:type="spellEnd"/>
      <w:r w:rsidR="00254030" w:rsidRPr="00681273">
        <w:rPr>
          <w:lang w:eastAsia="en-US"/>
        </w:rPr>
        <w:t xml:space="preserve">), 45/1 (Bp),91/4 (RVI),  102/4 (Bp), obręb 23 </w:t>
      </w:r>
      <w:r w:rsidR="00254030">
        <w:rPr>
          <w:sz w:val="22"/>
          <w:szCs w:val="22"/>
          <w:lang w:eastAsia="en-US"/>
        </w:rPr>
        <w:t>-</w:t>
      </w:r>
      <w:r w:rsidR="008E1FF7">
        <w:t xml:space="preserve"> (kompleks nr 2)</w:t>
      </w:r>
      <w:r w:rsidR="00254030">
        <w:t>.</w:t>
      </w:r>
      <w:r w:rsidR="00FD7C4C">
        <w:t xml:space="preserve"> Właściciel nieruchomości władnącej winien partycypować</w:t>
      </w:r>
      <w:r w:rsidR="00681273">
        <w:br/>
      </w:r>
      <w:r w:rsidR="00FD7C4C">
        <w:t>w k</w:t>
      </w:r>
      <w:r w:rsidR="00681273">
        <w:t>o</w:t>
      </w:r>
      <w:r w:rsidR="00FD7C4C">
        <w:t>sztach urządzenia i utrzymania drogi</w:t>
      </w:r>
      <w:r w:rsidR="00681273">
        <w:t xml:space="preserve"> dojazdowej na działce nr 101/6</w:t>
      </w:r>
      <w:r w:rsidR="00FD7C4C">
        <w:t xml:space="preserve"> z właścicielem nieruchomości przy ul. Szosa Bydgoska 70-74, i 78A</w:t>
      </w:r>
      <w:r w:rsidR="00681273">
        <w:t xml:space="preserve"> (dz. geod. nr dz. nr </w:t>
      </w:r>
      <w:r w:rsidR="00681273" w:rsidRPr="000E2C4E">
        <w:t>51/5, 51/6, 87/2, 91/5, 91/6, 91/7, 45/2, 102/5, 102/6, 103/5, 103/6, 44/4, 44/5, 35/17, 35/18</w:t>
      </w:r>
      <w:r w:rsidR="00681273">
        <w:t xml:space="preserve"> o łącznej pow</w:t>
      </w:r>
      <w:r w:rsidR="00681273" w:rsidRPr="000E2C4E">
        <w:t>.</w:t>
      </w:r>
      <w:r w:rsidR="00681273">
        <w:t xml:space="preserve"> 1,1611 ha</w:t>
      </w:r>
      <w:r w:rsidR="005F4D8C">
        <w:t>)</w:t>
      </w:r>
      <w:r w:rsidR="00681273">
        <w:t>.</w:t>
      </w:r>
    </w:p>
    <w:p w:rsidR="00490D91" w:rsidRDefault="008E1FF7" w:rsidP="003857D0">
      <w:pPr>
        <w:pStyle w:val="Tekstpodstawowy"/>
        <w:spacing w:after="0"/>
        <w:ind w:firstLine="708"/>
        <w:jc w:val="both"/>
      </w:pPr>
      <w:r>
        <w:t>4</w:t>
      </w:r>
      <w:r w:rsidR="00490D91">
        <w:t xml:space="preserve">. </w:t>
      </w:r>
      <w:r w:rsidR="00254030">
        <w:t>Zbywane</w:t>
      </w:r>
      <w:r w:rsidR="00490D91">
        <w:t xml:space="preserve"> grunty położone są w otoczeniu lotniska i z tego powodu  dla ww. obszaru obowiązują między innymi ograniczenia</w:t>
      </w:r>
      <w:r w:rsidR="00254030">
        <w:t xml:space="preserve"> wysokości obiektów budowlanych </w:t>
      </w:r>
      <w:r w:rsidR="00490D91">
        <w:t>i naturalnych, w tym umieszczonych na nich urządzeń (np. maszty, anteny) określone</w:t>
      </w:r>
      <w:r w:rsidR="00254030">
        <w:t xml:space="preserve"> </w:t>
      </w:r>
      <w:r w:rsidR="00490D91">
        <w:t>w dokumentacji rejestracyjnej lotniska Toruń i przepisach odrębnych.</w:t>
      </w:r>
    </w:p>
    <w:p w:rsidR="0098743B" w:rsidRDefault="0098743B" w:rsidP="003857D0">
      <w:pPr>
        <w:pStyle w:val="Tekstpodstawowy"/>
        <w:spacing w:after="0"/>
        <w:ind w:firstLine="708"/>
        <w:jc w:val="both"/>
      </w:pPr>
    </w:p>
    <w:p w:rsidR="00B52336" w:rsidRDefault="00490D91" w:rsidP="00B52336">
      <w:pPr>
        <w:pStyle w:val="Tekstpodstawowy"/>
        <w:spacing w:after="0"/>
        <w:ind w:firstLine="708"/>
        <w:jc w:val="both"/>
      </w:pPr>
      <w:r>
        <w:rPr>
          <w:rFonts w:eastAsia="Times New Roman"/>
        </w:rPr>
        <w:t xml:space="preserve">§4.1. </w:t>
      </w:r>
      <w:r w:rsidR="00B52336">
        <w:rPr>
          <w:rFonts w:eastAsia="Times New Roman"/>
          <w:lang w:bidi="pl-PL"/>
        </w:rPr>
        <w:t xml:space="preserve">Zbywany grunty oznaczony jako </w:t>
      </w:r>
      <w:r w:rsidR="00B52336" w:rsidRPr="00FD7C4C">
        <w:rPr>
          <w:rFonts w:eastAsia="Times New Roman"/>
          <w:b/>
          <w:lang w:bidi="pl-PL"/>
        </w:rPr>
        <w:t>kompleks nr 1</w:t>
      </w:r>
      <w:r w:rsidR="00B52336">
        <w:rPr>
          <w:rFonts w:eastAsia="Times New Roman"/>
          <w:lang w:bidi="pl-PL"/>
        </w:rPr>
        <w:t xml:space="preserve"> jest </w:t>
      </w:r>
      <w:r w:rsidR="00B52336">
        <w:rPr>
          <w:rFonts w:eastAsia="Times New Roman"/>
        </w:rPr>
        <w:t xml:space="preserve">niezabudowany, niezagospodarowany, porośnięty drzewami i krzewami, częściowo ogrodzony </w:t>
      </w:r>
      <w:r w:rsidR="00B52336">
        <w:t xml:space="preserve">(w granicach działki nr 35/15 przebiega ogrodzenie sąsiedniej działki – 35/14). W granicach działki znajduje się betonowy słup oświetleniowy oraz znajdować się mogą pozostałości obiektów budowlanych i infrastruktury podziemnej. </w:t>
      </w:r>
    </w:p>
    <w:p w:rsidR="00B52336" w:rsidRDefault="00B52336" w:rsidP="00B52336">
      <w:pPr>
        <w:pStyle w:val="Tekstpodstawowy"/>
        <w:spacing w:after="0"/>
        <w:jc w:val="both"/>
      </w:pPr>
      <w:r>
        <w:t xml:space="preserve">Uzbrojenie - w przebiegu ulicy Pera </w:t>
      </w:r>
      <w:proofErr w:type="spellStart"/>
      <w:r>
        <w:t>Jonssona</w:t>
      </w:r>
      <w:proofErr w:type="spellEnd"/>
      <w:r>
        <w:t>: sieć elektroenergetyczna, wodociągowa, kanalizacji deszczowej i sanitarnej, - w przebiegu ulicy Szosa Bydgoska: sieć gazowa.</w:t>
      </w:r>
      <w:r>
        <w:br/>
        <w:t>W granicach działki przebiega przyłącze energetyczne służące dawniej zasilaniu słupów oświetleniowych. W zachodniej części działki –</w:t>
      </w:r>
      <w:r w:rsidR="005267F5">
        <w:t xml:space="preserve"> </w:t>
      </w:r>
      <w:r>
        <w:t>przebieg</w:t>
      </w:r>
      <w:r w:rsidR="005267F5">
        <w:t>a sieć</w:t>
      </w:r>
      <w:r>
        <w:t xml:space="preserve"> ciepłownicz</w:t>
      </w:r>
      <w:r w:rsidR="005267F5">
        <w:t>a</w:t>
      </w:r>
      <w:r>
        <w:br/>
        <w:t>i telekomunikacyjn</w:t>
      </w:r>
      <w:r w:rsidR="005267F5">
        <w:t>a.</w:t>
      </w:r>
      <w:r>
        <w:t xml:space="preserve"> Nabywca nieruchomości w akcie notarialnym zostanie zobowiązany do każdorazowego nieodpłatnego udostępniania nabywanych gruntów właścicielom infrastruktury w celu  dokonywania  prac konserwatorskich lub usunięcia ewentualnych awarii oraz przyłączania nowych inwestycji do już istniejących sieci.</w:t>
      </w:r>
    </w:p>
    <w:p w:rsidR="00B52336" w:rsidRDefault="00B52336" w:rsidP="00B52336">
      <w:pPr>
        <w:pStyle w:val="Tekstpodstawowy"/>
        <w:spacing w:after="0"/>
        <w:jc w:val="both"/>
      </w:pPr>
      <w:r>
        <w:t xml:space="preserve">Zaopatrzenie w wodę można przewidzieć w nawiązaniu do istniejącego wodociągu DN250 znajdującego się w ul. Pera </w:t>
      </w:r>
      <w:proofErr w:type="spellStart"/>
      <w:r>
        <w:t>Jonssona</w:t>
      </w:r>
      <w:proofErr w:type="spellEnd"/>
      <w:r>
        <w:t xml:space="preserve"> zaś odprowadzenie ścieków do istniejącej kanalizacji sanitarnej DN 200 w ul. Pera </w:t>
      </w:r>
      <w:proofErr w:type="spellStart"/>
      <w:r>
        <w:t>Jonssona</w:t>
      </w:r>
      <w:proofErr w:type="spellEnd"/>
      <w:r>
        <w:t>.</w:t>
      </w:r>
    </w:p>
    <w:p w:rsidR="000B2E9F" w:rsidRDefault="00B52336" w:rsidP="000B2E9F">
      <w:pPr>
        <w:pStyle w:val="Tekstpodstawowy"/>
        <w:spacing w:after="0"/>
        <w:ind w:firstLine="708"/>
        <w:jc w:val="both"/>
      </w:pPr>
      <w:r>
        <w:rPr>
          <w:rFonts w:eastAsia="Times New Roman"/>
          <w:lang w:bidi="pl-PL"/>
        </w:rPr>
        <w:t xml:space="preserve">2. </w:t>
      </w:r>
      <w:r w:rsidR="00490D91">
        <w:rPr>
          <w:rFonts w:eastAsia="Times New Roman"/>
          <w:lang w:bidi="pl-PL"/>
        </w:rPr>
        <w:t>Zbywan</w:t>
      </w:r>
      <w:r>
        <w:rPr>
          <w:rFonts w:eastAsia="Times New Roman"/>
          <w:lang w:bidi="pl-PL"/>
        </w:rPr>
        <w:t xml:space="preserve">y grunt oznaczony jako </w:t>
      </w:r>
      <w:r w:rsidRPr="000B2E9F">
        <w:rPr>
          <w:rFonts w:eastAsia="Times New Roman"/>
          <w:b/>
          <w:lang w:bidi="pl-PL"/>
        </w:rPr>
        <w:t>kompleks nr 2</w:t>
      </w:r>
      <w:r>
        <w:rPr>
          <w:rFonts w:eastAsia="Times New Roman"/>
          <w:lang w:bidi="pl-PL"/>
        </w:rPr>
        <w:t xml:space="preserve"> jest</w:t>
      </w:r>
      <w:r w:rsidR="00490D91">
        <w:rPr>
          <w:rFonts w:eastAsia="Times New Roman"/>
        </w:rPr>
        <w:t xml:space="preserve"> niezabudowan</w:t>
      </w:r>
      <w:r>
        <w:rPr>
          <w:rFonts w:eastAsia="Times New Roman"/>
        </w:rPr>
        <w:t>y</w:t>
      </w:r>
      <w:r w:rsidR="00490D91">
        <w:rPr>
          <w:rFonts w:eastAsia="Times New Roman"/>
        </w:rPr>
        <w:t>, niezagospodarowan</w:t>
      </w:r>
      <w:r>
        <w:rPr>
          <w:rFonts w:eastAsia="Times New Roman"/>
        </w:rPr>
        <w:t>y</w:t>
      </w:r>
      <w:r w:rsidR="00490D91">
        <w:rPr>
          <w:rFonts w:eastAsia="Times New Roman"/>
        </w:rPr>
        <w:t>, porośnięt</w:t>
      </w:r>
      <w:r>
        <w:rPr>
          <w:rFonts w:eastAsia="Times New Roman"/>
        </w:rPr>
        <w:t xml:space="preserve">y drzewami </w:t>
      </w:r>
      <w:r w:rsidR="00490D91">
        <w:rPr>
          <w:rFonts w:eastAsia="Times New Roman"/>
        </w:rPr>
        <w:t>i krzewami, częściowo ogrodzon</w:t>
      </w:r>
      <w:r>
        <w:rPr>
          <w:rFonts w:eastAsia="Times New Roman"/>
        </w:rPr>
        <w:t>y</w:t>
      </w:r>
      <w:r w:rsidR="00490D91">
        <w:rPr>
          <w:rFonts w:eastAsia="Times New Roman"/>
        </w:rPr>
        <w:t xml:space="preserve"> </w:t>
      </w:r>
      <w:r w:rsidR="00490D91">
        <w:t>(ogrodzenia sąsiednich działek)</w:t>
      </w:r>
      <w:r w:rsidR="00490D91">
        <w:rPr>
          <w:rFonts w:eastAsia="Times New Roman"/>
        </w:rPr>
        <w:t>.</w:t>
      </w:r>
      <w:r w:rsidR="00490D91">
        <w:t xml:space="preserve"> Na terenie działek </w:t>
      </w:r>
      <w:r>
        <w:t>z</w:t>
      </w:r>
      <w:r w:rsidR="00490D91">
        <w:t xml:space="preserve">najdują się </w:t>
      </w:r>
      <w:r w:rsidR="000B2E9F">
        <w:t xml:space="preserve">m.in. nieczynne </w:t>
      </w:r>
      <w:r w:rsidR="00490D91">
        <w:t>słupy oświetleniowe</w:t>
      </w:r>
      <w:r>
        <w:t>,</w:t>
      </w:r>
      <w:r w:rsidR="00490D91">
        <w:t xml:space="preserve"> </w:t>
      </w:r>
      <w:r w:rsidR="000B2E9F">
        <w:t xml:space="preserve">pozostałości po rozebranej bocznicy kolejowej, </w:t>
      </w:r>
      <w:r w:rsidR="00490D91">
        <w:t>mogą też znajdować się po</w:t>
      </w:r>
      <w:r>
        <w:t xml:space="preserve">zostałości obiektów budowalnych </w:t>
      </w:r>
      <w:r w:rsidR="00490D91">
        <w:t>i infrastruktury podziemnej</w:t>
      </w:r>
      <w:r w:rsidR="000B2E9F">
        <w:t xml:space="preserve"> tj.:</w:t>
      </w:r>
      <w:r w:rsidR="00490D91">
        <w:t xml:space="preserve"> sie</w:t>
      </w:r>
      <w:r>
        <w:t xml:space="preserve">ci: ciepłownicza, kanalizacyjna </w:t>
      </w:r>
      <w:r w:rsidR="00490D91">
        <w:t>i energetyczna oraz przyłącze energetyczne służące dawniej zasilaniu słupów oświetleniowych.</w:t>
      </w:r>
      <w:r w:rsidR="000B2E9F">
        <w:t xml:space="preserve"> </w:t>
      </w:r>
      <w:r w:rsidR="00490D91">
        <w:t xml:space="preserve">Sieci kabla  elektroenergetycznego oraz odcinek oświetlenia energetycznego, przebiegające po gruntach nie są własnością ENERGA-OPERATOR S.A. Oddział w Toruniu. PGE Toruń SA </w:t>
      </w:r>
      <w:r w:rsidR="000B2E9F">
        <w:t xml:space="preserve">również </w:t>
      </w:r>
      <w:r w:rsidR="00490D91">
        <w:t xml:space="preserve">nie </w:t>
      </w:r>
      <w:r w:rsidR="00490D91">
        <w:lastRenderedPageBreak/>
        <w:t xml:space="preserve">posiada na terenie </w:t>
      </w:r>
      <w:r w:rsidR="00C51449">
        <w:t>kompleksu</w:t>
      </w:r>
      <w:r w:rsidR="00490D91">
        <w:t xml:space="preserve"> swojej infrastruktury technicznej. </w:t>
      </w:r>
    </w:p>
    <w:p w:rsidR="00490D91" w:rsidRDefault="00490D91" w:rsidP="000B2E9F">
      <w:pPr>
        <w:pStyle w:val="Tekstpodstawowy"/>
        <w:spacing w:after="0"/>
        <w:jc w:val="both"/>
      </w:pPr>
      <w:r>
        <w:t xml:space="preserve">Uzbrojenie: w przebiegu ulicy Szosa Bydgoska i Pera </w:t>
      </w:r>
      <w:proofErr w:type="spellStart"/>
      <w:r>
        <w:t>Jonssona</w:t>
      </w:r>
      <w:proofErr w:type="spellEnd"/>
      <w:r>
        <w:t xml:space="preserve">: sieć energetyczna, wodociągowa, kanalizacji deszczowej i sanitarnej, sieć gazowa. </w:t>
      </w:r>
    </w:p>
    <w:p w:rsidR="00490D91" w:rsidRDefault="00490D91" w:rsidP="00490D91">
      <w:pPr>
        <w:pStyle w:val="Tekstpodstawowy"/>
        <w:spacing w:after="0"/>
        <w:jc w:val="both"/>
      </w:pPr>
      <w:r>
        <w:t xml:space="preserve">Spółka Toruńskie Wodociągi Sp. z o.o. </w:t>
      </w:r>
      <w:r w:rsidR="000B2E9F">
        <w:t>przystąpiła</w:t>
      </w:r>
      <w:r>
        <w:t xml:space="preserve"> </w:t>
      </w:r>
      <w:r w:rsidR="000B2E9F">
        <w:t xml:space="preserve">do budowy </w:t>
      </w:r>
      <w:r>
        <w:t xml:space="preserve">sieci wodociągowej i kanalizacji sanitarnej umożliwiających zaopatrzenie w wodę i odbiór ścieków sanitarnych z nieruchomości opisanych </w:t>
      </w:r>
      <w:r w:rsidR="00B52336">
        <w:t>jako kompleks nr 2</w:t>
      </w:r>
      <w:r>
        <w:t xml:space="preserve"> niniejszego regulaminu</w:t>
      </w:r>
      <w:r w:rsidR="0098743B">
        <w:t>. Wł</w:t>
      </w:r>
      <w:r>
        <w:t>ączenie do tych sieci będzie mogło nastąpić po ich wybudowaniu i przekazaniu do eksploatacji.</w:t>
      </w:r>
    </w:p>
    <w:p w:rsidR="00490D91" w:rsidRDefault="00254030" w:rsidP="00490D91">
      <w:pPr>
        <w:ind w:firstLine="578"/>
        <w:jc w:val="both"/>
      </w:pPr>
      <w:r>
        <w:rPr>
          <w:color w:val="000000"/>
        </w:rPr>
        <w:t>3</w:t>
      </w:r>
      <w:r w:rsidR="00490D91">
        <w:rPr>
          <w:color w:val="000000"/>
        </w:rPr>
        <w:t>.</w:t>
      </w:r>
      <w:r w:rsidR="00490D91">
        <w:t xml:space="preserve"> Przed przystąpieniem do przetargu jego uczestnik winien we własnym zakresie ustalić możliwość realizacji na nieruchomości planowanego przedsięwzięcia oraz jego zgodność</w:t>
      </w:r>
      <w:r w:rsidR="00490D91">
        <w:br/>
        <w:t>z przepisami odrębnymi.</w:t>
      </w:r>
    </w:p>
    <w:p w:rsidR="00254030" w:rsidRDefault="00254030" w:rsidP="00490D91">
      <w:pPr>
        <w:pStyle w:val="Tekstpodstawowy"/>
        <w:widowControl/>
        <w:tabs>
          <w:tab w:val="left" w:pos="435"/>
        </w:tabs>
        <w:spacing w:after="0" w:line="276" w:lineRule="auto"/>
        <w:ind w:left="11" w:firstLine="567"/>
        <w:jc w:val="both"/>
      </w:pPr>
    </w:p>
    <w:p w:rsidR="00490D91" w:rsidRDefault="00490D91" w:rsidP="00490D91">
      <w:pPr>
        <w:pStyle w:val="Tekstpodstawowy"/>
        <w:tabs>
          <w:tab w:val="left" w:pos="424"/>
        </w:tabs>
        <w:spacing w:after="0" w:line="360" w:lineRule="auto"/>
        <w:ind w:firstLine="567"/>
        <w:rPr>
          <w:rFonts w:eastAsia="Times New Roman"/>
        </w:rPr>
      </w:pPr>
      <w:r>
        <w:rPr>
          <w:rFonts w:eastAsia="Times New Roman"/>
        </w:rPr>
        <w:t>§5.1.Ustala się następujące warunki i kolejność przetargów:</w:t>
      </w:r>
    </w:p>
    <w:tbl>
      <w:tblPr>
        <w:tblpPr w:leftFromText="141" w:rightFromText="141" w:vertAnchor="text" w:horzAnchor="margin" w:tblpXSpec="center" w:tblpY="74"/>
        <w:tblW w:w="9705" w:type="dxa"/>
        <w:tblLayout w:type="fixed"/>
        <w:tblCellMar>
          <w:left w:w="70" w:type="dxa"/>
          <w:right w:w="70" w:type="dxa"/>
        </w:tblCellMar>
        <w:tblLook w:val="04A0" w:firstRow="1" w:lastRow="0" w:firstColumn="1" w:lastColumn="0" w:noHBand="0" w:noVBand="1"/>
      </w:tblPr>
      <w:tblGrid>
        <w:gridCol w:w="495"/>
        <w:gridCol w:w="2337"/>
        <w:gridCol w:w="1418"/>
        <w:gridCol w:w="990"/>
        <w:gridCol w:w="2835"/>
        <w:gridCol w:w="1630"/>
      </w:tblGrid>
      <w:tr w:rsidR="00490D91" w:rsidTr="00254030">
        <w:trPr>
          <w:trHeight w:val="423"/>
        </w:trPr>
        <w:tc>
          <w:tcPr>
            <w:tcW w:w="495" w:type="dxa"/>
            <w:tcBorders>
              <w:top w:val="single" w:sz="4" w:space="0" w:color="000000"/>
              <w:left w:val="single" w:sz="4" w:space="0" w:color="000000"/>
              <w:bottom w:val="single" w:sz="4" w:space="0" w:color="000000"/>
              <w:right w:val="nil"/>
            </w:tcBorders>
          </w:tcPr>
          <w:p w:rsidR="00490D91" w:rsidRDefault="00490D91" w:rsidP="00254030">
            <w:pPr>
              <w:pStyle w:val="WW-Zawartotabeli11"/>
              <w:snapToGrid w:val="0"/>
              <w:spacing w:before="120" w:line="200" w:lineRule="atLeast"/>
              <w:rPr>
                <w:sz w:val="22"/>
                <w:szCs w:val="22"/>
                <w:lang w:eastAsia="en-US"/>
              </w:rPr>
            </w:pPr>
            <w:r>
              <w:rPr>
                <w:sz w:val="22"/>
                <w:szCs w:val="22"/>
                <w:lang w:eastAsia="en-US"/>
              </w:rPr>
              <w:t>Lp.</w:t>
            </w:r>
          </w:p>
        </w:tc>
        <w:tc>
          <w:tcPr>
            <w:tcW w:w="2337" w:type="dxa"/>
            <w:tcBorders>
              <w:top w:val="single" w:sz="4" w:space="0" w:color="000000"/>
              <w:left w:val="single" w:sz="4" w:space="0" w:color="000000"/>
              <w:bottom w:val="single" w:sz="4" w:space="0" w:color="000000"/>
              <w:right w:val="nil"/>
            </w:tcBorders>
          </w:tcPr>
          <w:p w:rsidR="00490D91" w:rsidRDefault="00490D91" w:rsidP="00254030">
            <w:pPr>
              <w:pStyle w:val="WW-Zawartotabeli11"/>
              <w:snapToGrid w:val="0"/>
              <w:spacing w:before="120" w:line="200" w:lineRule="atLeast"/>
              <w:rPr>
                <w:sz w:val="22"/>
                <w:szCs w:val="22"/>
                <w:lang w:eastAsia="en-US"/>
              </w:rPr>
            </w:pPr>
            <w:r>
              <w:rPr>
                <w:sz w:val="22"/>
                <w:szCs w:val="22"/>
                <w:lang w:eastAsia="en-US"/>
              </w:rPr>
              <w:t>Położenie</w:t>
            </w:r>
          </w:p>
        </w:tc>
        <w:tc>
          <w:tcPr>
            <w:tcW w:w="1418" w:type="dxa"/>
            <w:tcBorders>
              <w:top w:val="single" w:sz="4" w:space="0" w:color="000000"/>
              <w:left w:val="single" w:sz="4" w:space="0" w:color="000000"/>
              <w:bottom w:val="single" w:sz="4" w:space="0" w:color="000000"/>
              <w:right w:val="nil"/>
            </w:tcBorders>
            <w:hideMark/>
          </w:tcPr>
          <w:p w:rsidR="00490D91" w:rsidRDefault="00490D91">
            <w:pPr>
              <w:pStyle w:val="WW-Zawartotabeli11"/>
              <w:snapToGrid w:val="0"/>
              <w:spacing w:before="120" w:line="200" w:lineRule="atLeast"/>
              <w:rPr>
                <w:sz w:val="22"/>
                <w:szCs w:val="22"/>
                <w:lang w:eastAsia="en-US"/>
              </w:rPr>
            </w:pPr>
            <w:r>
              <w:rPr>
                <w:sz w:val="22"/>
                <w:szCs w:val="22"/>
                <w:lang w:eastAsia="en-US"/>
              </w:rPr>
              <w:t>Nr działki</w:t>
            </w:r>
          </w:p>
        </w:tc>
        <w:tc>
          <w:tcPr>
            <w:tcW w:w="990" w:type="dxa"/>
            <w:tcBorders>
              <w:top w:val="single" w:sz="4" w:space="0" w:color="000000"/>
              <w:left w:val="single" w:sz="4" w:space="0" w:color="000000"/>
              <w:bottom w:val="single" w:sz="4" w:space="0" w:color="000000"/>
              <w:right w:val="single" w:sz="4" w:space="0" w:color="000000"/>
            </w:tcBorders>
            <w:hideMark/>
          </w:tcPr>
          <w:p w:rsidR="00490D91" w:rsidRDefault="00490D91">
            <w:pPr>
              <w:pStyle w:val="WW-Zawartotabeli11"/>
              <w:snapToGrid w:val="0"/>
              <w:spacing w:before="120" w:line="200" w:lineRule="atLeast"/>
              <w:rPr>
                <w:sz w:val="22"/>
                <w:szCs w:val="22"/>
                <w:lang w:eastAsia="en-US"/>
              </w:rPr>
            </w:pPr>
            <w:r>
              <w:rPr>
                <w:sz w:val="22"/>
                <w:szCs w:val="22"/>
                <w:lang w:eastAsia="en-US"/>
              </w:rPr>
              <w:t>Pow. ha</w:t>
            </w:r>
          </w:p>
        </w:tc>
        <w:tc>
          <w:tcPr>
            <w:tcW w:w="2835" w:type="dxa"/>
            <w:tcBorders>
              <w:top w:val="single" w:sz="4" w:space="0" w:color="000000"/>
              <w:left w:val="single" w:sz="4" w:space="0" w:color="000000"/>
              <w:bottom w:val="single" w:sz="4" w:space="0" w:color="000000"/>
              <w:right w:val="single" w:sz="4" w:space="0" w:color="000000"/>
            </w:tcBorders>
            <w:hideMark/>
          </w:tcPr>
          <w:p w:rsidR="00490D91" w:rsidRPr="00254030" w:rsidRDefault="00490D91" w:rsidP="00254030">
            <w:pPr>
              <w:pStyle w:val="Tekstpodstawowy31"/>
              <w:snapToGrid w:val="0"/>
              <w:spacing w:before="120"/>
              <w:jc w:val="center"/>
              <w:rPr>
                <w:sz w:val="22"/>
                <w:szCs w:val="22"/>
                <w:lang w:eastAsia="en-US"/>
              </w:rPr>
            </w:pPr>
            <w:r>
              <w:rPr>
                <w:sz w:val="22"/>
                <w:szCs w:val="22"/>
                <w:lang w:eastAsia="en-US"/>
              </w:rPr>
              <w:t>Cena wywoławcza z VAT (zł)</w:t>
            </w:r>
          </w:p>
        </w:tc>
        <w:tc>
          <w:tcPr>
            <w:tcW w:w="1630" w:type="dxa"/>
            <w:tcBorders>
              <w:top w:val="single" w:sz="4" w:space="0" w:color="000000"/>
              <w:left w:val="single" w:sz="4" w:space="0" w:color="000000"/>
              <w:bottom w:val="single" w:sz="4" w:space="0" w:color="000000"/>
              <w:right w:val="single" w:sz="4" w:space="0" w:color="000000"/>
            </w:tcBorders>
            <w:hideMark/>
          </w:tcPr>
          <w:p w:rsidR="00490D91" w:rsidRDefault="00490D91">
            <w:pPr>
              <w:pStyle w:val="Tekstpodstawowy31"/>
              <w:snapToGrid w:val="0"/>
              <w:spacing w:before="120"/>
              <w:jc w:val="center"/>
              <w:rPr>
                <w:sz w:val="22"/>
                <w:szCs w:val="22"/>
                <w:lang w:eastAsia="en-US"/>
              </w:rPr>
            </w:pPr>
            <w:r>
              <w:rPr>
                <w:sz w:val="22"/>
                <w:szCs w:val="22"/>
                <w:lang w:eastAsia="en-US"/>
              </w:rPr>
              <w:t>Wadium (zł)</w:t>
            </w:r>
          </w:p>
        </w:tc>
      </w:tr>
      <w:tr w:rsidR="00490D91" w:rsidTr="00254030">
        <w:trPr>
          <w:trHeight w:val="325"/>
        </w:trPr>
        <w:tc>
          <w:tcPr>
            <w:tcW w:w="495" w:type="dxa"/>
            <w:tcBorders>
              <w:top w:val="single" w:sz="4" w:space="0" w:color="auto"/>
              <w:left w:val="single" w:sz="4" w:space="0" w:color="auto"/>
              <w:bottom w:val="single" w:sz="4" w:space="0" w:color="auto"/>
              <w:right w:val="single" w:sz="4" w:space="0" w:color="auto"/>
            </w:tcBorders>
            <w:hideMark/>
          </w:tcPr>
          <w:p w:rsidR="00490D91" w:rsidRDefault="00490D91">
            <w:pPr>
              <w:pStyle w:val="Zawartotabeli"/>
              <w:spacing w:before="120"/>
              <w:rPr>
                <w:sz w:val="22"/>
                <w:szCs w:val="22"/>
                <w:lang w:eastAsia="en-US"/>
              </w:rPr>
            </w:pPr>
            <w:r>
              <w:rPr>
                <w:sz w:val="22"/>
                <w:szCs w:val="22"/>
                <w:lang w:eastAsia="en-US"/>
              </w:rPr>
              <w:t>1.</w:t>
            </w:r>
          </w:p>
        </w:tc>
        <w:tc>
          <w:tcPr>
            <w:tcW w:w="2337" w:type="dxa"/>
            <w:tcBorders>
              <w:top w:val="single" w:sz="4" w:space="0" w:color="auto"/>
              <w:left w:val="single" w:sz="4" w:space="0" w:color="auto"/>
              <w:bottom w:val="single" w:sz="4" w:space="0" w:color="auto"/>
              <w:right w:val="single" w:sz="4" w:space="0" w:color="auto"/>
            </w:tcBorders>
            <w:hideMark/>
          </w:tcPr>
          <w:p w:rsidR="00490D91" w:rsidRDefault="00A411C2" w:rsidP="00A411C2">
            <w:pPr>
              <w:suppressAutoHyphens w:val="0"/>
              <w:spacing w:before="120"/>
              <w:rPr>
                <w:sz w:val="22"/>
                <w:szCs w:val="22"/>
                <w:lang w:eastAsia="en-US"/>
              </w:rPr>
            </w:pPr>
            <w:r>
              <w:rPr>
                <w:sz w:val="22"/>
                <w:szCs w:val="22"/>
                <w:lang w:eastAsia="en-US"/>
              </w:rPr>
              <w:t xml:space="preserve">ul. Pera </w:t>
            </w:r>
            <w:proofErr w:type="spellStart"/>
            <w:r>
              <w:rPr>
                <w:sz w:val="22"/>
                <w:szCs w:val="22"/>
                <w:lang w:eastAsia="en-US"/>
              </w:rPr>
              <w:t>Jonssona</w:t>
            </w:r>
            <w:proofErr w:type="spellEnd"/>
            <w:r>
              <w:rPr>
                <w:sz w:val="22"/>
                <w:szCs w:val="22"/>
                <w:lang w:eastAsia="en-US"/>
              </w:rPr>
              <w:t xml:space="preserve"> 4</w:t>
            </w:r>
          </w:p>
          <w:p w:rsidR="00211A88" w:rsidRPr="00211A88" w:rsidRDefault="00211A88" w:rsidP="00A411C2">
            <w:pPr>
              <w:suppressAutoHyphens w:val="0"/>
              <w:spacing w:before="120"/>
              <w:rPr>
                <w:b/>
                <w:sz w:val="22"/>
                <w:szCs w:val="22"/>
                <w:lang w:eastAsia="en-US"/>
              </w:rPr>
            </w:pPr>
            <w:r w:rsidRPr="00211A88">
              <w:rPr>
                <w:b/>
                <w:sz w:val="22"/>
                <w:szCs w:val="22"/>
                <w:lang w:eastAsia="en-US"/>
              </w:rPr>
              <w:t>kompleks nr 1</w:t>
            </w:r>
          </w:p>
        </w:tc>
        <w:tc>
          <w:tcPr>
            <w:tcW w:w="1418" w:type="dxa"/>
            <w:tcBorders>
              <w:top w:val="single" w:sz="4" w:space="0" w:color="auto"/>
              <w:left w:val="single" w:sz="4" w:space="0" w:color="auto"/>
              <w:bottom w:val="single" w:sz="4" w:space="0" w:color="auto"/>
              <w:right w:val="single" w:sz="4" w:space="0" w:color="auto"/>
            </w:tcBorders>
            <w:hideMark/>
          </w:tcPr>
          <w:p w:rsidR="00490D91" w:rsidRDefault="00A411C2">
            <w:pPr>
              <w:spacing w:before="120"/>
              <w:jc w:val="center"/>
              <w:rPr>
                <w:sz w:val="22"/>
                <w:szCs w:val="22"/>
                <w:lang w:eastAsia="en-US"/>
              </w:rPr>
            </w:pPr>
            <w:r>
              <w:rPr>
                <w:sz w:val="22"/>
                <w:szCs w:val="22"/>
                <w:lang w:eastAsia="en-US"/>
              </w:rPr>
              <w:t>35/15</w:t>
            </w:r>
          </w:p>
        </w:tc>
        <w:tc>
          <w:tcPr>
            <w:tcW w:w="990" w:type="dxa"/>
            <w:tcBorders>
              <w:top w:val="single" w:sz="4" w:space="0" w:color="auto"/>
              <w:left w:val="single" w:sz="4" w:space="0" w:color="auto"/>
              <w:bottom w:val="single" w:sz="4" w:space="0" w:color="auto"/>
              <w:right w:val="single" w:sz="4" w:space="0" w:color="auto"/>
            </w:tcBorders>
            <w:hideMark/>
          </w:tcPr>
          <w:p w:rsidR="00490D91" w:rsidRDefault="00A411C2">
            <w:pPr>
              <w:pStyle w:val="Zawartotabeli"/>
              <w:spacing w:before="120"/>
              <w:jc w:val="right"/>
              <w:rPr>
                <w:sz w:val="22"/>
                <w:szCs w:val="22"/>
                <w:lang w:eastAsia="en-US"/>
              </w:rPr>
            </w:pPr>
            <w:r>
              <w:rPr>
                <w:sz w:val="22"/>
                <w:szCs w:val="22"/>
                <w:lang w:eastAsia="en-US"/>
              </w:rPr>
              <w:t>0</w:t>
            </w:r>
            <w:r w:rsidR="00F6129D">
              <w:rPr>
                <w:sz w:val="22"/>
                <w:szCs w:val="22"/>
                <w:lang w:eastAsia="en-US"/>
              </w:rPr>
              <w:t>,</w:t>
            </w:r>
            <w:r>
              <w:rPr>
                <w:sz w:val="22"/>
                <w:szCs w:val="22"/>
                <w:lang w:eastAsia="en-US"/>
              </w:rPr>
              <w:t>3179</w:t>
            </w:r>
          </w:p>
        </w:tc>
        <w:tc>
          <w:tcPr>
            <w:tcW w:w="2835" w:type="dxa"/>
            <w:tcBorders>
              <w:top w:val="single" w:sz="4" w:space="0" w:color="auto"/>
              <w:left w:val="single" w:sz="4" w:space="0" w:color="auto"/>
              <w:bottom w:val="single" w:sz="4" w:space="0" w:color="auto"/>
              <w:right w:val="single" w:sz="4" w:space="0" w:color="auto"/>
            </w:tcBorders>
            <w:hideMark/>
          </w:tcPr>
          <w:p w:rsidR="00490D91" w:rsidRDefault="00A411C2" w:rsidP="0070724A">
            <w:pPr>
              <w:suppressAutoHyphens w:val="0"/>
              <w:spacing w:before="120"/>
              <w:jc w:val="center"/>
              <w:rPr>
                <w:sz w:val="22"/>
                <w:szCs w:val="22"/>
                <w:lang w:eastAsia="en-US"/>
              </w:rPr>
            </w:pPr>
            <w:r>
              <w:rPr>
                <w:sz w:val="22"/>
                <w:szCs w:val="22"/>
                <w:lang w:eastAsia="en-US"/>
              </w:rPr>
              <w:t>1.</w:t>
            </w:r>
            <w:r w:rsidR="0070724A">
              <w:rPr>
                <w:sz w:val="22"/>
                <w:szCs w:val="22"/>
                <w:lang w:eastAsia="en-US"/>
              </w:rPr>
              <w:t>100</w:t>
            </w:r>
            <w:r>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490D91" w:rsidRDefault="0070724A" w:rsidP="00A411C2">
            <w:pPr>
              <w:suppressAutoHyphens w:val="0"/>
              <w:spacing w:before="120"/>
              <w:jc w:val="center"/>
              <w:rPr>
                <w:sz w:val="22"/>
                <w:szCs w:val="22"/>
                <w:lang w:eastAsia="en-US"/>
              </w:rPr>
            </w:pPr>
            <w:r>
              <w:rPr>
                <w:sz w:val="22"/>
                <w:szCs w:val="22"/>
                <w:lang w:eastAsia="en-US"/>
              </w:rPr>
              <w:t>110</w:t>
            </w:r>
            <w:r w:rsidR="00A411C2">
              <w:rPr>
                <w:sz w:val="22"/>
                <w:szCs w:val="22"/>
                <w:lang w:eastAsia="en-US"/>
              </w:rPr>
              <w:t>.000,00</w:t>
            </w:r>
          </w:p>
        </w:tc>
      </w:tr>
      <w:tr w:rsidR="00490D91" w:rsidTr="00254030">
        <w:trPr>
          <w:trHeight w:val="325"/>
        </w:trPr>
        <w:tc>
          <w:tcPr>
            <w:tcW w:w="495" w:type="dxa"/>
            <w:tcBorders>
              <w:top w:val="single" w:sz="4" w:space="0" w:color="auto"/>
              <w:left w:val="single" w:sz="4" w:space="0" w:color="auto"/>
              <w:bottom w:val="single" w:sz="4" w:space="0" w:color="auto"/>
              <w:right w:val="single" w:sz="4" w:space="0" w:color="auto"/>
            </w:tcBorders>
            <w:hideMark/>
          </w:tcPr>
          <w:p w:rsidR="00490D91" w:rsidRDefault="00490D91">
            <w:pPr>
              <w:pStyle w:val="Zawartotabeli"/>
              <w:spacing w:before="120"/>
              <w:rPr>
                <w:sz w:val="22"/>
                <w:szCs w:val="22"/>
                <w:lang w:eastAsia="en-US"/>
              </w:rPr>
            </w:pPr>
            <w:r>
              <w:rPr>
                <w:sz w:val="22"/>
                <w:szCs w:val="22"/>
                <w:lang w:eastAsia="en-US"/>
              </w:rPr>
              <w:t xml:space="preserve">2. </w:t>
            </w:r>
          </w:p>
        </w:tc>
        <w:tc>
          <w:tcPr>
            <w:tcW w:w="2337" w:type="dxa"/>
            <w:tcBorders>
              <w:top w:val="single" w:sz="4" w:space="0" w:color="auto"/>
              <w:left w:val="single" w:sz="4" w:space="0" w:color="auto"/>
              <w:bottom w:val="single" w:sz="4" w:space="0" w:color="auto"/>
              <w:right w:val="single" w:sz="4" w:space="0" w:color="auto"/>
            </w:tcBorders>
            <w:hideMark/>
          </w:tcPr>
          <w:p w:rsidR="00490D91" w:rsidRDefault="00A411C2" w:rsidP="001A035D">
            <w:pPr>
              <w:suppressAutoHyphens w:val="0"/>
              <w:spacing w:before="120"/>
              <w:rPr>
                <w:sz w:val="22"/>
                <w:szCs w:val="22"/>
                <w:lang w:eastAsia="en-US"/>
              </w:rPr>
            </w:pPr>
            <w:r>
              <w:rPr>
                <w:sz w:val="22"/>
                <w:szCs w:val="22"/>
                <w:lang w:eastAsia="en-US"/>
              </w:rPr>
              <w:t xml:space="preserve">ul. Szosa Bydgoska 76-80 </w:t>
            </w:r>
          </w:p>
          <w:p w:rsidR="00211A88" w:rsidRPr="00211A88" w:rsidRDefault="00211A88" w:rsidP="001A035D">
            <w:pPr>
              <w:suppressAutoHyphens w:val="0"/>
              <w:spacing w:before="120"/>
              <w:rPr>
                <w:b/>
                <w:sz w:val="22"/>
                <w:szCs w:val="22"/>
                <w:lang w:eastAsia="en-US"/>
              </w:rPr>
            </w:pPr>
            <w:r w:rsidRPr="00211A88">
              <w:rPr>
                <w:b/>
                <w:sz w:val="22"/>
                <w:szCs w:val="22"/>
                <w:lang w:eastAsia="en-US"/>
              </w:rPr>
              <w:t>kompleks nr 2</w:t>
            </w:r>
          </w:p>
        </w:tc>
        <w:tc>
          <w:tcPr>
            <w:tcW w:w="1418" w:type="dxa"/>
            <w:tcBorders>
              <w:top w:val="single" w:sz="4" w:space="0" w:color="auto"/>
              <w:left w:val="single" w:sz="4" w:space="0" w:color="auto"/>
              <w:bottom w:val="single" w:sz="4" w:space="0" w:color="auto"/>
              <w:right w:val="single" w:sz="4" w:space="0" w:color="auto"/>
            </w:tcBorders>
            <w:hideMark/>
          </w:tcPr>
          <w:p w:rsidR="00490D91" w:rsidRDefault="00A411C2">
            <w:pPr>
              <w:spacing w:before="120"/>
              <w:jc w:val="center"/>
              <w:rPr>
                <w:sz w:val="22"/>
                <w:szCs w:val="22"/>
                <w:lang w:eastAsia="en-US"/>
              </w:rPr>
            </w:pPr>
            <w:r>
              <w:rPr>
                <w:sz w:val="22"/>
                <w:szCs w:val="22"/>
                <w:lang w:eastAsia="en-US"/>
              </w:rPr>
              <w:t>35/16 , 44/3 , 45/1, 91/4 , 102/4</w:t>
            </w:r>
          </w:p>
        </w:tc>
        <w:tc>
          <w:tcPr>
            <w:tcW w:w="990" w:type="dxa"/>
            <w:tcBorders>
              <w:top w:val="single" w:sz="4" w:space="0" w:color="auto"/>
              <w:left w:val="single" w:sz="4" w:space="0" w:color="auto"/>
              <w:bottom w:val="single" w:sz="4" w:space="0" w:color="auto"/>
              <w:right w:val="single" w:sz="4" w:space="0" w:color="auto"/>
            </w:tcBorders>
            <w:hideMark/>
          </w:tcPr>
          <w:p w:rsidR="00490D91" w:rsidRDefault="00A411C2">
            <w:pPr>
              <w:pStyle w:val="Zawartotabeli"/>
              <w:spacing w:before="120"/>
              <w:jc w:val="right"/>
              <w:rPr>
                <w:sz w:val="22"/>
                <w:szCs w:val="22"/>
                <w:lang w:eastAsia="en-US"/>
              </w:rPr>
            </w:pPr>
            <w:r>
              <w:rPr>
                <w:sz w:val="22"/>
                <w:szCs w:val="22"/>
                <w:lang w:eastAsia="en-US"/>
              </w:rPr>
              <w:t>0,6268</w:t>
            </w:r>
          </w:p>
        </w:tc>
        <w:tc>
          <w:tcPr>
            <w:tcW w:w="2835" w:type="dxa"/>
            <w:tcBorders>
              <w:top w:val="single" w:sz="4" w:space="0" w:color="auto"/>
              <w:left w:val="single" w:sz="4" w:space="0" w:color="auto"/>
              <w:bottom w:val="single" w:sz="4" w:space="0" w:color="auto"/>
              <w:right w:val="single" w:sz="4" w:space="0" w:color="auto"/>
            </w:tcBorders>
            <w:hideMark/>
          </w:tcPr>
          <w:p w:rsidR="00490D91" w:rsidRDefault="00A411C2" w:rsidP="0070724A">
            <w:pPr>
              <w:spacing w:before="120"/>
              <w:jc w:val="center"/>
              <w:rPr>
                <w:sz w:val="22"/>
                <w:szCs w:val="22"/>
                <w:lang w:eastAsia="en-US"/>
              </w:rPr>
            </w:pPr>
            <w:r>
              <w:rPr>
                <w:sz w:val="22"/>
                <w:szCs w:val="22"/>
                <w:lang w:eastAsia="en-US"/>
              </w:rPr>
              <w:t>2</w:t>
            </w:r>
            <w:r w:rsidR="00490D91">
              <w:rPr>
                <w:sz w:val="22"/>
                <w:szCs w:val="22"/>
                <w:lang w:eastAsia="en-US"/>
              </w:rPr>
              <w:t>.</w:t>
            </w:r>
            <w:r w:rsidR="0070724A">
              <w:rPr>
                <w:sz w:val="22"/>
                <w:szCs w:val="22"/>
                <w:lang w:eastAsia="en-US"/>
              </w:rPr>
              <w:t>100</w:t>
            </w:r>
            <w:r w:rsidR="00490D91">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490D91" w:rsidRDefault="0070724A" w:rsidP="00EF26D2">
            <w:pPr>
              <w:pStyle w:val="NormalnyWeb"/>
              <w:spacing w:before="120" w:beforeAutospacing="0" w:after="0" w:line="240" w:lineRule="auto"/>
              <w:jc w:val="center"/>
              <w:rPr>
                <w:sz w:val="22"/>
                <w:szCs w:val="22"/>
                <w:lang w:eastAsia="en-US"/>
              </w:rPr>
            </w:pPr>
            <w:r>
              <w:rPr>
                <w:sz w:val="22"/>
                <w:szCs w:val="22"/>
                <w:lang w:eastAsia="en-US"/>
              </w:rPr>
              <w:t>210</w:t>
            </w:r>
            <w:r w:rsidR="00A411C2">
              <w:rPr>
                <w:sz w:val="22"/>
                <w:szCs w:val="22"/>
                <w:lang w:eastAsia="en-US"/>
              </w:rPr>
              <w:t xml:space="preserve">. </w:t>
            </w:r>
            <w:r w:rsidR="00490D91">
              <w:rPr>
                <w:sz w:val="22"/>
                <w:szCs w:val="22"/>
                <w:lang w:eastAsia="en-US"/>
              </w:rPr>
              <w:t>000,00</w:t>
            </w:r>
          </w:p>
        </w:tc>
      </w:tr>
    </w:tbl>
    <w:p w:rsidR="00490D91" w:rsidRDefault="00490D91" w:rsidP="00490D91">
      <w:pPr>
        <w:pStyle w:val="Tekstpodstawowy"/>
        <w:spacing w:after="0" w:line="276" w:lineRule="auto"/>
        <w:ind w:firstLine="567"/>
        <w:jc w:val="both"/>
        <w:rPr>
          <w:rFonts w:eastAsia="Times New Roman"/>
        </w:rPr>
      </w:pPr>
      <w:r>
        <w:rPr>
          <w:rFonts w:eastAsia="Times New Roman"/>
        </w:rPr>
        <w:t>2. Ustalona w przetargu cena stanowi cenę brutto w rozumieniu przepisów o podatku od towarów i usług.</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B070FC">
        <w:rPr>
          <w:rFonts w:eastAsia="Times New Roman"/>
          <w:b/>
        </w:rPr>
        <w:t>8</w:t>
      </w:r>
      <w:r>
        <w:rPr>
          <w:rFonts w:eastAsia="Times New Roman"/>
          <w:b/>
        </w:rPr>
        <w:t xml:space="preserve"> </w:t>
      </w:r>
      <w:r w:rsidR="00B070FC">
        <w:rPr>
          <w:rFonts w:eastAsia="Times New Roman"/>
          <w:b/>
        </w:rPr>
        <w:t>lutego</w:t>
      </w:r>
      <w:r w:rsidR="00EF26D2">
        <w:rPr>
          <w:rFonts w:eastAsia="Times New Roman"/>
          <w:b/>
        </w:rPr>
        <w:t xml:space="preserve"> 202</w:t>
      </w:r>
      <w:r w:rsidR="0070724A">
        <w:rPr>
          <w:rFonts w:eastAsia="Times New Roman"/>
          <w:b/>
        </w:rPr>
        <w:t>3</w:t>
      </w:r>
      <w:r w:rsidR="00EF26D2">
        <w:rPr>
          <w:rFonts w:eastAsia="Times New Roman"/>
          <w:b/>
        </w:rPr>
        <w:t>r.</w:t>
      </w:r>
      <w:r>
        <w:rPr>
          <w:rFonts w:eastAsia="Times New Roman"/>
        </w:rPr>
        <w:t xml:space="preserve">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490D91" w:rsidRDefault="00490D91" w:rsidP="00490D9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490D91" w:rsidRDefault="00490D91" w:rsidP="00490D91">
      <w:pPr>
        <w:pStyle w:val="Tekstpodstawowy"/>
        <w:tabs>
          <w:tab w:val="left" w:pos="554"/>
        </w:tabs>
        <w:spacing w:after="0"/>
        <w:ind w:firstLine="567"/>
        <w:jc w:val="both"/>
        <w:rPr>
          <w:rFonts w:eastAsia="Times New Roman"/>
        </w:rPr>
      </w:pPr>
      <w:r>
        <w:rPr>
          <w:rFonts w:eastAsia="Times New Roman"/>
        </w:rPr>
        <w:t xml:space="preserve">3. Komisja przetargowa w dniu </w:t>
      </w:r>
      <w:r w:rsidR="00B070FC">
        <w:rPr>
          <w:rFonts w:eastAsia="Times New Roman"/>
        </w:rPr>
        <w:t>10</w:t>
      </w:r>
      <w:r>
        <w:rPr>
          <w:rFonts w:eastAsia="Times New Roman"/>
        </w:rPr>
        <w:t xml:space="preserve"> </w:t>
      </w:r>
      <w:r w:rsidR="00B070FC">
        <w:rPr>
          <w:rFonts w:eastAsia="Times New Roman"/>
        </w:rPr>
        <w:t>lutego</w:t>
      </w:r>
      <w:r>
        <w:rPr>
          <w:rFonts w:eastAsia="Times New Roman"/>
        </w:rPr>
        <w:t xml:space="preserve"> 202</w:t>
      </w:r>
      <w:r w:rsidR="0070724A">
        <w:rPr>
          <w:rFonts w:eastAsia="Times New Roman"/>
        </w:rPr>
        <w:t>3</w:t>
      </w:r>
      <w:r>
        <w:rPr>
          <w:rFonts w:eastAsia="Times New Roman"/>
        </w:rPr>
        <w:t>r. stwierdzi dokonanie wpłat wadiów na podstawie wyciągu bankowego z wskazanego konta i sporządzi wykaz osób, które spełniły ten warunek.</w:t>
      </w:r>
    </w:p>
    <w:p w:rsidR="00490D91" w:rsidRDefault="00490D91" w:rsidP="00490D91">
      <w:pPr>
        <w:pStyle w:val="Tekstpodstawowy"/>
        <w:tabs>
          <w:tab w:val="left" w:pos="554"/>
        </w:tabs>
        <w:spacing w:after="0" w:line="276" w:lineRule="auto"/>
        <w:ind w:firstLine="567"/>
        <w:jc w:val="both"/>
        <w:rPr>
          <w:rFonts w:eastAsia="Times New Roman"/>
        </w:rPr>
      </w:pPr>
    </w:p>
    <w:p w:rsidR="00490D91" w:rsidRDefault="00490D91" w:rsidP="00490D91">
      <w:pPr>
        <w:ind w:firstLine="567"/>
        <w:jc w:val="both"/>
      </w:pPr>
      <w:r>
        <w:t>§7.1. Uczestnicy przetargu i osoby działające w ich imieniu winni przed przystąpieniem do licytacji przedstawić Komisji Przetargowej:</w:t>
      </w:r>
    </w:p>
    <w:p w:rsidR="00490D91" w:rsidRDefault="00490D91" w:rsidP="00490D91">
      <w:pPr>
        <w:ind w:firstLine="567"/>
        <w:jc w:val="both"/>
      </w:pPr>
      <w:r>
        <w:t>1) wszyscy: dokument potwierdzający tożsamość tj. dowód osobisty lub paszport;</w:t>
      </w:r>
    </w:p>
    <w:p w:rsidR="00490D91" w:rsidRDefault="00490D91" w:rsidP="00490D91">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490D91" w:rsidRDefault="00490D91" w:rsidP="00490D91">
      <w:pPr>
        <w:ind w:firstLine="567"/>
        <w:jc w:val="both"/>
      </w:pPr>
      <w:r>
        <w:t>3) pełnomocnicy - pełnomocnictwo do uczestnictwa w przetargu (w formie pisemnej) lub pełnomocnictwo do nabycia nieruchomości (w formie aktu notarialnego);</w:t>
      </w:r>
    </w:p>
    <w:p w:rsidR="00490D91" w:rsidRDefault="00490D91" w:rsidP="00490D91">
      <w:pPr>
        <w:ind w:firstLine="567"/>
        <w:jc w:val="both"/>
      </w:pPr>
      <w:r>
        <w:t>4) małżonek zamierzający samodzielnie licytować nieruchomość nabywaną do majątku wspólnego – pisemną zgodę współmałżonka;</w:t>
      </w:r>
    </w:p>
    <w:p w:rsidR="00490D91" w:rsidRDefault="00490D91" w:rsidP="00490D91">
      <w:pPr>
        <w:pStyle w:val="Tekstpodstawowy"/>
        <w:tabs>
          <w:tab w:val="left" w:pos="855"/>
        </w:tabs>
        <w:spacing w:after="0"/>
        <w:ind w:firstLine="567"/>
        <w:jc w:val="both"/>
      </w:pPr>
      <w:r>
        <w:t>2. Nie przedłożenie wymaganych dokumentów wymienionych w ust. 1 skutkować będzie nie dopuszczeniem do uczestnictwa w przetargu.</w:t>
      </w:r>
    </w:p>
    <w:p w:rsidR="00490D91" w:rsidRDefault="00490D91" w:rsidP="00490D91">
      <w:pPr>
        <w:pStyle w:val="Tekstpodstawowy"/>
        <w:tabs>
          <w:tab w:val="left" w:pos="855"/>
        </w:tabs>
        <w:spacing w:after="0"/>
        <w:ind w:firstLine="567"/>
        <w:jc w:val="both"/>
      </w:pPr>
      <w:r>
        <w:lastRenderedPageBreak/>
        <w:t>3. W przetargu nie mogą uczestniczyć osoby wchodzące w skład Komisji Przetargowej, osoby im bliskie, lub pozostające w takim stosunku prawnym lub faktycznym, że może budzić to uzasadnione wątpliwości co do bezstronności Komisji Przetargowej.</w:t>
      </w:r>
    </w:p>
    <w:p w:rsidR="00490D91" w:rsidRDefault="00490D91" w:rsidP="00490D91">
      <w:pPr>
        <w:pStyle w:val="Tekstpodstawowy"/>
        <w:tabs>
          <w:tab w:val="left" w:pos="424"/>
        </w:tabs>
        <w:spacing w:after="0" w:line="360" w:lineRule="auto"/>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490D91" w:rsidRDefault="00490D91" w:rsidP="00490D9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490D91" w:rsidRDefault="00490D91" w:rsidP="00490D91">
      <w:pPr>
        <w:pStyle w:val="Tekstpodstawowy"/>
        <w:tabs>
          <w:tab w:val="left" w:pos="435"/>
        </w:tabs>
        <w:spacing w:after="0"/>
        <w:ind w:firstLine="567"/>
        <w:jc w:val="both"/>
        <w:rPr>
          <w:rFonts w:eastAsia="Times New Roman"/>
        </w:rPr>
      </w:pPr>
    </w:p>
    <w:p w:rsidR="00490D91" w:rsidRDefault="00490D91" w:rsidP="00490D9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ind w:firstLine="567"/>
        <w:jc w:val="both"/>
      </w:pPr>
    </w:p>
    <w:p w:rsidR="00490D91" w:rsidRDefault="00490D91" w:rsidP="00490D91">
      <w:pPr>
        <w:ind w:firstLine="567"/>
        <w:jc w:val="both"/>
      </w:pPr>
      <w:r>
        <w:t>§12. Wadium wpłacone przez uczestnika, który przetarg wygrał zalicza się na poczet ceny sprzedaży z chwilą zawarcia umowy przenoszącej własność nieruchomości w formie aktu notarialnego.</w:t>
      </w:r>
    </w:p>
    <w:p w:rsidR="00490D91" w:rsidRDefault="00490D91" w:rsidP="00490D91">
      <w:pPr>
        <w:ind w:firstLine="567"/>
        <w:jc w:val="both"/>
      </w:pPr>
    </w:p>
    <w:p w:rsidR="00490D91" w:rsidRDefault="00490D91" w:rsidP="00490D9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490D91" w:rsidRDefault="00490D91" w:rsidP="00490D91">
      <w:pPr>
        <w:ind w:firstLine="567"/>
        <w:jc w:val="both"/>
      </w:pPr>
    </w:p>
    <w:p w:rsidR="00490D91" w:rsidRDefault="00490D91" w:rsidP="00490D9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490D91" w:rsidRDefault="00490D91" w:rsidP="00490D91">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490D91" w:rsidRDefault="00490D91" w:rsidP="00490D91">
      <w:pPr>
        <w:jc w:val="both"/>
        <w:rPr>
          <w:rStyle w:val="alb"/>
          <w:rFonts w:ascii="Liberation Serif" w:hAnsi="Liberation Serif" w:cs="Mangal"/>
        </w:rPr>
      </w:pPr>
      <w:r>
        <w:t xml:space="preserve">                2. Umowa sprzedaży nieruchomości, w formie aktu notarialnego, winna zostać zawarta najpóźniej w terminie dwóch miesięcy od dnia rozstrzygnięcia przetargu</w:t>
      </w:r>
      <w:r w:rsidR="00C5424A">
        <w:t>.</w:t>
      </w:r>
      <w:r>
        <w:rPr>
          <w:color w:val="000000"/>
        </w:rPr>
        <w:t xml:space="preserve"> </w:t>
      </w:r>
      <w:r>
        <w:t xml:space="preserve">W przypadku wystąpienia wyjątkowych  okoliczności, których osoba ustalona jako nabywca nieruchomości nie mogła przewidzieć w dniu przetargu, Prezydent Miasta Torunia może zadecydować o przesunięciu  terminu zawarcia umowy. </w:t>
      </w:r>
    </w:p>
    <w:p w:rsidR="00490D91" w:rsidRDefault="00490D91" w:rsidP="00490D91">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490D91" w:rsidRDefault="00490D91" w:rsidP="00490D91">
      <w:pPr>
        <w:pStyle w:val="Textbody"/>
        <w:spacing w:after="0" w:line="240" w:lineRule="auto"/>
        <w:ind w:firstLine="554"/>
        <w:jc w:val="both"/>
        <w:rPr>
          <w:color w:val="000000"/>
          <w:sz w:val="24"/>
          <w:szCs w:val="24"/>
        </w:rPr>
      </w:pPr>
    </w:p>
    <w:p w:rsidR="00490D91" w:rsidRDefault="00490D91" w:rsidP="00490D91">
      <w:pPr>
        <w:pStyle w:val="Textbody"/>
        <w:spacing w:after="0" w:line="240" w:lineRule="auto"/>
        <w:ind w:firstLine="420"/>
        <w:jc w:val="both"/>
        <w:rPr>
          <w:color w:val="000000"/>
          <w:sz w:val="24"/>
          <w:szCs w:val="24"/>
        </w:rPr>
      </w:pPr>
      <w:r>
        <w:rPr>
          <w:color w:val="000000"/>
          <w:sz w:val="24"/>
          <w:szCs w:val="24"/>
        </w:rPr>
        <w:t>§16.  Zwycięzca przetargu zobowiązany jest zapłacić:</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lastRenderedPageBreak/>
        <w:t>ustaloną w przetargu cenę sprzedaży nieruchomości pomniejszoną o wpłacone wadium, przelewem na rachunek bankowy Urzędu Miasta Torunia - BANK MILLENNIUM S.A. O/Toruń nr 95 11602202 0000 0000 6171 9127,</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t>wynagrodzenie z tytułu ustanowienia służebności gruntowej przelewem na rachunek bankowy Urzędu Miasta Torunia - BANK MILLENNIUM S.A. O/Toruń nr 11 1160 2202  0000 0002 7172 9422,</w:t>
      </w:r>
    </w:p>
    <w:p w:rsidR="00490D91" w:rsidRDefault="00490D91" w:rsidP="00490D91">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rPr>
          <w:color w:val="000000"/>
          <w:sz w:val="24"/>
          <w:szCs w:val="24"/>
        </w:rPr>
      </w:pPr>
      <w:r>
        <w:rPr>
          <w:color w:val="000000"/>
          <w:sz w:val="24"/>
          <w:szCs w:val="24"/>
        </w:rPr>
        <w:t>       §18. Koszty nabycia nieruchomości ponosi nabywający.</w:t>
      </w:r>
    </w:p>
    <w:p w:rsidR="00490D91" w:rsidRDefault="00490D91" w:rsidP="00490D91">
      <w:pPr>
        <w:pStyle w:val="Textbody"/>
        <w:spacing w:after="0" w:line="240" w:lineRule="auto"/>
        <w:jc w:val="both"/>
        <w:rPr>
          <w:color w:val="000000"/>
          <w:sz w:val="24"/>
          <w:szCs w:val="24"/>
        </w:rPr>
      </w:pPr>
      <w:r>
        <w:rPr>
          <w:color w:val="000000"/>
          <w:sz w:val="24"/>
          <w:szCs w:val="24"/>
        </w:rPr>
        <w:t>    </w:t>
      </w:r>
    </w:p>
    <w:p w:rsidR="00490D91" w:rsidRDefault="00490D91" w:rsidP="00490D9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490D91" w:rsidRDefault="00490D91" w:rsidP="00490D91">
      <w:pPr>
        <w:pStyle w:val="Textbody"/>
        <w:spacing w:after="0" w:line="240" w:lineRule="auto"/>
        <w:rPr>
          <w:color w:val="000000"/>
          <w:sz w:val="24"/>
          <w:szCs w:val="24"/>
        </w:rPr>
      </w:pPr>
      <w:r>
        <w:rPr>
          <w:color w:val="000000"/>
          <w:sz w:val="24"/>
          <w:szCs w:val="24"/>
        </w:rPr>
        <w:t>     </w:t>
      </w:r>
    </w:p>
    <w:p w:rsidR="00490D91" w:rsidRDefault="00490D91" w:rsidP="00490D91">
      <w:pPr>
        <w:pStyle w:val="Textbody"/>
        <w:spacing w:after="0" w:line="240" w:lineRule="auto"/>
        <w:rPr>
          <w:color w:val="000000"/>
          <w:sz w:val="24"/>
          <w:szCs w:val="24"/>
        </w:rPr>
      </w:pPr>
      <w:r>
        <w:rPr>
          <w:color w:val="000000"/>
          <w:sz w:val="24"/>
          <w:szCs w:val="24"/>
        </w:rPr>
        <w:t>       §20. Prezydent Miasta Torunia może z ważnych powodów  odwołać przetarg.</w:t>
      </w:r>
    </w:p>
    <w:p w:rsidR="00490D91" w:rsidRDefault="00490D91" w:rsidP="00490D91">
      <w:pPr>
        <w:pStyle w:val="Textbody"/>
        <w:spacing w:after="0" w:line="240" w:lineRule="auto"/>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490D91" w:rsidRDefault="00490D91" w:rsidP="00490D9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490D91" w:rsidRDefault="00490D91" w:rsidP="00490D9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490D91" w:rsidRDefault="00490D91" w:rsidP="00490D91">
      <w:pPr>
        <w:pStyle w:val="Textbody"/>
        <w:spacing w:after="0" w:line="276" w:lineRule="auto"/>
        <w:ind w:firstLine="567"/>
        <w:jc w:val="both"/>
      </w:pPr>
    </w:p>
    <w:p w:rsidR="00490D91" w:rsidRDefault="00490D91" w:rsidP="00490D91">
      <w:r>
        <w:t>IW</w:t>
      </w:r>
    </w:p>
    <w:p w:rsidR="00490D91" w:rsidRDefault="00490D91" w:rsidP="00490D91"/>
    <w:p w:rsidR="00490D91" w:rsidRDefault="00490D91"/>
    <w:sectPr w:rsidR="0049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HG Mincho Light J">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24FB6CE0"/>
    <w:multiLevelType w:val="hybridMultilevel"/>
    <w:tmpl w:val="34DAF120"/>
    <w:lvl w:ilvl="0" w:tplc="E90067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6805EC1"/>
    <w:multiLevelType w:val="hybridMultilevel"/>
    <w:tmpl w:val="3D020004"/>
    <w:lvl w:ilvl="0" w:tplc="F1CCC994">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64113EC5"/>
    <w:multiLevelType w:val="hybridMultilevel"/>
    <w:tmpl w:val="77BE17E4"/>
    <w:lvl w:ilvl="0" w:tplc="E9006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12"/>
    <w:rsid w:val="00001996"/>
    <w:rsid w:val="0002251C"/>
    <w:rsid w:val="000875C3"/>
    <w:rsid w:val="000A62E9"/>
    <w:rsid w:val="000B2E9F"/>
    <w:rsid w:val="000E0954"/>
    <w:rsid w:val="001557C7"/>
    <w:rsid w:val="001A035D"/>
    <w:rsid w:val="001B05C0"/>
    <w:rsid w:val="001E5A87"/>
    <w:rsid w:val="001F5C0C"/>
    <w:rsid w:val="00211A88"/>
    <w:rsid w:val="00254030"/>
    <w:rsid w:val="00276386"/>
    <w:rsid w:val="003857D0"/>
    <w:rsid w:val="003B50E8"/>
    <w:rsid w:val="003C28C0"/>
    <w:rsid w:val="00417312"/>
    <w:rsid w:val="00457479"/>
    <w:rsid w:val="0048088B"/>
    <w:rsid w:val="00490D91"/>
    <w:rsid w:val="004B4E36"/>
    <w:rsid w:val="004B7975"/>
    <w:rsid w:val="005267F5"/>
    <w:rsid w:val="005F4D8C"/>
    <w:rsid w:val="00681273"/>
    <w:rsid w:val="00700044"/>
    <w:rsid w:val="0070724A"/>
    <w:rsid w:val="0079455F"/>
    <w:rsid w:val="00821A44"/>
    <w:rsid w:val="008B207A"/>
    <w:rsid w:val="008C7445"/>
    <w:rsid w:val="008E1FF7"/>
    <w:rsid w:val="008F0D5C"/>
    <w:rsid w:val="009464D3"/>
    <w:rsid w:val="00947329"/>
    <w:rsid w:val="0094772F"/>
    <w:rsid w:val="0098743B"/>
    <w:rsid w:val="00A06257"/>
    <w:rsid w:val="00A411C2"/>
    <w:rsid w:val="00AB66A9"/>
    <w:rsid w:val="00AD0A84"/>
    <w:rsid w:val="00B070FC"/>
    <w:rsid w:val="00B52336"/>
    <w:rsid w:val="00BA47C1"/>
    <w:rsid w:val="00C51449"/>
    <w:rsid w:val="00C5424A"/>
    <w:rsid w:val="00C72492"/>
    <w:rsid w:val="00CB2196"/>
    <w:rsid w:val="00CC366C"/>
    <w:rsid w:val="00CD5283"/>
    <w:rsid w:val="00E52B93"/>
    <w:rsid w:val="00ED7125"/>
    <w:rsid w:val="00EE02E3"/>
    <w:rsid w:val="00EF26D2"/>
    <w:rsid w:val="00F6129D"/>
    <w:rsid w:val="00F774DC"/>
    <w:rsid w:val="00FA56DA"/>
    <w:rsid w:val="00FD7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418D"/>
  <w15:chartTrackingRefBased/>
  <w15:docId w15:val="{5F4D5B7F-B3FA-4DF2-B5FD-57986E0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479"/>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479"/>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457479"/>
    <w:pPr>
      <w:spacing w:after="120"/>
    </w:pPr>
  </w:style>
  <w:style w:type="character" w:customStyle="1" w:styleId="TekstpodstawowyZnak">
    <w:name w:val="Tekst podstawowy Znak"/>
    <w:basedOn w:val="Domylnaczcionkaakapitu"/>
    <w:link w:val="Tekstpodstawowy"/>
    <w:uiPriority w:val="99"/>
    <w:rsid w:val="00457479"/>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457479"/>
  </w:style>
  <w:style w:type="character" w:customStyle="1" w:styleId="Tekstpodstawowy2Znak">
    <w:name w:val="Tekst podstawowy 2 Znak"/>
    <w:basedOn w:val="Domylnaczcionkaakapitu"/>
    <w:link w:val="Tekstpodstawowy2"/>
    <w:uiPriority w:val="99"/>
    <w:semiHidden/>
    <w:rsid w:val="00457479"/>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457479"/>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457479"/>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457479"/>
    <w:pPr>
      <w:keepNext/>
      <w:jc w:val="both"/>
      <w:outlineLvl w:val="0"/>
    </w:pPr>
  </w:style>
  <w:style w:type="paragraph" w:customStyle="1" w:styleId="Tekstpodstawowy31">
    <w:name w:val="Tekst podstawowy 31"/>
    <w:basedOn w:val="Normalny"/>
    <w:uiPriority w:val="99"/>
    <w:rsid w:val="00457479"/>
    <w:pPr>
      <w:ind w:right="-69"/>
      <w:jc w:val="both"/>
    </w:pPr>
    <w:rPr>
      <w:b/>
    </w:rPr>
  </w:style>
  <w:style w:type="paragraph" w:customStyle="1" w:styleId="Zawartotabeli">
    <w:name w:val="Zawarto?? tabeli"/>
    <w:basedOn w:val="Normalny"/>
    <w:uiPriority w:val="99"/>
    <w:rsid w:val="00457479"/>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457479"/>
    <w:pPr>
      <w:autoSpaceDN/>
    </w:pPr>
    <w:rPr>
      <w:kern w:val="2"/>
    </w:rPr>
  </w:style>
  <w:style w:type="paragraph" w:customStyle="1" w:styleId="WW-Zawartotabeli11">
    <w:name w:val="WW-Zawartość tabeli11"/>
    <w:basedOn w:val="Tekstpodstawowy"/>
    <w:uiPriority w:val="99"/>
    <w:rsid w:val="00457479"/>
    <w:pPr>
      <w:widowControl/>
      <w:suppressLineNumbers/>
      <w:autoSpaceDN/>
      <w:spacing w:after="0" w:line="360" w:lineRule="auto"/>
      <w:jc w:val="center"/>
    </w:pPr>
    <w:rPr>
      <w:rFonts w:eastAsia="Times New Roman"/>
      <w:b/>
      <w:kern w:val="0"/>
      <w:szCs w:val="20"/>
      <w:lang w:bidi="pl-PL"/>
    </w:rPr>
  </w:style>
  <w:style w:type="paragraph" w:customStyle="1" w:styleId="Tretekstu">
    <w:name w:val="Treść tekstu"/>
    <w:basedOn w:val="Normalny"/>
    <w:uiPriority w:val="99"/>
    <w:semiHidden/>
    <w:rsid w:val="00457479"/>
    <w:pPr>
      <w:widowControl/>
      <w:suppressAutoHyphens w:val="0"/>
      <w:autoSpaceDN/>
      <w:jc w:val="both"/>
    </w:pPr>
    <w:rPr>
      <w:rFonts w:asciiTheme="minorHAnsi" w:eastAsiaTheme="minorHAnsi" w:hAnsiTheme="minorHAnsi" w:cstheme="minorBidi"/>
      <w:kern w:val="0"/>
      <w:szCs w:val="22"/>
      <w:lang w:eastAsia="en-US"/>
    </w:rPr>
  </w:style>
  <w:style w:type="character" w:customStyle="1" w:styleId="alb">
    <w:name w:val="a_lb"/>
    <w:basedOn w:val="Domylnaczcionkaakapitu"/>
    <w:rsid w:val="00457479"/>
  </w:style>
  <w:style w:type="paragraph" w:customStyle="1" w:styleId="Akapitzlist1">
    <w:name w:val="Akapit z listą1"/>
    <w:basedOn w:val="Normalny"/>
    <w:rsid w:val="0079455F"/>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79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5F"/>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98291">
      <w:bodyDiv w:val="1"/>
      <w:marLeft w:val="0"/>
      <w:marRight w:val="0"/>
      <w:marTop w:val="0"/>
      <w:marBottom w:val="0"/>
      <w:divBdr>
        <w:top w:val="none" w:sz="0" w:space="0" w:color="auto"/>
        <w:left w:val="none" w:sz="0" w:space="0" w:color="auto"/>
        <w:bottom w:val="none" w:sz="0" w:space="0" w:color="auto"/>
        <w:right w:val="none" w:sz="0" w:space="0" w:color="auto"/>
      </w:divBdr>
    </w:div>
    <w:div w:id="1445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3005</Words>
  <Characters>18030</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i.wieckowska</cp:lastModifiedBy>
  <cp:revision>9</cp:revision>
  <cp:lastPrinted>2022-11-24T10:50:00Z</cp:lastPrinted>
  <dcterms:created xsi:type="dcterms:W3CDTF">2022-11-07T08:57:00Z</dcterms:created>
  <dcterms:modified xsi:type="dcterms:W3CDTF">2022-12-06T11:29:00Z</dcterms:modified>
</cp:coreProperties>
</file>