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6" w:rsidRDefault="002410CE">
      <w:r>
        <w:rPr>
          <w:noProof/>
          <w:lang w:val="pl-PL" w:eastAsia="pl-PL"/>
        </w:rPr>
        <w:pict>
          <v:rect id="Prostokąt 466" o:spid="_x0000_s1026" style="position:absolute;margin-left:0;margin-top:0;width:563.4pt;height:796.95pt;z-index:-25165772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" fillcolor="white [3212]" strokecolor="#76923c [2406]" strokeweight="1pt">
            <v:shadow on="t" color="#243f60" opacity=".5" offset="1pt"/>
            <v:textbox inset="21.6pt,,21.6pt">
              <w:txbxContent>
                <w:p w:rsidR="001A7396" w:rsidRDefault="001A7396"/>
                <w:p w:rsidR="001A7396" w:rsidRDefault="001A7396"/>
              </w:txbxContent>
            </v:textbox>
            <w10:wrap anchorx="page" anchory="page"/>
          </v:rect>
        </w:pict>
      </w:r>
    </w:p>
    <w:p w:rsidR="00293A90" w:rsidRDefault="00293A90" w:rsidP="00293A90">
      <w:pPr>
        <w:jc w:val="center"/>
      </w:pPr>
    </w:p>
    <w:p w:rsidR="00293A90" w:rsidRDefault="00293A90" w:rsidP="00293A90">
      <w:pPr>
        <w:jc w:val="center"/>
      </w:pPr>
    </w:p>
    <w:p w:rsidR="001A7396" w:rsidRPr="001A7396" w:rsidRDefault="001A7396" w:rsidP="001A7396">
      <w:pPr>
        <w:jc w:val="center"/>
      </w:pPr>
      <w:r w:rsidRPr="001A7396">
        <w:rPr>
          <w:noProof/>
          <w:lang w:val="pl-PL" w:eastAsia="pl-PL"/>
        </w:rPr>
        <w:drawing>
          <wp:inline distT="0" distB="0" distL="0" distR="0">
            <wp:extent cx="3981450" cy="2422049"/>
            <wp:effectExtent l="19050" t="0" r="0" b="0"/>
            <wp:docPr id="6" name="Obraz 1" descr="logo toruńskiego Systemu Gospodarowania Odpadami">
              <a:hlinkClick xmlns:a="http://schemas.openxmlformats.org/drawingml/2006/main" r:id="rId8" tooltip="&quot;logo toruńskiego Systemu Gospodarowania Odpad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ruńskiego Systemu Gospodarowania Odpadami">
                      <a:hlinkClick r:id="rId8" tooltip="&quot;logo toruńskiego Systemu Gospodarowania Odpad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2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96" w:rsidRDefault="001A7396" w:rsidP="00293A90">
      <w:pPr>
        <w:jc w:val="center"/>
        <w:rPr>
          <w:rFonts w:ascii="Calibri" w:hAnsi="Calibri" w:cs="Calibri"/>
          <w:b/>
          <w:i/>
          <w:iCs/>
          <w:sz w:val="52"/>
          <w:szCs w:val="52"/>
          <w:lang w:val="pl-PL"/>
        </w:rPr>
      </w:pPr>
    </w:p>
    <w:p w:rsidR="00E860EB" w:rsidRDefault="00293A90" w:rsidP="00293A90">
      <w:pPr>
        <w:jc w:val="center"/>
        <w:rPr>
          <w:rFonts w:ascii="Calibri" w:hAnsi="Calibri" w:cs="Calibri"/>
          <w:b/>
          <w:i/>
          <w:iCs/>
          <w:sz w:val="52"/>
          <w:szCs w:val="52"/>
          <w:lang w:val="pl-PL"/>
        </w:rPr>
      </w:pPr>
      <w:r w:rsidRPr="00FF3788">
        <w:rPr>
          <w:rFonts w:ascii="Calibri" w:hAnsi="Calibri" w:cs="Calibri"/>
          <w:b/>
          <w:i/>
          <w:iCs/>
          <w:sz w:val="52"/>
          <w:szCs w:val="52"/>
          <w:lang w:val="pl-PL"/>
        </w:rPr>
        <w:t xml:space="preserve">Analiza stanu </w:t>
      </w:r>
    </w:p>
    <w:p w:rsidR="00293A90" w:rsidRPr="00FF3788" w:rsidRDefault="00293A90" w:rsidP="00293A90">
      <w:pPr>
        <w:jc w:val="center"/>
        <w:rPr>
          <w:rFonts w:ascii="Calibri" w:hAnsi="Calibri" w:cs="Calibri"/>
          <w:b/>
          <w:i/>
          <w:iCs/>
          <w:sz w:val="52"/>
          <w:szCs w:val="52"/>
          <w:lang w:val="pl-PL"/>
        </w:rPr>
      </w:pPr>
      <w:r w:rsidRPr="00FF3788">
        <w:rPr>
          <w:rFonts w:ascii="Calibri" w:hAnsi="Calibri" w:cs="Calibri"/>
          <w:b/>
          <w:i/>
          <w:iCs/>
          <w:sz w:val="52"/>
          <w:szCs w:val="52"/>
          <w:lang w:val="pl-PL"/>
        </w:rPr>
        <w:t>gospodarki odpadami komunalnymi</w:t>
      </w:r>
    </w:p>
    <w:p w:rsidR="00293A90" w:rsidRDefault="00293A90" w:rsidP="00293A90">
      <w:pPr>
        <w:jc w:val="center"/>
        <w:rPr>
          <w:rFonts w:ascii="Calibri" w:hAnsi="Calibri" w:cs="Calibri"/>
          <w:b/>
          <w:i/>
          <w:iCs/>
          <w:sz w:val="52"/>
          <w:szCs w:val="52"/>
          <w:lang w:val="pl-PL"/>
        </w:rPr>
      </w:pPr>
      <w:r w:rsidRPr="00FF3788">
        <w:rPr>
          <w:rFonts w:ascii="Calibri" w:hAnsi="Calibri" w:cs="Calibri"/>
          <w:b/>
          <w:i/>
          <w:iCs/>
          <w:sz w:val="52"/>
          <w:szCs w:val="52"/>
          <w:lang w:val="pl-PL"/>
        </w:rPr>
        <w:t xml:space="preserve">na terenie Gminy Miasta Toruń </w:t>
      </w:r>
    </w:p>
    <w:p w:rsidR="00293A90" w:rsidRPr="00FF3788" w:rsidRDefault="005300A6" w:rsidP="00293A90">
      <w:pPr>
        <w:jc w:val="center"/>
        <w:rPr>
          <w:rFonts w:ascii="Calibri" w:hAnsi="Calibri" w:cs="Calibri"/>
          <w:b/>
          <w:i/>
          <w:iCs/>
          <w:sz w:val="52"/>
          <w:szCs w:val="52"/>
          <w:lang w:val="pl-PL"/>
        </w:rPr>
      </w:pPr>
      <w:r>
        <w:rPr>
          <w:rFonts w:ascii="Calibri" w:hAnsi="Calibri" w:cs="Calibri"/>
          <w:b/>
          <w:i/>
          <w:iCs/>
          <w:sz w:val="52"/>
          <w:szCs w:val="52"/>
          <w:lang w:val="pl-PL"/>
        </w:rPr>
        <w:t>w 2020</w:t>
      </w:r>
      <w:r w:rsidR="00293A90" w:rsidRPr="00FF3788">
        <w:rPr>
          <w:rFonts w:ascii="Calibri" w:hAnsi="Calibri" w:cs="Calibri"/>
          <w:b/>
          <w:i/>
          <w:iCs/>
          <w:sz w:val="52"/>
          <w:szCs w:val="52"/>
          <w:lang w:val="pl-PL"/>
        </w:rPr>
        <w:t xml:space="preserve"> roku.</w:t>
      </w:r>
    </w:p>
    <w:p w:rsidR="00293A90" w:rsidRPr="005442A6" w:rsidRDefault="00293A90" w:rsidP="00293A90">
      <w:pPr>
        <w:rPr>
          <w:i/>
          <w:iCs/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293A90" w:rsidRPr="005442A6" w:rsidRDefault="00293A90" w:rsidP="00293A90">
      <w:pPr>
        <w:rPr>
          <w:lang w:val="pl-PL"/>
        </w:rPr>
      </w:pPr>
    </w:p>
    <w:p w:rsidR="00E7633E" w:rsidRDefault="00E7633E" w:rsidP="00E7633E">
      <w:pPr>
        <w:rPr>
          <w:rFonts w:ascii="Calibri" w:hAnsi="Calibri" w:cs="Calibri"/>
          <w:b/>
          <w:sz w:val="28"/>
          <w:szCs w:val="28"/>
          <w:lang w:val="pl-PL"/>
        </w:rPr>
      </w:pPr>
    </w:p>
    <w:p w:rsidR="00E7633E" w:rsidRDefault="00E7633E" w:rsidP="00E7633E">
      <w:pPr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1874775</wp:posOffset>
            </wp:positionH>
            <wp:positionV relativeFrom="paragraph">
              <wp:posOffset>237935</wp:posOffset>
            </wp:positionV>
            <wp:extent cx="1962150" cy="809625"/>
            <wp:effectExtent l="0" t="0" r="0" b="9525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28" t="31802" r="27006" b="2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33E" w:rsidRDefault="00E7633E" w:rsidP="00E7633E">
      <w:pPr>
        <w:rPr>
          <w:rFonts w:ascii="Calibri" w:hAnsi="Calibri" w:cs="Calibri"/>
          <w:b/>
          <w:sz w:val="28"/>
          <w:szCs w:val="28"/>
          <w:lang w:val="pl-PL"/>
        </w:rPr>
      </w:pPr>
    </w:p>
    <w:p w:rsidR="00E7633E" w:rsidRDefault="00E7633E" w:rsidP="00E7633E">
      <w:pPr>
        <w:rPr>
          <w:rFonts w:ascii="Calibri" w:hAnsi="Calibri" w:cs="Calibri"/>
          <w:b/>
          <w:sz w:val="28"/>
          <w:szCs w:val="28"/>
          <w:lang w:val="pl-PL"/>
        </w:rPr>
      </w:pPr>
    </w:p>
    <w:p w:rsidR="00293A90" w:rsidRDefault="005300A6" w:rsidP="00E7633E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Toruń, </w:t>
      </w:r>
      <w:r w:rsidR="00B712CE">
        <w:rPr>
          <w:rFonts w:ascii="Calibri" w:hAnsi="Calibri" w:cs="Calibri"/>
          <w:b/>
          <w:sz w:val="28"/>
          <w:szCs w:val="28"/>
          <w:lang w:val="pl-PL"/>
        </w:rPr>
        <w:t>kwiecień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 2021</w:t>
      </w:r>
      <w:r w:rsidR="00293A90">
        <w:rPr>
          <w:rFonts w:ascii="Calibri" w:hAnsi="Calibri" w:cs="Calibri"/>
          <w:b/>
          <w:sz w:val="28"/>
          <w:szCs w:val="28"/>
          <w:lang w:val="pl-PL"/>
        </w:rPr>
        <w:t xml:space="preserve"> r.</w:t>
      </w:r>
    </w:p>
    <w:p w:rsidR="00E7633E" w:rsidRDefault="00E7633E" w:rsidP="00E7633E">
      <w:pPr>
        <w:rPr>
          <w:rFonts w:ascii="Calibri" w:hAnsi="Calibri" w:cs="Calibri"/>
          <w:b/>
          <w:sz w:val="28"/>
          <w:szCs w:val="28"/>
          <w:lang w:val="pl-PL"/>
        </w:rPr>
      </w:pPr>
    </w:p>
    <w:p w:rsidR="00E7633E" w:rsidRDefault="00E7633E" w:rsidP="00802EE1">
      <w:pPr>
        <w:jc w:val="center"/>
        <w:rPr>
          <w:rFonts w:ascii="Calibri" w:hAnsi="Calibri" w:cs="Calibri"/>
          <w:b/>
          <w:lang w:val="pl-PL"/>
        </w:rPr>
      </w:pPr>
    </w:p>
    <w:p w:rsidR="00E7633E" w:rsidRDefault="00E7633E" w:rsidP="00802EE1">
      <w:pPr>
        <w:jc w:val="center"/>
        <w:rPr>
          <w:rFonts w:ascii="Calibri" w:hAnsi="Calibri" w:cs="Calibri"/>
          <w:b/>
          <w:lang w:val="pl-PL"/>
        </w:rPr>
      </w:pPr>
    </w:p>
    <w:p w:rsidR="00E7633E" w:rsidRDefault="00E7633E">
      <w:pPr>
        <w:pStyle w:val="Nagwekspisutreci"/>
        <w:rPr>
          <w:rFonts w:ascii="Calibri" w:hAnsi="Calibri" w:cs="Calibri"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279672</wp:posOffset>
            </wp:positionV>
            <wp:extent cx="3091180" cy="1660525"/>
            <wp:effectExtent l="0" t="0" r="0" b="0"/>
            <wp:wrapTopAndBottom/>
            <wp:docPr id="4" name="Obraz 1" descr="C:\Users\j.peplowska\AppData\Local\Temp\SGO_torun_RGB_Kol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plowska\AppData\Local\Temp\SGO_torun_RGB_Kolor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4716" w:rsidRPr="00486325" w:rsidRDefault="00874716">
      <w:pPr>
        <w:pStyle w:val="Nagwekspisutreci"/>
        <w:rPr>
          <w:rFonts w:ascii="Calibri" w:hAnsi="Calibri" w:cs="Calibri"/>
          <w:color w:val="auto"/>
        </w:rPr>
      </w:pPr>
      <w:r w:rsidRPr="00486325">
        <w:rPr>
          <w:rFonts w:ascii="Calibri" w:hAnsi="Calibri" w:cs="Calibri"/>
          <w:color w:val="auto"/>
        </w:rPr>
        <w:t>Spis treści</w:t>
      </w:r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r w:rsidRPr="0087111A">
        <w:rPr>
          <w:rFonts w:asciiTheme="minorHAnsi" w:hAnsiTheme="minorHAnsi" w:cstheme="minorHAnsi"/>
        </w:rPr>
        <w:fldChar w:fldCharType="begin"/>
      </w:r>
      <w:r w:rsidR="00874716" w:rsidRPr="0087111A">
        <w:rPr>
          <w:rFonts w:asciiTheme="minorHAnsi" w:hAnsiTheme="minorHAnsi" w:cstheme="minorHAnsi"/>
        </w:rPr>
        <w:instrText xml:space="preserve"> TOC \o "1-3" \h \z \u </w:instrText>
      </w:r>
      <w:r w:rsidRPr="0087111A">
        <w:rPr>
          <w:rFonts w:asciiTheme="minorHAnsi" w:hAnsiTheme="minorHAnsi" w:cstheme="minorHAnsi"/>
        </w:rPr>
        <w:fldChar w:fldCharType="separate"/>
      </w:r>
      <w:hyperlink w:anchor="_Toc70341864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1.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Możliwości przetwarzania niesegregowanych (zmieszanych) odpadów komunalnych, bioodpadów stanowiących odpady komunalne oraz przeznaczonych do składowania pozostałości z sortowania odpadów komunalnych i pozostałości  z procesu mechaniczno-biologicznego przetwarzania niesegregowanych (zmieszanych) odpadów komunalnych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_Toc70341864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2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65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2.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Potrzeby inwestycyjne związane z gospodarowaniem odpadami komunalnymi.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_Toc70341865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4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66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3.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Koszty poniesione w związku z odbieraniem, odzyskiem, recyklingiem i unieszkodliwianiem odpadów komunalnych.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_Toc70341866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5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67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4.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Liczba mieszkańców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_Toc70341867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6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68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5.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Liczba właścicieli nieruchomości, którzy nie zawarli umowy, o której mowa w art. 6 ust. 1, w imieniu których gmina powinna podjąć działania, o których mowa w art. 6 ust. 6-12.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_Toc70341868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7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69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6.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Ilość odpadów komunalnych wytwarzanych na terenie gminy.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_Toc70341869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7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70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7.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zmieszanych odpadów komunalnych.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_Toc70341870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8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111A" w:rsidRPr="0087111A" w:rsidRDefault="002410CE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  <w:lang w:val="pl-PL" w:eastAsia="pl-PL"/>
        </w:rPr>
      </w:pPr>
      <w:hyperlink w:anchor="_Toc70341871" w:history="1"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8.</w:t>
        </w:r>
        <w:r w:rsidR="0087111A" w:rsidRPr="0087111A">
          <w:rPr>
            <w:rFonts w:asciiTheme="minorHAnsi" w:eastAsiaTheme="minorEastAsia" w:hAnsiTheme="minorHAnsi" w:cstheme="minorHAnsi"/>
            <w:noProof/>
            <w:sz w:val="22"/>
            <w:szCs w:val="22"/>
            <w:lang w:val="pl-PL" w:eastAsia="pl-PL"/>
          </w:rPr>
          <w:tab/>
        </w:r>
        <w:r w:rsidR="0087111A" w:rsidRPr="0087111A">
          <w:rPr>
            <w:rStyle w:val="Hipercze"/>
            <w:rFonts w:asciiTheme="minorHAnsi" w:hAnsiTheme="minorHAnsi" w:cstheme="minorHAnsi"/>
            <w:noProof/>
            <w:lang w:val="pl-PL" w:bidi="th-TH"/>
          </w:rPr>
          <w:t>Podsumowanie</w:t>
        </w:r>
        <w:r w:rsidR="0087111A" w:rsidRPr="0087111A">
          <w:rPr>
            <w:rFonts w:asciiTheme="minorHAnsi" w:hAnsiTheme="minorHAnsi" w:cstheme="minorHAnsi"/>
            <w:noProof/>
            <w:webHidden/>
          </w:rPr>
          <w:tab/>
        </w:r>
        <w:r w:rsidRPr="0087111A">
          <w:rPr>
            <w:rFonts w:asciiTheme="minorHAnsi" w:hAnsiTheme="minorHAnsi" w:cstheme="minorHAnsi"/>
            <w:noProof/>
            <w:webHidden/>
          </w:rPr>
          <w:fldChar w:fldCharType="begin"/>
        </w:r>
        <w:r w:rsidR="0087111A" w:rsidRPr="0087111A">
          <w:rPr>
            <w:rFonts w:asciiTheme="minorHAnsi" w:hAnsiTheme="minorHAnsi" w:cstheme="minorHAnsi"/>
            <w:noProof/>
            <w:webHidden/>
          </w:rPr>
          <w:instrText xml:space="preserve"> PAGEREF _Toc70341871 \h </w:instrText>
        </w:r>
        <w:r w:rsidRPr="0087111A">
          <w:rPr>
            <w:rFonts w:asciiTheme="minorHAnsi" w:hAnsiTheme="minorHAnsi" w:cstheme="minorHAnsi"/>
            <w:noProof/>
            <w:webHidden/>
          </w:rPr>
        </w:r>
        <w:r w:rsidRPr="0087111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754A3">
          <w:rPr>
            <w:rFonts w:asciiTheme="minorHAnsi" w:hAnsiTheme="minorHAnsi" w:cstheme="minorHAnsi"/>
            <w:noProof/>
            <w:webHidden/>
          </w:rPr>
          <w:t>9</w:t>
        </w:r>
        <w:r w:rsidRPr="0087111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74716" w:rsidRDefault="002410CE">
      <w:r w:rsidRPr="0087111A">
        <w:rPr>
          <w:rFonts w:asciiTheme="minorHAnsi" w:hAnsiTheme="minorHAnsi" w:cstheme="minorHAnsi"/>
        </w:rPr>
        <w:fldChar w:fldCharType="end"/>
      </w:r>
    </w:p>
    <w:p w:rsidR="00874716" w:rsidRDefault="00874716" w:rsidP="00802EE1">
      <w:pPr>
        <w:jc w:val="center"/>
        <w:rPr>
          <w:rFonts w:ascii="Calibri" w:hAnsi="Calibri" w:cs="Calibri"/>
          <w:b/>
          <w:lang w:val="pl-PL"/>
        </w:rPr>
      </w:pPr>
    </w:p>
    <w:p w:rsidR="00874716" w:rsidRDefault="00874716" w:rsidP="00802EE1">
      <w:pPr>
        <w:jc w:val="center"/>
        <w:rPr>
          <w:rFonts w:ascii="Calibri" w:hAnsi="Calibri" w:cs="Calibri"/>
          <w:b/>
          <w:lang w:val="pl-PL"/>
        </w:rPr>
      </w:pPr>
    </w:p>
    <w:p w:rsidR="00874716" w:rsidRDefault="00874716" w:rsidP="00802EE1">
      <w:pPr>
        <w:jc w:val="center"/>
        <w:rPr>
          <w:rFonts w:ascii="Calibri" w:hAnsi="Calibri" w:cs="Calibri"/>
          <w:b/>
          <w:lang w:val="pl-PL"/>
        </w:rPr>
      </w:pPr>
    </w:p>
    <w:p w:rsidR="00874716" w:rsidRDefault="00874716" w:rsidP="00486325">
      <w:pPr>
        <w:rPr>
          <w:rFonts w:ascii="Calibri" w:hAnsi="Calibri" w:cs="Calibri"/>
          <w:b/>
          <w:lang w:val="pl-PL"/>
        </w:rPr>
      </w:pPr>
    </w:p>
    <w:p w:rsidR="00874716" w:rsidRDefault="00874716" w:rsidP="00802EE1">
      <w:pPr>
        <w:jc w:val="center"/>
        <w:rPr>
          <w:rFonts w:ascii="Calibri" w:hAnsi="Calibri" w:cs="Calibri"/>
          <w:b/>
          <w:lang w:val="pl-PL"/>
        </w:rPr>
        <w:sectPr w:rsidR="00874716" w:rsidSect="00BC3456">
          <w:footerReference w:type="default" r:id="rId12"/>
          <w:pgSz w:w="11906" w:h="16838"/>
          <w:pgMar w:top="1134" w:right="1418" w:bottom="1134" w:left="1191" w:header="709" w:footer="434" w:gutter="0"/>
          <w:pgNumType w:start="0"/>
          <w:cols w:space="708"/>
          <w:titlePg/>
          <w:docGrid w:linePitch="360"/>
        </w:sectPr>
      </w:pPr>
    </w:p>
    <w:p w:rsidR="00874716" w:rsidRDefault="00874716" w:rsidP="00802EE1">
      <w:pPr>
        <w:jc w:val="center"/>
        <w:rPr>
          <w:rFonts w:ascii="Calibri" w:hAnsi="Calibri" w:cs="Calibri"/>
          <w:b/>
          <w:lang w:val="pl-PL"/>
        </w:rPr>
      </w:pPr>
    </w:p>
    <w:p w:rsidR="00874716" w:rsidRDefault="00874716">
      <w:pPr>
        <w:rPr>
          <w:rFonts w:ascii="Calibri" w:hAnsi="Calibri" w:cs="Calibri"/>
          <w:b/>
          <w:bCs/>
          <w:lang w:val="pl-PL"/>
        </w:rPr>
      </w:pPr>
      <w:r w:rsidRPr="00E244CC">
        <w:rPr>
          <w:rFonts w:ascii="Calibri" w:hAnsi="Calibri" w:cs="Calibri"/>
          <w:b/>
          <w:bCs/>
          <w:lang w:val="pl-PL"/>
        </w:rPr>
        <w:t>Wprowadzenie.</w:t>
      </w:r>
    </w:p>
    <w:p w:rsidR="00B712CE" w:rsidRPr="00E244CC" w:rsidRDefault="00B712CE">
      <w:pPr>
        <w:rPr>
          <w:rFonts w:ascii="Calibri" w:hAnsi="Calibri" w:cs="Calibri"/>
          <w:b/>
          <w:bCs/>
          <w:lang w:val="pl-PL"/>
        </w:rPr>
      </w:pPr>
    </w:p>
    <w:p w:rsidR="00874716" w:rsidRPr="00FF32B2" w:rsidRDefault="00874716" w:rsidP="00AC6E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mocy ustawy </w:t>
      </w:r>
      <w:r w:rsidRPr="00FF32B2">
        <w:rPr>
          <w:rFonts w:ascii="Calibri" w:hAnsi="Calibri" w:cs="Calibri"/>
          <w:lang w:val="pl-PL"/>
        </w:rPr>
        <w:t xml:space="preserve">z dnia 13 września 1996 r. o utrzymaniu czystości i porządku w gminach </w:t>
      </w:r>
      <w:r>
        <w:rPr>
          <w:rFonts w:ascii="Calibri" w:hAnsi="Calibri" w:cs="Calibri"/>
          <w:lang w:val="pl-PL"/>
        </w:rPr>
        <w:t xml:space="preserve">(Dz. </w:t>
      </w:r>
      <w:r w:rsidRPr="00AC18E7">
        <w:rPr>
          <w:rFonts w:ascii="Calibri" w:hAnsi="Calibri" w:cs="Calibri"/>
          <w:lang w:val="pl-PL"/>
        </w:rPr>
        <w:t>U. z  2020 r., poz. 1439 z późn. zm.) od dnia 1 lipca 2013 r. gmina jest odpowiedzialna za</w:t>
      </w:r>
      <w:r>
        <w:rPr>
          <w:rFonts w:ascii="Calibri" w:hAnsi="Calibri" w:cs="Calibri"/>
          <w:lang w:val="pl-PL"/>
        </w:rPr>
        <w:t xml:space="preserve"> zorganizowanie systemu odbioru i zagospodarowania odpadów komunalnych od właścicieli nieruchomości, jak też sprawuje nadzór nad odpowiednim zagospodarowaniem odebranych od mieszkańców odpadów komunalnych.</w:t>
      </w:r>
    </w:p>
    <w:p w:rsidR="00874716" w:rsidRPr="00FF32B2" w:rsidRDefault="00874716" w:rsidP="00FD4D1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Zgodnie z o</w:t>
      </w:r>
      <w:r w:rsidRPr="00FF32B2">
        <w:rPr>
          <w:rFonts w:ascii="Calibri" w:hAnsi="Calibri" w:cs="Calibri"/>
          <w:lang w:val="pl-PL"/>
        </w:rPr>
        <w:t>bowiązk</w:t>
      </w:r>
      <w:r>
        <w:rPr>
          <w:rFonts w:ascii="Calibri" w:hAnsi="Calibri" w:cs="Calibri"/>
          <w:lang w:val="pl-PL"/>
        </w:rPr>
        <w:t>iem</w:t>
      </w:r>
      <w:r w:rsidRPr="00FF32B2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wynikającym z </w:t>
      </w:r>
      <w:r w:rsidRPr="00FF32B2">
        <w:rPr>
          <w:rFonts w:ascii="Calibri" w:hAnsi="Calibri" w:cs="Calibri"/>
          <w:lang w:val="pl-PL"/>
        </w:rPr>
        <w:t xml:space="preserve">art. </w:t>
      </w:r>
      <w:r>
        <w:rPr>
          <w:rFonts w:ascii="Calibri" w:hAnsi="Calibri" w:cs="Calibri"/>
          <w:lang w:val="pl-PL"/>
        </w:rPr>
        <w:t xml:space="preserve">3 ust. </w:t>
      </w:r>
      <w:r w:rsidRPr="00FF32B2">
        <w:rPr>
          <w:rFonts w:ascii="Calibri" w:hAnsi="Calibri" w:cs="Calibri"/>
          <w:lang w:val="pl-PL"/>
        </w:rPr>
        <w:t xml:space="preserve">2 pkt 10 </w:t>
      </w:r>
      <w:r>
        <w:rPr>
          <w:rFonts w:ascii="Calibri" w:hAnsi="Calibri" w:cs="Calibri"/>
          <w:lang w:val="pl-PL"/>
        </w:rPr>
        <w:t xml:space="preserve">powyższej </w:t>
      </w:r>
      <w:r w:rsidRPr="00FF32B2">
        <w:rPr>
          <w:rFonts w:ascii="Calibri" w:hAnsi="Calibri" w:cs="Calibri"/>
          <w:lang w:val="pl-PL"/>
        </w:rPr>
        <w:t>ustawy</w:t>
      </w:r>
      <w:r>
        <w:rPr>
          <w:rFonts w:ascii="Calibri" w:hAnsi="Calibri" w:cs="Calibri"/>
          <w:lang w:val="pl-PL"/>
        </w:rPr>
        <w:t xml:space="preserve"> </w:t>
      </w:r>
      <w:r w:rsidRPr="00FF32B2">
        <w:rPr>
          <w:rFonts w:ascii="Calibri" w:hAnsi="Calibri" w:cs="Calibri"/>
          <w:lang w:val="pl-PL"/>
        </w:rPr>
        <w:t>wójt, burmistrz lub prezydent miasta sporządz</w:t>
      </w:r>
      <w:r>
        <w:rPr>
          <w:rFonts w:ascii="Calibri" w:hAnsi="Calibri" w:cs="Calibri"/>
          <w:lang w:val="pl-PL"/>
        </w:rPr>
        <w:t>a</w:t>
      </w:r>
      <w:r w:rsidRPr="00FF32B2">
        <w:rPr>
          <w:rFonts w:ascii="Calibri" w:hAnsi="Calibri" w:cs="Calibri"/>
          <w:lang w:val="pl-PL"/>
        </w:rPr>
        <w:t xml:space="preserve"> coroczn</w:t>
      </w:r>
      <w:r>
        <w:rPr>
          <w:rFonts w:ascii="Calibri" w:hAnsi="Calibri" w:cs="Calibri"/>
          <w:lang w:val="pl-PL"/>
        </w:rPr>
        <w:t>ą</w:t>
      </w:r>
      <w:r w:rsidRPr="00FF32B2">
        <w:rPr>
          <w:rFonts w:ascii="Calibri" w:hAnsi="Calibri" w:cs="Calibri"/>
          <w:lang w:val="pl-PL"/>
        </w:rPr>
        <w:t xml:space="preserve"> analiz</w:t>
      </w:r>
      <w:r>
        <w:rPr>
          <w:rFonts w:ascii="Calibri" w:hAnsi="Calibri" w:cs="Calibri"/>
          <w:lang w:val="pl-PL"/>
        </w:rPr>
        <w:t>ę</w:t>
      </w:r>
      <w:r w:rsidRPr="00FF32B2">
        <w:rPr>
          <w:rFonts w:ascii="Calibri" w:hAnsi="Calibri" w:cs="Calibri"/>
          <w:lang w:val="pl-PL"/>
        </w:rPr>
        <w:t xml:space="preserve"> stanu gospodarki odpadami komunalnymi</w:t>
      </w:r>
      <w:r>
        <w:rPr>
          <w:rFonts w:ascii="Calibri" w:hAnsi="Calibri" w:cs="Calibri"/>
          <w:lang w:val="pl-PL"/>
        </w:rPr>
        <w:t xml:space="preserve">. </w:t>
      </w:r>
      <w:r w:rsidRPr="00FF32B2">
        <w:rPr>
          <w:rFonts w:ascii="Calibri" w:hAnsi="Calibri" w:cs="Calibri"/>
          <w:lang w:val="pl-PL"/>
        </w:rPr>
        <w:t xml:space="preserve">Analiza ta, zgodnie z art. 9 </w:t>
      </w:r>
      <w:proofErr w:type="spellStart"/>
      <w:r w:rsidRPr="00FF32B2">
        <w:rPr>
          <w:rFonts w:ascii="Calibri" w:hAnsi="Calibri" w:cs="Calibri"/>
          <w:lang w:val="pl-PL"/>
        </w:rPr>
        <w:t>tb</w:t>
      </w:r>
      <w:proofErr w:type="spellEnd"/>
      <w:r w:rsidRPr="00FF32B2">
        <w:rPr>
          <w:rFonts w:ascii="Calibri" w:hAnsi="Calibri" w:cs="Calibri"/>
          <w:lang w:val="pl-PL"/>
        </w:rPr>
        <w:t>. przywołanej ustawy</w:t>
      </w:r>
      <w:r>
        <w:rPr>
          <w:rFonts w:ascii="Calibri" w:hAnsi="Calibri" w:cs="Calibri"/>
          <w:lang w:val="pl-PL"/>
        </w:rPr>
        <w:t>,</w:t>
      </w:r>
      <w:r w:rsidRPr="00FF32B2">
        <w:rPr>
          <w:rFonts w:ascii="Calibri" w:hAnsi="Calibri" w:cs="Calibri"/>
          <w:lang w:val="pl-PL"/>
        </w:rPr>
        <w:t xml:space="preserve"> winna obejmować w szczególności ocenę: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bookmarkStart w:id="0" w:name="_Hlk38868926"/>
      <w:r w:rsidRPr="00EA4A28">
        <w:rPr>
          <w:rFonts w:ascii="Calibri" w:hAnsi="Calibri" w:cs="Calibri"/>
          <w:lang w:val="pl-PL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  <w:bookmarkEnd w:id="0"/>
      <w:r w:rsidRPr="00EA4A28">
        <w:rPr>
          <w:rFonts w:ascii="Calibri" w:hAnsi="Calibri" w:cs="Calibri"/>
          <w:lang w:val="pl-PL"/>
        </w:rPr>
        <w:t>;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r w:rsidRPr="00EA4A28">
        <w:rPr>
          <w:rFonts w:ascii="Calibri" w:hAnsi="Calibri" w:cs="Calibri"/>
          <w:lang w:val="pl-PL"/>
        </w:rPr>
        <w:t>potrzeby inwestycyjne związane z gospodarowaniem odpadami komunalnymi;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bookmarkStart w:id="1" w:name="_Hlk38869005"/>
      <w:r w:rsidRPr="00EA4A28">
        <w:rPr>
          <w:rFonts w:ascii="Calibri" w:hAnsi="Calibri" w:cs="Calibri"/>
          <w:lang w:val="pl-PL"/>
        </w:rPr>
        <w:t>koszty poniesione w związku z odbieraniem, odzyskiem, recyklingiem i unieszkodliwianiem odpadów komunalnych</w:t>
      </w:r>
      <w:bookmarkEnd w:id="1"/>
      <w:r w:rsidRPr="00EA4A28">
        <w:rPr>
          <w:rFonts w:ascii="Calibri" w:hAnsi="Calibri" w:cs="Calibri"/>
          <w:lang w:val="pl-PL"/>
        </w:rPr>
        <w:t xml:space="preserve"> w podziale na wpływy, wydatki i nadwyżki z opłat za gospodarowanie odpadami komunalnymi;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r w:rsidRPr="00EA4A28">
        <w:rPr>
          <w:rFonts w:ascii="Calibri" w:hAnsi="Calibri" w:cs="Calibri"/>
          <w:lang w:val="pl-PL"/>
        </w:rPr>
        <w:t>liczbę mieszkańców;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r w:rsidRPr="00EA4A28">
        <w:rPr>
          <w:rFonts w:ascii="Calibri" w:hAnsi="Calibri" w:cs="Calibri"/>
          <w:lang w:val="pl-PL"/>
        </w:rPr>
        <w:t>liczbę właścicieli nieruchomości, którzy nie zawarli umowy, o której mowa w art. 6 ust. 1, w</w:t>
      </w:r>
      <w:r w:rsidR="009A1DC5">
        <w:rPr>
          <w:rFonts w:ascii="Calibri" w:hAnsi="Calibri" w:cs="Calibri"/>
          <w:lang w:val="pl-PL"/>
        </w:rPr>
        <w:t> </w:t>
      </w:r>
      <w:r w:rsidRPr="00EA4A28">
        <w:rPr>
          <w:rFonts w:ascii="Calibri" w:hAnsi="Calibri" w:cs="Calibri"/>
          <w:lang w:val="pl-PL"/>
        </w:rPr>
        <w:t>imieniu których gmina powinna podjąć działania, o których mowa w art. 6 ust. 6-12;</w:t>
      </w:r>
    </w:p>
    <w:p w:rsidR="00874716" w:rsidRPr="00EA4A28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r w:rsidRPr="00EA4A28">
        <w:rPr>
          <w:rFonts w:ascii="Calibri" w:hAnsi="Calibri" w:cs="Calibri"/>
          <w:lang w:val="pl-PL"/>
        </w:rPr>
        <w:t>ilość odpadów komunalnych wytwarzanych na terenie gminy;</w:t>
      </w:r>
    </w:p>
    <w:p w:rsidR="00874716" w:rsidRDefault="00874716" w:rsidP="00F44E89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lang w:val="pl-PL"/>
        </w:rPr>
      </w:pPr>
      <w:bookmarkStart w:id="2" w:name="_Hlk38869073"/>
      <w:r w:rsidRPr="00EA4A28">
        <w:rPr>
          <w:rFonts w:ascii="Calibri" w:hAnsi="Calibri" w:cs="Calibri"/>
          <w:lang w:val="pl-PL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</w:t>
      </w:r>
      <w:bookmarkEnd w:id="2"/>
      <w:r w:rsidRPr="00EA4A28">
        <w:rPr>
          <w:rFonts w:ascii="Calibri" w:hAnsi="Calibri" w:cs="Calibri"/>
          <w:lang w:val="pl-PL"/>
        </w:rPr>
        <w:t>.</w:t>
      </w:r>
    </w:p>
    <w:p w:rsidR="009D0D5A" w:rsidRPr="009D0D5A" w:rsidRDefault="009D0D5A" w:rsidP="009D0D5A">
      <w:pPr>
        <w:jc w:val="both"/>
        <w:rPr>
          <w:rFonts w:ascii="Calibri" w:hAnsi="Calibri" w:cs="Calibri"/>
          <w:lang w:val="pl-PL"/>
        </w:rPr>
      </w:pPr>
    </w:p>
    <w:p w:rsidR="009D0D5A" w:rsidRPr="009D0D5A" w:rsidRDefault="002410CE" w:rsidP="009D0D5A">
      <w:pPr>
        <w:spacing w:after="120"/>
        <w:ind w:firstLine="708"/>
        <w:jc w:val="both"/>
        <w:rPr>
          <w:rFonts w:asciiTheme="minorHAnsi" w:hAnsiTheme="minorHAnsi"/>
          <w:lang w:val="pl-PL" w:eastAsia="pl-PL" w:bidi="lo-LA"/>
        </w:rPr>
      </w:pPr>
      <w:hyperlink r:id="rId13" w:anchor="/document/16797931?cm=DOCUMENT" w:history="1">
        <w:r w:rsidR="009D0D5A" w:rsidRPr="009D0D5A">
          <w:rPr>
            <w:rFonts w:asciiTheme="minorHAnsi" w:hAnsiTheme="minorHAnsi"/>
            <w:lang w:val="pl-PL" w:eastAsia="pl-PL" w:bidi="lo-LA"/>
          </w:rPr>
          <w:t>Ustawa</w:t>
        </w:r>
      </w:hyperlink>
      <w:r w:rsidR="009D0D5A" w:rsidRPr="009D0D5A">
        <w:rPr>
          <w:rFonts w:asciiTheme="minorHAnsi" w:hAnsiTheme="minorHAnsi"/>
          <w:lang w:val="pl-PL" w:eastAsia="pl-PL" w:bidi="lo-LA"/>
        </w:rPr>
        <w:t xml:space="preserve"> z dnia 13 września 1996 r. o utrzymaniu czystości i porządku w gminach nakłada obowiązki sprawozdawcze, odnoszące się do odpadów komunalnych, zarówno na podmioty zajmujące się odbieraniem odpadów, jak i na organy administracyjne. </w:t>
      </w:r>
    </w:p>
    <w:p w:rsidR="009D0D5A" w:rsidRPr="00DB6918" w:rsidRDefault="009D0D5A" w:rsidP="009D0D5A">
      <w:pPr>
        <w:spacing w:after="120"/>
        <w:ind w:firstLine="360"/>
        <w:jc w:val="both"/>
        <w:rPr>
          <w:rFonts w:asciiTheme="minorHAnsi" w:hAnsiTheme="minorHAnsi"/>
          <w:b/>
          <w:bCs/>
          <w:i/>
          <w:iCs/>
          <w:lang w:val="pl-PL" w:eastAsia="pl-PL" w:bidi="lo-LA"/>
        </w:rPr>
      </w:pPr>
      <w:r w:rsidRPr="00DB6918">
        <w:rPr>
          <w:rFonts w:asciiTheme="minorHAnsi" w:hAnsiTheme="minorHAnsi"/>
          <w:lang w:val="pl-PL"/>
        </w:rPr>
        <w:t>Sprawozdania przekazywane wójtowi, burmistrzowi lub prezydentowi miasta są</w:t>
      </w:r>
      <w:r w:rsidR="00DB6918" w:rsidRPr="00DB6918">
        <w:rPr>
          <w:rFonts w:asciiTheme="minorHAnsi" w:hAnsiTheme="minorHAnsi"/>
          <w:lang w:val="pl-PL"/>
        </w:rPr>
        <w:t xml:space="preserve"> po raz pierwszy</w:t>
      </w:r>
      <w:r w:rsidRPr="00DB6918">
        <w:rPr>
          <w:rFonts w:asciiTheme="minorHAnsi" w:hAnsiTheme="minorHAnsi"/>
          <w:lang w:val="pl-PL"/>
        </w:rPr>
        <w:t xml:space="preserve"> wyłącznie za pośrednictwem </w:t>
      </w:r>
      <w:r w:rsidRPr="00DB6918">
        <w:rPr>
          <w:rStyle w:val="Uwydatnienie"/>
          <w:rFonts w:asciiTheme="minorHAnsi" w:hAnsiTheme="minorHAnsi"/>
          <w:i w:val="0"/>
          <w:iCs w:val="0"/>
          <w:lang w:val="pl-PL"/>
        </w:rPr>
        <w:t xml:space="preserve">Bazy danych o produktach i opakowaniach oraz </w:t>
      </w:r>
      <w:r w:rsidR="00DB6918">
        <w:rPr>
          <w:rStyle w:val="Uwydatnienie"/>
          <w:rFonts w:asciiTheme="minorHAnsi" w:hAnsiTheme="minorHAnsi"/>
          <w:i w:val="0"/>
          <w:iCs w:val="0"/>
          <w:lang w:val="pl-PL"/>
        </w:rPr>
        <w:br/>
      </w:r>
      <w:r w:rsidRPr="00DB6918">
        <w:rPr>
          <w:rStyle w:val="Uwydatnienie"/>
          <w:rFonts w:asciiTheme="minorHAnsi" w:hAnsiTheme="minorHAnsi"/>
          <w:i w:val="0"/>
          <w:iCs w:val="0"/>
          <w:lang w:val="pl-PL"/>
        </w:rPr>
        <w:t>o</w:t>
      </w:r>
      <w:r w:rsidRPr="00DB6918">
        <w:rPr>
          <w:rStyle w:val="Uwydatnienie"/>
          <w:rFonts w:asciiTheme="minorHAnsi" w:hAnsiTheme="minorHAnsi"/>
          <w:lang w:val="pl-PL"/>
        </w:rPr>
        <w:t xml:space="preserve"> </w:t>
      </w:r>
      <w:r w:rsidRPr="00DB6918">
        <w:rPr>
          <w:rStyle w:val="Uwydatnienie"/>
          <w:rFonts w:asciiTheme="minorHAnsi" w:hAnsiTheme="minorHAnsi"/>
          <w:i w:val="0"/>
          <w:iCs w:val="0"/>
          <w:lang w:val="pl-PL"/>
        </w:rPr>
        <w:t>gospodarce odpadami</w:t>
      </w:r>
      <w:r w:rsidR="00DB6918" w:rsidRPr="00DB6918">
        <w:rPr>
          <w:rStyle w:val="Uwydatnienie"/>
          <w:rFonts w:asciiTheme="minorHAnsi" w:hAnsiTheme="minorHAnsi"/>
          <w:i w:val="0"/>
          <w:iCs w:val="0"/>
          <w:lang w:val="pl-PL"/>
        </w:rPr>
        <w:t>.</w:t>
      </w:r>
    </w:p>
    <w:p w:rsidR="009D0D5A" w:rsidRPr="00DB6918" w:rsidRDefault="009D0D5A" w:rsidP="009D0D5A">
      <w:pPr>
        <w:jc w:val="both"/>
        <w:rPr>
          <w:rFonts w:asciiTheme="minorHAnsi" w:hAnsiTheme="minorHAnsi" w:cs="Calibri"/>
          <w:lang w:val="pl-PL"/>
        </w:rPr>
      </w:pPr>
    </w:p>
    <w:p w:rsidR="009D0D5A" w:rsidRDefault="009D0D5A" w:rsidP="009D0D5A">
      <w:pPr>
        <w:jc w:val="both"/>
        <w:rPr>
          <w:rFonts w:ascii="Calibri" w:hAnsi="Calibri" w:cs="Calibri"/>
          <w:lang w:val="pl-PL"/>
        </w:rPr>
      </w:pPr>
    </w:p>
    <w:p w:rsidR="00874716" w:rsidRPr="00FF32B2" w:rsidRDefault="00874716" w:rsidP="00B05306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3" w:name="_Toc70341864"/>
      <w:r>
        <w:rPr>
          <w:lang w:val="pl-PL" w:bidi="th-TH"/>
        </w:rPr>
        <w:t>M</w:t>
      </w:r>
      <w:r w:rsidRPr="00046D1E">
        <w:rPr>
          <w:lang w:val="pl-PL" w:bidi="th-TH"/>
        </w:rPr>
        <w:t xml:space="preserve">ożliwości przetwarzania niesegregowanych (zmieszanych) odpadów komunalnych, bioodpadów stanowiących odpady komunalne oraz przeznaczonych do składowania pozostałości z sortowania odpadów komunalnych i pozostałości </w:t>
      </w:r>
      <w:r w:rsidR="00DB6918">
        <w:rPr>
          <w:lang w:val="pl-PL" w:bidi="th-TH"/>
        </w:rPr>
        <w:br/>
      </w:r>
      <w:r w:rsidRPr="00046D1E">
        <w:rPr>
          <w:lang w:val="pl-PL" w:bidi="th-TH"/>
        </w:rPr>
        <w:t>z procesu mechaniczno-biologicznego</w:t>
      </w:r>
      <w:r w:rsidR="00DB6918">
        <w:rPr>
          <w:lang w:val="pl-PL" w:bidi="th-TH"/>
        </w:rPr>
        <w:t xml:space="preserve"> przetwarzania niesegregowanych</w:t>
      </w:r>
      <w:r w:rsidR="00B05306">
        <w:rPr>
          <w:lang w:val="pl-PL" w:bidi="th-TH"/>
        </w:rPr>
        <w:t xml:space="preserve"> </w:t>
      </w:r>
      <w:r w:rsidRPr="00046D1E">
        <w:rPr>
          <w:lang w:val="pl-PL" w:bidi="th-TH"/>
        </w:rPr>
        <w:t>(zmieszanych) odpadów komunalnych</w:t>
      </w:r>
      <w:bookmarkEnd w:id="3"/>
    </w:p>
    <w:p w:rsidR="00874716" w:rsidRPr="00FF32B2" w:rsidRDefault="00874716" w:rsidP="00C04BE9">
      <w:pPr>
        <w:jc w:val="both"/>
        <w:rPr>
          <w:rFonts w:ascii="Calibri" w:hAnsi="Calibri" w:cs="Calibri"/>
          <w:b/>
          <w:lang w:val="pl-PL"/>
        </w:rPr>
      </w:pPr>
    </w:p>
    <w:p w:rsidR="00874716" w:rsidRDefault="005300A6" w:rsidP="00893DB8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Od roku</w:t>
      </w:r>
      <w:r w:rsidR="00874716" w:rsidRPr="00893DB8">
        <w:rPr>
          <w:rFonts w:ascii="Calibri" w:hAnsi="Calibri" w:cs="Calibri"/>
          <w:lang w:val="pl-PL"/>
        </w:rPr>
        <w:t xml:space="preserve"> 2019 roku nastąpiły znaczące zmiany obowiązującego prawa krajowego, dotyczące możliwości przetwarzania odpadów komunalnych </w:t>
      </w:r>
      <w:r w:rsidR="00874716">
        <w:rPr>
          <w:rFonts w:ascii="Calibri" w:hAnsi="Calibri" w:cs="Calibri"/>
          <w:lang w:val="pl-PL"/>
        </w:rPr>
        <w:t>oraz pozostałości z tego procesu. W</w:t>
      </w:r>
      <w:r w:rsidR="00874716" w:rsidRPr="005F5E96">
        <w:rPr>
          <w:rFonts w:ascii="Calibri" w:hAnsi="Calibri" w:cs="Calibri"/>
          <w:lang w:val="pl-PL"/>
        </w:rPr>
        <w:t xml:space="preserve"> dniu 22 sierpnia 2019 r. została</w:t>
      </w:r>
      <w:r w:rsidR="00874716">
        <w:rPr>
          <w:rFonts w:ascii="Calibri" w:hAnsi="Calibri" w:cs="Calibri"/>
          <w:lang w:val="pl-PL"/>
        </w:rPr>
        <w:t xml:space="preserve"> </w:t>
      </w:r>
      <w:r w:rsidR="00874716" w:rsidRPr="005F5E96">
        <w:rPr>
          <w:rFonts w:ascii="Calibri" w:hAnsi="Calibri" w:cs="Calibri"/>
          <w:lang w:val="pl-PL"/>
        </w:rPr>
        <w:t>opublikowana ustawa z dnia</w:t>
      </w:r>
      <w:r w:rsidR="00874716">
        <w:rPr>
          <w:rFonts w:ascii="Calibri" w:hAnsi="Calibri" w:cs="Calibri"/>
          <w:lang w:val="pl-PL"/>
        </w:rPr>
        <w:t xml:space="preserve"> </w:t>
      </w:r>
      <w:r w:rsidR="00874716" w:rsidRPr="005F5E96">
        <w:rPr>
          <w:rFonts w:ascii="Calibri" w:hAnsi="Calibri" w:cs="Calibri"/>
          <w:lang w:val="pl-PL"/>
        </w:rPr>
        <w:t>19 lipca 2019 r. o zmianie  ustawy  o    utrzymaniu czystości  i porządku</w:t>
      </w:r>
      <w:r w:rsidR="00874716">
        <w:rPr>
          <w:rFonts w:ascii="Calibri" w:hAnsi="Calibri" w:cs="Calibri"/>
          <w:lang w:val="pl-PL"/>
        </w:rPr>
        <w:t xml:space="preserve"> </w:t>
      </w:r>
      <w:r w:rsidR="00874716" w:rsidRPr="005F5E96">
        <w:rPr>
          <w:rFonts w:ascii="Calibri" w:hAnsi="Calibri" w:cs="Calibri"/>
          <w:lang w:val="pl-PL"/>
        </w:rPr>
        <w:t>w gminach  oraz niektórych innych ustaw</w:t>
      </w:r>
      <w:r w:rsidR="00874716">
        <w:rPr>
          <w:rFonts w:ascii="Calibri" w:hAnsi="Calibri" w:cs="Calibri"/>
          <w:lang w:val="pl-PL"/>
        </w:rPr>
        <w:t xml:space="preserve"> (Dz. U. z 2019 r., poz. 1579). </w:t>
      </w:r>
    </w:p>
    <w:p w:rsidR="00874716" w:rsidRDefault="005300A6" w:rsidP="005300A6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W obecnym stanie prawnym możliwe jest p</w:t>
      </w:r>
      <w:r w:rsidR="00874716" w:rsidRPr="00E309EE">
        <w:rPr>
          <w:rFonts w:ascii="Calibri" w:hAnsi="Calibri" w:cs="Calibri"/>
          <w:lang w:val="pl-PL"/>
        </w:rPr>
        <w:t>rzekazywanie bioodpadów, niesegregowanych (zmieszanych) odpadów komunalnych oraz pozostałości z sortowania i z procesów mechaniczno-biologicznego przetwarzania do instalacji</w:t>
      </w:r>
      <w:r w:rsidR="00874716" w:rsidRPr="00D626BA">
        <w:rPr>
          <w:rFonts w:ascii="Calibri" w:hAnsi="Calibri" w:cs="Calibri"/>
          <w:lang w:val="pl-PL"/>
        </w:rPr>
        <w:t xml:space="preserve"> na obszarze całego kraju, przy  czym wybór instalacji komunalnych powinien odbywać się z uwzględnieniem zasady bliskości i</w:t>
      </w:r>
      <w:r w:rsidR="00B12617">
        <w:rPr>
          <w:rFonts w:ascii="Calibri" w:hAnsi="Calibri" w:cs="Calibri"/>
          <w:lang w:val="pl-PL"/>
        </w:rPr>
        <w:t> </w:t>
      </w:r>
      <w:r w:rsidR="00874716" w:rsidRPr="00FF5374">
        <w:rPr>
          <w:rFonts w:ascii="Calibri" w:hAnsi="Calibri" w:cs="Calibri"/>
          <w:lang w:val="pl-PL"/>
        </w:rPr>
        <w:t xml:space="preserve">hierarchii sposobów postępowania z odpadami. </w:t>
      </w:r>
      <w:r>
        <w:rPr>
          <w:rFonts w:ascii="Calibri" w:hAnsi="Calibri" w:cs="Calibri"/>
          <w:lang w:val="pl-PL"/>
        </w:rPr>
        <w:t>W latach wcześniejszych przekazanie w/w odpadów możliwe było</w:t>
      </w:r>
      <w:r w:rsidR="00874716" w:rsidRPr="00BE3832">
        <w:rPr>
          <w:rFonts w:ascii="Calibri" w:hAnsi="Calibri" w:cs="Calibri"/>
          <w:lang w:val="pl-PL"/>
        </w:rPr>
        <w:t xml:space="preserve"> wyłącznie </w:t>
      </w:r>
      <w:r>
        <w:rPr>
          <w:rFonts w:ascii="Calibri" w:hAnsi="Calibri" w:cs="Calibri"/>
          <w:lang w:val="pl-PL"/>
        </w:rPr>
        <w:t xml:space="preserve">do instalacji znajdujących się </w:t>
      </w:r>
      <w:r w:rsidR="00874716" w:rsidRPr="00BE3832">
        <w:rPr>
          <w:rFonts w:ascii="Calibri" w:hAnsi="Calibri" w:cs="Calibri"/>
          <w:lang w:val="pl-PL"/>
        </w:rPr>
        <w:t>w granicach regionów gospodarki odpadami określ</w:t>
      </w:r>
      <w:r w:rsidR="00AC18E7">
        <w:rPr>
          <w:rFonts w:ascii="Calibri" w:hAnsi="Calibri" w:cs="Calibri"/>
          <w:lang w:val="pl-PL"/>
        </w:rPr>
        <w:t>o</w:t>
      </w:r>
      <w:r w:rsidR="00874716" w:rsidRPr="00BE3832">
        <w:rPr>
          <w:rFonts w:ascii="Calibri" w:hAnsi="Calibri" w:cs="Calibri"/>
          <w:lang w:val="pl-PL"/>
        </w:rPr>
        <w:t>nych</w:t>
      </w:r>
      <w:r>
        <w:rPr>
          <w:rFonts w:ascii="Calibri" w:hAnsi="Calibri" w:cs="Calibri"/>
          <w:lang w:val="pl-PL"/>
        </w:rPr>
        <w:t xml:space="preserve"> </w:t>
      </w:r>
      <w:r w:rsidR="00874716" w:rsidRPr="00BE3832">
        <w:rPr>
          <w:rFonts w:ascii="Calibri" w:hAnsi="Calibri" w:cs="Calibri"/>
          <w:lang w:val="pl-PL"/>
        </w:rPr>
        <w:t>w wojewódzkim planie gospodarki odpadami (WPGO).</w:t>
      </w:r>
      <w:r w:rsidR="00874716">
        <w:rPr>
          <w:rFonts w:ascii="Calibri" w:hAnsi="Calibri" w:cs="Calibri"/>
          <w:lang w:val="pl-PL"/>
        </w:rPr>
        <w:t xml:space="preserve"> </w:t>
      </w:r>
    </w:p>
    <w:p w:rsidR="00874716" w:rsidRDefault="00874716" w:rsidP="000E154A">
      <w:pPr>
        <w:jc w:val="both"/>
        <w:rPr>
          <w:rFonts w:ascii="Calibri" w:hAnsi="Calibri" w:cs="Calibri"/>
          <w:lang w:val="pl-PL"/>
        </w:rPr>
      </w:pPr>
      <w:r w:rsidRPr="00FF32B2">
        <w:rPr>
          <w:rFonts w:ascii="Calibri" w:hAnsi="Calibri" w:cs="Calibri"/>
          <w:lang w:val="pl-PL"/>
        </w:rPr>
        <w:tab/>
      </w:r>
      <w:r w:rsidR="005300A6">
        <w:rPr>
          <w:rFonts w:ascii="Calibri" w:hAnsi="Calibri" w:cs="Calibri"/>
          <w:lang w:val="pl-PL"/>
        </w:rPr>
        <w:t>Powyższe</w:t>
      </w:r>
      <w:r>
        <w:rPr>
          <w:rFonts w:ascii="Calibri" w:hAnsi="Calibri" w:cs="Calibri"/>
          <w:lang w:val="pl-PL"/>
        </w:rPr>
        <w:t xml:space="preserve"> zmiany </w:t>
      </w:r>
      <w:r w:rsidR="005300A6">
        <w:rPr>
          <w:rFonts w:ascii="Calibri" w:hAnsi="Calibri" w:cs="Calibri"/>
          <w:lang w:val="pl-PL"/>
        </w:rPr>
        <w:t xml:space="preserve">nie miały </w:t>
      </w:r>
      <w:r>
        <w:rPr>
          <w:rFonts w:ascii="Calibri" w:hAnsi="Calibri" w:cs="Calibri"/>
          <w:lang w:val="pl-PL"/>
        </w:rPr>
        <w:t xml:space="preserve"> wpływu na zmianę miejsc zagospodarowania odpadów wytworzonych na terenie Gminy Miasta Toruń. </w:t>
      </w:r>
    </w:p>
    <w:p w:rsidR="00874716" w:rsidRDefault="00874716" w:rsidP="00B12617">
      <w:pPr>
        <w:ind w:firstLine="720"/>
        <w:jc w:val="both"/>
        <w:rPr>
          <w:rFonts w:ascii="Calibri" w:hAnsi="Calibri" w:cs="Calibri"/>
          <w:lang w:val="pl-PL"/>
        </w:rPr>
      </w:pPr>
      <w:r w:rsidRPr="0076069F">
        <w:rPr>
          <w:rFonts w:ascii="Calibri" w:hAnsi="Calibri" w:cs="Calibri"/>
          <w:lang w:val="pl-PL"/>
        </w:rPr>
        <w:t>W analizowanym roku 20</w:t>
      </w:r>
      <w:r w:rsidR="005300A6">
        <w:rPr>
          <w:rFonts w:ascii="Calibri" w:hAnsi="Calibri" w:cs="Calibri"/>
          <w:lang w:val="pl-PL"/>
        </w:rPr>
        <w:t>20</w:t>
      </w:r>
      <w:r w:rsidRPr="0076069F">
        <w:rPr>
          <w:rFonts w:ascii="Calibri" w:hAnsi="Calibri" w:cs="Calibri"/>
          <w:lang w:val="pl-PL"/>
        </w:rPr>
        <w:t xml:space="preserve"> wytworzone na terenie miasta odpady komunalne przekazywane były zasadniczo do dwóch instalacji:</w:t>
      </w:r>
    </w:p>
    <w:p w:rsidR="00874716" w:rsidRDefault="00874716" w:rsidP="007641CC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Calibri" w:hAnsi="Calibri" w:cs="Calibri"/>
          <w:lang w:val="pl-PL"/>
        </w:rPr>
      </w:pPr>
      <w:r w:rsidRPr="0076069F">
        <w:rPr>
          <w:rFonts w:ascii="Calibri" w:hAnsi="Calibri" w:cs="Calibri"/>
          <w:lang w:val="pl-PL"/>
        </w:rPr>
        <w:t xml:space="preserve">Zakładu Unieszkodliwiania Odpadów Komunalnych przy ul. Kociewskiej 37-53 w Toruniu (dalej ZUOK), </w:t>
      </w:r>
    </w:p>
    <w:p w:rsidR="00874716" w:rsidRDefault="00874716" w:rsidP="007641CC">
      <w:pPr>
        <w:pStyle w:val="Akapitzlist"/>
        <w:numPr>
          <w:ilvl w:val="0"/>
          <w:numId w:val="20"/>
        </w:numPr>
        <w:spacing w:after="120"/>
        <w:jc w:val="both"/>
        <w:rPr>
          <w:rFonts w:ascii="Calibri" w:hAnsi="Calibri" w:cs="Calibri"/>
          <w:lang w:val="pl-PL"/>
        </w:rPr>
      </w:pPr>
      <w:r w:rsidRPr="0076069F">
        <w:rPr>
          <w:rFonts w:ascii="Calibri" w:hAnsi="Calibri" w:cs="Calibri"/>
          <w:lang w:val="pl-PL"/>
        </w:rPr>
        <w:t xml:space="preserve">Zakładu Termicznego Przekształcania Odpadów Komunalnych w Bydgoszczy przy                    </w:t>
      </w:r>
      <w:r w:rsidRPr="005F4B65">
        <w:rPr>
          <w:rFonts w:ascii="Calibri" w:hAnsi="Calibri" w:cs="Calibri"/>
          <w:lang w:val="pl-PL"/>
        </w:rPr>
        <w:t>ul. E. Petersona 22 (dalej ZTPOK).</w:t>
      </w:r>
    </w:p>
    <w:p w:rsidR="00874716" w:rsidRDefault="00874716" w:rsidP="008E6B6D">
      <w:pPr>
        <w:pStyle w:val="Akapitzlist"/>
        <w:ind w:left="0" w:firstLine="720"/>
        <w:jc w:val="both"/>
        <w:rPr>
          <w:rFonts w:ascii="Calibri" w:hAnsi="Calibri" w:cs="Calibri"/>
          <w:lang w:val="pl-PL"/>
        </w:rPr>
      </w:pPr>
      <w:r w:rsidRPr="005F4B65">
        <w:rPr>
          <w:rFonts w:ascii="Calibri" w:hAnsi="Calibri" w:cs="Calibri"/>
          <w:lang w:val="pl-PL"/>
        </w:rPr>
        <w:t>Niewielkie ilości odpadów komunalnych wytworzonych na terenie gminy, zwłaszcza odpadów niebezpiecznych, odpadów kuchennych oraz zużytego sprzętu elektrycznego</w:t>
      </w:r>
      <w:r>
        <w:rPr>
          <w:rFonts w:ascii="Calibri" w:hAnsi="Calibri" w:cs="Calibri"/>
          <w:lang w:val="pl-PL"/>
        </w:rPr>
        <w:t xml:space="preserve"> </w:t>
      </w:r>
      <w:r w:rsidRPr="005F4B65">
        <w:rPr>
          <w:rFonts w:ascii="Calibri" w:hAnsi="Calibri" w:cs="Calibri"/>
          <w:lang w:val="pl-PL"/>
        </w:rPr>
        <w:t>i</w:t>
      </w:r>
      <w:r>
        <w:rPr>
          <w:rFonts w:ascii="Calibri" w:hAnsi="Calibri" w:cs="Calibri"/>
          <w:lang w:val="pl-PL"/>
        </w:rPr>
        <w:t> </w:t>
      </w:r>
      <w:r w:rsidRPr="005F4B65">
        <w:rPr>
          <w:rFonts w:ascii="Calibri" w:hAnsi="Calibri" w:cs="Calibri"/>
          <w:lang w:val="pl-PL"/>
        </w:rPr>
        <w:t>elektronicznego przekazane zostały do specjalistycznych instalacji prowadzonych przez podmioty inne niż wskazane wyżej. Jednakże tych rodzajów odpadów już wcześniej nie dotyczył obowiązek zagospodarowania w regionie, w którym zostały wytworzone.</w:t>
      </w:r>
    </w:p>
    <w:p w:rsidR="007641CC" w:rsidRPr="005F4B65" w:rsidRDefault="007641CC" w:rsidP="008E6B6D">
      <w:pPr>
        <w:pStyle w:val="Akapitzlist"/>
        <w:ind w:left="0" w:firstLine="720"/>
        <w:jc w:val="both"/>
        <w:rPr>
          <w:rFonts w:ascii="Calibri" w:hAnsi="Calibri" w:cs="Calibri"/>
          <w:lang w:val="pl-PL"/>
        </w:rPr>
      </w:pPr>
    </w:p>
    <w:p w:rsidR="00874716" w:rsidRDefault="00874716" w:rsidP="007641CC">
      <w:pPr>
        <w:pStyle w:val="Akapitzlist"/>
        <w:spacing w:before="120"/>
        <w:ind w:left="0" w:firstLine="720"/>
        <w:jc w:val="both"/>
        <w:rPr>
          <w:rFonts w:ascii="Calibri" w:hAnsi="Calibri" w:cs="Calibri"/>
          <w:lang w:val="pl-PL"/>
        </w:rPr>
      </w:pPr>
      <w:r w:rsidRPr="00FA4A74">
        <w:rPr>
          <w:rFonts w:ascii="Calibri" w:hAnsi="Calibri" w:cs="Calibri"/>
          <w:lang w:val="pl-PL"/>
        </w:rPr>
        <w:t>Zasadnicza część obsługi systemu gospodarowania odpadami w 20</w:t>
      </w:r>
      <w:r w:rsidR="005300A6">
        <w:rPr>
          <w:rFonts w:ascii="Calibri" w:hAnsi="Calibri" w:cs="Calibri"/>
          <w:lang w:val="pl-PL"/>
        </w:rPr>
        <w:t>20</w:t>
      </w:r>
      <w:r w:rsidRPr="00FA4A74">
        <w:rPr>
          <w:rFonts w:ascii="Calibri" w:hAnsi="Calibri" w:cs="Calibri"/>
          <w:lang w:val="pl-PL"/>
        </w:rPr>
        <w:t xml:space="preserve"> roku w gminie odbywała się w oparciu o:</w:t>
      </w:r>
    </w:p>
    <w:p w:rsidR="007641CC" w:rsidRDefault="007641CC" w:rsidP="007641CC">
      <w:pPr>
        <w:pStyle w:val="Akapitzlist"/>
        <w:spacing w:before="120"/>
        <w:ind w:left="0" w:firstLine="720"/>
        <w:jc w:val="both"/>
        <w:rPr>
          <w:rFonts w:ascii="Calibri" w:hAnsi="Calibri" w:cs="Calibri"/>
          <w:lang w:val="pl-PL"/>
        </w:rPr>
      </w:pPr>
    </w:p>
    <w:p w:rsidR="00874716" w:rsidRDefault="005300A6" w:rsidP="00FA4A74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Umowę</w:t>
      </w:r>
      <w:r w:rsidR="000A451A">
        <w:rPr>
          <w:rFonts w:ascii="Calibri" w:hAnsi="Calibri" w:cs="Calibri"/>
          <w:lang w:val="pl-PL"/>
        </w:rPr>
        <w:t xml:space="preserve"> zawart</w:t>
      </w:r>
      <w:r w:rsidR="00121E51">
        <w:rPr>
          <w:rFonts w:ascii="Calibri" w:hAnsi="Calibri" w:cs="Calibri"/>
          <w:lang w:val="pl-PL"/>
        </w:rPr>
        <w:t>ą</w:t>
      </w:r>
      <w:r w:rsidR="000A451A">
        <w:rPr>
          <w:rFonts w:ascii="Calibri" w:hAnsi="Calibri" w:cs="Calibri"/>
          <w:lang w:val="pl-PL"/>
        </w:rPr>
        <w:t xml:space="preserve"> w dniu 18</w:t>
      </w:r>
      <w:r w:rsidR="00874716" w:rsidRPr="006D0AE7">
        <w:rPr>
          <w:rFonts w:ascii="Calibri" w:hAnsi="Calibri" w:cs="Calibri"/>
          <w:lang w:val="pl-PL"/>
        </w:rPr>
        <w:t>.1</w:t>
      </w:r>
      <w:r w:rsidR="000A451A">
        <w:rPr>
          <w:rFonts w:ascii="Calibri" w:hAnsi="Calibri" w:cs="Calibri"/>
          <w:lang w:val="pl-PL"/>
        </w:rPr>
        <w:t>2</w:t>
      </w:r>
      <w:r w:rsidR="00874716" w:rsidRPr="006D0AE7">
        <w:rPr>
          <w:rFonts w:ascii="Calibri" w:hAnsi="Calibri" w:cs="Calibri"/>
          <w:lang w:val="pl-PL"/>
        </w:rPr>
        <w:t>.201</w:t>
      </w:r>
      <w:r w:rsidR="000A451A">
        <w:rPr>
          <w:rFonts w:ascii="Calibri" w:hAnsi="Calibri" w:cs="Calibri"/>
          <w:lang w:val="pl-PL"/>
        </w:rPr>
        <w:t>9</w:t>
      </w:r>
      <w:r w:rsidR="00874716" w:rsidRPr="006D0AE7">
        <w:rPr>
          <w:rFonts w:ascii="Calibri" w:hAnsi="Calibri" w:cs="Calibri"/>
          <w:lang w:val="pl-PL"/>
        </w:rPr>
        <w:t xml:space="preserve"> r. z Miejskim Przedsiębiorstwem Oczyszczania Spółka z</w:t>
      </w:r>
      <w:r w:rsidR="00121E51">
        <w:rPr>
          <w:rFonts w:ascii="Calibri" w:hAnsi="Calibri" w:cs="Calibri"/>
          <w:lang w:val="pl-PL"/>
        </w:rPr>
        <w:t> </w:t>
      </w:r>
      <w:r w:rsidR="00874716" w:rsidRPr="006D0AE7">
        <w:rPr>
          <w:rFonts w:ascii="Calibri" w:hAnsi="Calibri" w:cs="Calibri"/>
          <w:lang w:val="pl-PL"/>
        </w:rPr>
        <w:t xml:space="preserve">o.o. z </w:t>
      </w:r>
      <w:r w:rsidR="000A451A">
        <w:rPr>
          <w:rFonts w:ascii="Calibri" w:hAnsi="Calibri" w:cs="Calibri"/>
          <w:lang w:val="pl-PL"/>
        </w:rPr>
        <w:t xml:space="preserve">siedzibą w Toruniu </w:t>
      </w:r>
      <w:r w:rsidR="00121E51">
        <w:rPr>
          <w:rFonts w:ascii="Calibri" w:hAnsi="Calibri" w:cs="Calibri"/>
          <w:lang w:val="pl-PL"/>
        </w:rPr>
        <w:t xml:space="preserve">- </w:t>
      </w:r>
      <w:r w:rsidR="000A451A">
        <w:rPr>
          <w:rFonts w:ascii="Calibri" w:hAnsi="Calibri" w:cs="Calibri"/>
          <w:lang w:val="pl-PL"/>
        </w:rPr>
        <w:t>w latach 2020-2021</w:t>
      </w:r>
      <w:r w:rsidR="00874716" w:rsidRPr="006D0AE7">
        <w:rPr>
          <w:rFonts w:ascii="Calibri" w:hAnsi="Calibri" w:cs="Calibri"/>
          <w:lang w:val="pl-PL"/>
        </w:rPr>
        <w:t xml:space="preserve"> przedsiębiorstwo realiz</w:t>
      </w:r>
      <w:r w:rsidR="000A451A">
        <w:rPr>
          <w:rFonts w:ascii="Calibri" w:hAnsi="Calibri" w:cs="Calibri"/>
          <w:lang w:val="pl-PL"/>
        </w:rPr>
        <w:t xml:space="preserve">uje </w:t>
      </w:r>
      <w:r w:rsidR="00874716" w:rsidRPr="006D0AE7">
        <w:rPr>
          <w:rFonts w:ascii="Calibri" w:hAnsi="Calibri" w:cs="Calibri"/>
          <w:lang w:val="pl-PL"/>
        </w:rPr>
        <w:t>usługę odbioru odpadów komunalnych z nieruchomości zamieszkałych położonych na terenie Gminy Miasta Toruń. Podmiot ten w ramach zapisów powyższej umowy zobowiązany był do przekazywania w 20</w:t>
      </w:r>
      <w:r w:rsidR="000A451A">
        <w:rPr>
          <w:rFonts w:ascii="Calibri" w:hAnsi="Calibri" w:cs="Calibri"/>
          <w:lang w:val="pl-PL"/>
        </w:rPr>
        <w:t>20</w:t>
      </w:r>
      <w:r w:rsidR="00874716" w:rsidRPr="006D0AE7">
        <w:rPr>
          <w:rFonts w:ascii="Calibri" w:hAnsi="Calibri" w:cs="Calibri"/>
          <w:lang w:val="pl-PL"/>
        </w:rPr>
        <w:t xml:space="preserve"> roku części strumienia odebranych zmieszanych odpadów komunalnych w ilości 15.000 Mg bezpośrednio do Stacji Przeładunkowej ZTPOK przy ul. Kociewskiej 40-44 w</w:t>
      </w:r>
      <w:r w:rsidR="00CF2AF2">
        <w:rPr>
          <w:rFonts w:ascii="Calibri" w:hAnsi="Calibri" w:cs="Calibri"/>
          <w:lang w:val="pl-PL"/>
        </w:rPr>
        <w:t> </w:t>
      </w:r>
      <w:r w:rsidR="00874716" w:rsidRPr="006D0AE7">
        <w:rPr>
          <w:rFonts w:ascii="Calibri" w:hAnsi="Calibri" w:cs="Calibri"/>
          <w:lang w:val="pl-PL"/>
        </w:rPr>
        <w:t>Toruniu, pozostałe odebrane odpady komunalne przekazane były do ZUOK przy ul.</w:t>
      </w:r>
      <w:r w:rsidR="00CF2AF2">
        <w:rPr>
          <w:rFonts w:ascii="Calibri" w:hAnsi="Calibri" w:cs="Calibri"/>
          <w:lang w:val="pl-PL"/>
        </w:rPr>
        <w:t> </w:t>
      </w:r>
      <w:r w:rsidR="00874716" w:rsidRPr="006D0AE7">
        <w:rPr>
          <w:rFonts w:ascii="Calibri" w:hAnsi="Calibri" w:cs="Calibri"/>
          <w:lang w:val="pl-PL"/>
        </w:rPr>
        <w:t>Kociewskiej 37-53 w Toruniu.</w:t>
      </w:r>
    </w:p>
    <w:p w:rsidR="00037D9B" w:rsidRDefault="008754A3" w:rsidP="00037D9B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Umowę</w:t>
      </w:r>
      <w:r w:rsidR="00874716">
        <w:rPr>
          <w:rFonts w:ascii="Calibri" w:hAnsi="Calibri" w:cs="Calibri"/>
          <w:lang w:val="pl-PL"/>
        </w:rPr>
        <w:t xml:space="preserve"> wykonawcza </w:t>
      </w:r>
      <w:r w:rsidR="00874716" w:rsidRPr="00FA4A74">
        <w:rPr>
          <w:rFonts w:ascii="Calibri" w:hAnsi="Calibri" w:cs="Calibri"/>
          <w:lang w:val="pl-PL"/>
        </w:rPr>
        <w:t>zawart</w:t>
      </w:r>
      <w:r w:rsidR="00874716">
        <w:rPr>
          <w:rFonts w:ascii="Calibri" w:hAnsi="Calibri" w:cs="Calibri"/>
          <w:lang w:val="pl-PL"/>
        </w:rPr>
        <w:t>a</w:t>
      </w:r>
      <w:r w:rsidR="00874716" w:rsidRPr="00FA4A74">
        <w:rPr>
          <w:rFonts w:ascii="Calibri" w:hAnsi="Calibri" w:cs="Calibri"/>
          <w:lang w:val="pl-PL"/>
        </w:rPr>
        <w:t xml:space="preserve"> w dniu 04.01.2016 r. ze spółką MPO</w:t>
      </w:r>
      <w:r w:rsidR="00874716">
        <w:rPr>
          <w:rFonts w:ascii="Calibri" w:hAnsi="Calibri" w:cs="Calibri"/>
          <w:lang w:val="pl-PL"/>
        </w:rPr>
        <w:t xml:space="preserve"> w Toruniu</w:t>
      </w:r>
      <w:r w:rsidR="00874716" w:rsidRPr="00FA4A74">
        <w:rPr>
          <w:rFonts w:ascii="Calibri" w:hAnsi="Calibri" w:cs="Calibri"/>
          <w:lang w:val="pl-PL"/>
        </w:rPr>
        <w:t xml:space="preserve"> </w:t>
      </w:r>
      <w:r w:rsidR="00874716" w:rsidRPr="00FA4A74">
        <w:rPr>
          <w:rFonts w:ascii="Calibri" w:hAnsi="Calibri" w:cs="Calibri"/>
          <w:bCs/>
          <w:lang w:val="pl-PL"/>
        </w:rPr>
        <w:t>o świadczenie usług publicznych</w:t>
      </w:r>
      <w:r w:rsidR="00874716">
        <w:rPr>
          <w:rFonts w:ascii="Calibri" w:hAnsi="Calibri" w:cs="Calibri"/>
          <w:bCs/>
          <w:lang w:val="pl-PL"/>
        </w:rPr>
        <w:t xml:space="preserve">. Na jej podstawie </w:t>
      </w:r>
      <w:r w:rsidR="00874716" w:rsidRPr="00FA4A74">
        <w:rPr>
          <w:rFonts w:ascii="Calibri" w:hAnsi="Calibri" w:cs="Calibri"/>
          <w:bCs/>
          <w:lang w:val="pl-PL"/>
        </w:rPr>
        <w:t xml:space="preserve">podmiot ten jest </w:t>
      </w:r>
      <w:r w:rsidR="00874716" w:rsidRPr="00FA4A74">
        <w:rPr>
          <w:rFonts w:ascii="Calibri" w:hAnsi="Calibri" w:cs="Calibri"/>
          <w:lang w:val="pl-PL"/>
        </w:rPr>
        <w:t>zobowiązany</w:t>
      </w:r>
      <w:r w:rsidR="00874716" w:rsidRPr="00FA4A74">
        <w:rPr>
          <w:rFonts w:ascii="Calibri" w:hAnsi="Calibri" w:cs="Calibri"/>
          <w:bCs/>
          <w:lang w:val="pl-PL"/>
        </w:rPr>
        <w:t xml:space="preserve"> </w:t>
      </w:r>
      <w:r w:rsidR="00874716" w:rsidRPr="00FA4A74">
        <w:rPr>
          <w:rFonts w:ascii="Calibri" w:hAnsi="Calibri" w:cs="Calibri"/>
          <w:lang w:val="pl-PL"/>
        </w:rPr>
        <w:t>do poddania odzyskowi i</w:t>
      </w:r>
      <w:r w:rsidR="00FD30EE">
        <w:rPr>
          <w:rFonts w:ascii="Calibri" w:hAnsi="Calibri" w:cs="Calibri"/>
          <w:lang w:val="pl-PL"/>
        </w:rPr>
        <w:t> </w:t>
      </w:r>
      <w:r w:rsidR="00874716" w:rsidRPr="00FA4A74">
        <w:rPr>
          <w:rFonts w:ascii="Calibri" w:hAnsi="Calibri" w:cs="Calibri"/>
          <w:lang w:val="pl-PL"/>
        </w:rPr>
        <w:t xml:space="preserve">unieszkodliwieniu odebranych z terenu miasta odpadów komunalnych we własnej instalacji </w:t>
      </w:r>
      <w:r w:rsidR="00874716">
        <w:rPr>
          <w:rFonts w:ascii="Calibri" w:hAnsi="Calibri" w:cs="Calibri"/>
          <w:lang w:val="pl-PL"/>
        </w:rPr>
        <w:t>komunalnej</w:t>
      </w:r>
      <w:r w:rsidR="00874716" w:rsidRPr="00FA4A74">
        <w:rPr>
          <w:rFonts w:ascii="Calibri" w:hAnsi="Calibri" w:cs="Calibri"/>
          <w:lang w:val="pl-PL"/>
        </w:rPr>
        <w:t xml:space="preserve"> oraz w instalacji ZTPOK, a wynagrodzenie z tytułu realizacji tego obowiązku wypłacane jest  przez gminę w postaci rekompensaty. </w:t>
      </w:r>
    </w:p>
    <w:p w:rsidR="00874716" w:rsidRPr="00037D9B" w:rsidRDefault="00874716" w:rsidP="00037D9B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lang w:val="pl-PL"/>
        </w:rPr>
      </w:pPr>
      <w:r w:rsidRPr="00037D9B">
        <w:rPr>
          <w:rFonts w:ascii="Calibri" w:hAnsi="Calibri" w:cs="Calibri"/>
          <w:lang w:val="pl-PL"/>
        </w:rPr>
        <w:t>Porozumienie międzygminne zawarte w dniu 29.10.2009 r. z Miastem Bydgoszcz w sprawie przejęcia zadań własnych Gminy Miasta Toruń przez Miasto Bydgoszcz z zakresu zapewnienia budowy, utrzymania i eksploatacji instalacji i urządzeń do odzysku i unieszkodliwiania odpadów komunalnych. Łącznie, jako efekt realizacji porozumienia, do instalacji ZTPOK</w:t>
      </w:r>
      <w:r w:rsidR="008754A3">
        <w:rPr>
          <w:rFonts w:ascii="Calibri" w:hAnsi="Calibri" w:cs="Calibri"/>
          <w:lang w:val="pl-PL"/>
        </w:rPr>
        <w:t xml:space="preserve"> </w:t>
      </w:r>
      <w:bookmarkStart w:id="4" w:name="_GoBack"/>
      <w:bookmarkEnd w:id="4"/>
      <w:r w:rsidRPr="00037D9B">
        <w:rPr>
          <w:rFonts w:ascii="Calibri" w:hAnsi="Calibri" w:cs="Calibri"/>
          <w:lang w:val="pl-PL"/>
        </w:rPr>
        <w:t>w Bydgoszczy przekazano w</w:t>
      </w:r>
      <w:r w:rsidR="00037D9B" w:rsidRPr="00037D9B">
        <w:rPr>
          <w:rFonts w:ascii="Calibri" w:hAnsi="Calibri" w:cs="Calibri"/>
          <w:lang w:val="pl-PL"/>
        </w:rPr>
        <w:t xml:space="preserve"> 2020 roku 58 301,500 (w </w:t>
      </w:r>
      <w:r w:rsidRPr="00037D9B">
        <w:rPr>
          <w:rFonts w:ascii="Calibri" w:hAnsi="Calibri" w:cs="Calibri"/>
          <w:lang w:val="pl-PL"/>
        </w:rPr>
        <w:t>2019</w:t>
      </w:r>
      <w:r w:rsidR="00E56EFC" w:rsidRPr="00037D9B">
        <w:rPr>
          <w:rFonts w:ascii="Calibri" w:hAnsi="Calibri" w:cs="Calibri"/>
          <w:lang w:val="pl-PL"/>
        </w:rPr>
        <w:t xml:space="preserve"> roku</w:t>
      </w:r>
      <w:r w:rsidR="00FD30EE">
        <w:rPr>
          <w:rFonts w:ascii="Calibri" w:hAnsi="Calibri" w:cs="Calibri"/>
          <w:lang w:val="pl-PL"/>
        </w:rPr>
        <w:t>:</w:t>
      </w:r>
      <w:r w:rsidRPr="00037D9B">
        <w:rPr>
          <w:rFonts w:ascii="Calibri" w:hAnsi="Calibri" w:cs="Calibri"/>
          <w:lang w:val="pl-PL"/>
        </w:rPr>
        <w:t xml:space="preserve"> </w:t>
      </w:r>
      <w:r w:rsidR="00E56EFC" w:rsidRPr="00037D9B">
        <w:rPr>
          <w:rFonts w:ascii="Calibri" w:hAnsi="Calibri" w:cs="Calibri"/>
          <w:lang w:val="pl-PL"/>
        </w:rPr>
        <w:t>55.497,300</w:t>
      </w:r>
      <w:r w:rsidRPr="00037D9B">
        <w:rPr>
          <w:rFonts w:ascii="Calibri" w:hAnsi="Calibri" w:cs="Calibri"/>
          <w:lang w:val="pl-PL"/>
        </w:rPr>
        <w:t xml:space="preserve"> Mg odpadów</w:t>
      </w:r>
      <w:r w:rsidR="00037D9B" w:rsidRPr="00037D9B">
        <w:rPr>
          <w:rFonts w:ascii="Calibri" w:hAnsi="Calibri" w:cs="Calibri"/>
          <w:lang w:val="pl-PL"/>
        </w:rPr>
        <w:t>)</w:t>
      </w:r>
      <w:r w:rsidRPr="00037D9B">
        <w:rPr>
          <w:rFonts w:ascii="Calibri" w:hAnsi="Calibri" w:cs="Calibri"/>
          <w:lang w:val="pl-PL"/>
        </w:rPr>
        <w:t xml:space="preserve">, </w:t>
      </w:r>
      <w:r w:rsidR="00E56EFC" w:rsidRPr="00037D9B">
        <w:rPr>
          <w:rFonts w:ascii="Calibri" w:hAnsi="Calibri" w:cs="Calibri"/>
          <w:lang w:val="pl-PL"/>
        </w:rPr>
        <w:t xml:space="preserve">w tym </w:t>
      </w:r>
      <w:r w:rsidR="00037D9B" w:rsidRPr="00037D9B">
        <w:rPr>
          <w:rFonts w:ascii="Calibri" w:hAnsi="Calibri" w:cs="Calibri"/>
          <w:lang w:val="pl-PL"/>
        </w:rPr>
        <w:t xml:space="preserve">35 265,830 </w:t>
      </w:r>
      <w:r w:rsidR="00E56EFC" w:rsidRPr="00037D9B">
        <w:rPr>
          <w:rFonts w:ascii="Calibri" w:hAnsi="Calibri" w:cs="Calibri"/>
          <w:lang w:val="pl-PL"/>
        </w:rPr>
        <w:t xml:space="preserve">Mg </w:t>
      </w:r>
      <w:r w:rsidRPr="00037D9B">
        <w:rPr>
          <w:rFonts w:ascii="Calibri" w:hAnsi="Calibri" w:cs="Calibri"/>
          <w:lang w:val="pl-PL"/>
        </w:rPr>
        <w:t>pochodziło ze strumienia odpadów odebranych od mieszkańców miasta</w:t>
      </w:r>
      <w:r w:rsidR="00E56EFC" w:rsidRPr="00037D9B">
        <w:rPr>
          <w:rFonts w:ascii="Calibri" w:hAnsi="Calibri" w:cs="Calibri"/>
          <w:lang w:val="pl-PL"/>
        </w:rPr>
        <w:t xml:space="preserve"> (w 201</w:t>
      </w:r>
      <w:r w:rsidR="00037D9B" w:rsidRPr="00037D9B">
        <w:rPr>
          <w:rFonts w:ascii="Calibri" w:hAnsi="Calibri" w:cs="Calibri"/>
          <w:lang w:val="pl-PL"/>
        </w:rPr>
        <w:t>9</w:t>
      </w:r>
      <w:r w:rsidR="00E56EFC" w:rsidRPr="00037D9B">
        <w:rPr>
          <w:rFonts w:ascii="Calibri" w:hAnsi="Calibri" w:cs="Calibri"/>
          <w:lang w:val="pl-PL"/>
        </w:rPr>
        <w:t xml:space="preserve"> roku było to </w:t>
      </w:r>
      <w:r w:rsidR="00037D9B" w:rsidRPr="00037D9B">
        <w:rPr>
          <w:rFonts w:ascii="Calibri" w:hAnsi="Calibri" w:cs="Calibri"/>
          <w:lang w:val="pl-PL"/>
        </w:rPr>
        <w:t xml:space="preserve">33 706,090 </w:t>
      </w:r>
      <w:r w:rsidR="00E56EFC" w:rsidRPr="00037D9B">
        <w:rPr>
          <w:rFonts w:ascii="Calibri" w:hAnsi="Calibri" w:cs="Calibri"/>
          <w:lang w:val="pl-PL"/>
        </w:rPr>
        <w:t>Mg)</w:t>
      </w:r>
      <w:r w:rsidRPr="00037D9B">
        <w:rPr>
          <w:rFonts w:ascii="Calibri" w:hAnsi="Calibri" w:cs="Calibri"/>
          <w:lang w:val="pl-PL"/>
        </w:rPr>
        <w:t xml:space="preserve">. </w:t>
      </w:r>
    </w:p>
    <w:p w:rsidR="00874716" w:rsidRPr="00675D3C" w:rsidRDefault="00874716" w:rsidP="00AB0F65">
      <w:pPr>
        <w:ind w:firstLine="720"/>
        <w:jc w:val="both"/>
        <w:rPr>
          <w:rFonts w:ascii="Calibri" w:hAnsi="Calibri" w:cs="Calibri"/>
          <w:lang w:val="pl-PL"/>
        </w:rPr>
      </w:pPr>
    </w:p>
    <w:p w:rsidR="00874716" w:rsidRPr="00FF32B2" w:rsidRDefault="00874716" w:rsidP="00AB0F65">
      <w:pPr>
        <w:ind w:firstLine="720"/>
        <w:jc w:val="both"/>
        <w:rPr>
          <w:rFonts w:ascii="Calibri" w:hAnsi="Calibri" w:cs="Calibri"/>
          <w:lang w:val="pl-PL"/>
        </w:rPr>
      </w:pPr>
      <w:r w:rsidRPr="00675D3C">
        <w:rPr>
          <w:rFonts w:ascii="Calibri" w:hAnsi="Calibri" w:cs="Calibri"/>
          <w:lang w:val="pl-PL"/>
        </w:rPr>
        <w:t>Moce przerobowe obydwu tych instalacji są wystarczające dla zapewnienia możliwości zagospodarowania wytwarzanych przez mieszkańców miasta odpadów komunalnych.</w:t>
      </w:r>
      <w:r w:rsidRPr="00FF32B2">
        <w:rPr>
          <w:rFonts w:ascii="Calibri" w:hAnsi="Calibri" w:cs="Calibri"/>
          <w:lang w:val="pl-PL"/>
        </w:rPr>
        <w:t xml:space="preserve"> </w:t>
      </w: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5" w:name="_Toc70341865"/>
      <w:r w:rsidRPr="00FF32B2">
        <w:rPr>
          <w:lang w:val="pl-PL" w:bidi="th-TH"/>
        </w:rPr>
        <w:lastRenderedPageBreak/>
        <w:t>Potrzeby inwestycyjne związane z gospodarowaniem odpadami komunalnymi.</w:t>
      </w:r>
      <w:bookmarkEnd w:id="5"/>
    </w:p>
    <w:p w:rsidR="00874716" w:rsidRPr="00FF32B2" w:rsidRDefault="00874716" w:rsidP="00F12EB7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74716" w:rsidRPr="00AE6BD0" w:rsidRDefault="00874716" w:rsidP="00CC1ED6">
      <w:pPr>
        <w:ind w:firstLine="708"/>
        <w:jc w:val="both"/>
        <w:rPr>
          <w:rFonts w:ascii="Calibri" w:hAnsi="Calibri" w:cs="Calibri"/>
          <w:lang w:val="pl-PL"/>
        </w:rPr>
      </w:pPr>
      <w:r w:rsidRPr="00FF32B2">
        <w:rPr>
          <w:rFonts w:ascii="Calibri" w:hAnsi="Calibri" w:cs="Calibri"/>
          <w:lang w:val="pl-PL"/>
        </w:rPr>
        <w:tab/>
      </w:r>
      <w:r w:rsidRPr="00AE6BD0">
        <w:rPr>
          <w:rFonts w:ascii="Calibri" w:hAnsi="Calibri" w:cs="Calibri"/>
          <w:lang w:val="pl-PL"/>
        </w:rPr>
        <w:t xml:space="preserve">W dniu 29.10.2015 r. Rada Miasta Torunia podjęła uchwałę nr 178/15, na mocy której spółce MPO zostało powierzone wykonywanie części zadań własnych Gminy Miasta Toruń                      z zakresu </w:t>
      </w:r>
      <w:r w:rsidRPr="00AE6BD0">
        <w:rPr>
          <w:rFonts w:ascii="Calibri" w:eastAsia="Arial Unicode MS" w:hAnsi="Calibri" w:cs="Calibri"/>
          <w:lang w:val="pl-PL"/>
        </w:rPr>
        <w:t>prowadzenia gospodarki odpadami komunalnymi</w:t>
      </w:r>
      <w:r w:rsidRPr="00AE6BD0">
        <w:rPr>
          <w:rFonts w:ascii="Calibri" w:hAnsi="Calibri" w:cs="Calibri"/>
          <w:lang w:val="pl-PL"/>
        </w:rPr>
        <w:t xml:space="preserve"> oraz odzysku i unieszkodliwiania odpadów komunalnych, obejmujących:</w:t>
      </w:r>
    </w:p>
    <w:p w:rsidR="00874716" w:rsidRPr="00AE6BD0" w:rsidRDefault="00874716" w:rsidP="00CC1ED6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hAnsi="Calibri" w:cs="Calibri"/>
        </w:rPr>
      </w:pPr>
      <w:bookmarkStart w:id="6" w:name="_Ref431984490"/>
      <w:r w:rsidRPr="00AE6BD0">
        <w:rPr>
          <w:rFonts w:ascii="Calibri" w:hAnsi="Calibri" w:cs="Calibri"/>
        </w:rPr>
        <w:t>zapewnienie budowy, utrzymania i eksploatacji własnych lub wspólnych z innymi gminami regionalnych instalacji do przetwarzania odpadów komunalnych;</w:t>
      </w:r>
    </w:p>
    <w:p w:rsidR="00874716" w:rsidRPr="00AE6BD0" w:rsidRDefault="00874716" w:rsidP="00CC1ED6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hAnsi="Calibri" w:cs="Calibri"/>
        </w:rPr>
      </w:pPr>
      <w:r w:rsidRPr="00AE6BD0">
        <w:rPr>
          <w:rFonts w:ascii="Calibri" w:hAnsi="Calibri" w:cs="Calibri"/>
        </w:rPr>
        <w:t>poddawanie odzyskowi i unieszkodliwieniu odpadów komunalnych we własnej instalacji RIPOK lub w instalacjach będących własnością innych podmiotów</w:t>
      </w:r>
      <w:bookmarkEnd w:id="6"/>
      <w:r w:rsidRPr="00AE6BD0">
        <w:rPr>
          <w:rFonts w:ascii="Calibri" w:hAnsi="Calibri" w:cs="Calibri"/>
        </w:rPr>
        <w:t xml:space="preserve">. </w:t>
      </w:r>
    </w:p>
    <w:p w:rsidR="00874716" w:rsidRDefault="00874716" w:rsidP="00CC1ED6">
      <w:pPr>
        <w:pStyle w:val="Standard"/>
        <w:shd w:val="clear" w:color="auto" w:fill="FFFFFF"/>
        <w:jc w:val="both"/>
        <w:rPr>
          <w:rFonts w:ascii="Calibri" w:hAnsi="Calibri" w:cs="Calibri"/>
        </w:rPr>
      </w:pPr>
      <w:r w:rsidRPr="00AE6BD0">
        <w:rPr>
          <w:rFonts w:ascii="Calibri" w:hAnsi="Calibri" w:cs="Calibri"/>
        </w:rPr>
        <w:tab/>
        <w:t>Zgodnie z zawartą w dniu 04.01.2016 r. ze spółką MPO umową</w:t>
      </w:r>
      <w:r w:rsidRPr="00AE6BD0">
        <w:rPr>
          <w:rFonts w:ascii="Calibri" w:hAnsi="Calibri" w:cs="Calibri"/>
          <w:bCs/>
        </w:rPr>
        <w:t xml:space="preserve"> o świadczenie usług publicznych podmiot ten jest </w:t>
      </w:r>
      <w:r w:rsidRPr="00AE6BD0">
        <w:rPr>
          <w:rFonts w:ascii="Calibri" w:hAnsi="Calibri" w:cs="Calibri"/>
        </w:rPr>
        <w:t xml:space="preserve">zobowiązany </w:t>
      </w:r>
      <w:r w:rsidRPr="00AE6BD0">
        <w:rPr>
          <w:rFonts w:ascii="Calibri" w:hAnsi="Calibri" w:cs="Calibri"/>
          <w:bCs/>
        </w:rPr>
        <w:t xml:space="preserve">do dnia 31.12.2025 r. </w:t>
      </w:r>
      <w:r w:rsidRPr="00AE6BD0">
        <w:rPr>
          <w:rFonts w:ascii="Calibri" w:hAnsi="Calibri" w:cs="Calibri"/>
        </w:rPr>
        <w:t>do m.in. utrzymywania                                       w ruchu instalacji ZUOK, jej modernizowania i rozbudowy w zależności od potrzeb. Realizacja  tego zadania wymaga uzyskania akceptacji Gminy oraz wiąże się z koniecznością ubiegania się przez prowadzącego instalację o dofinansowanie ze źródeł zewnętrznych.</w:t>
      </w:r>
    </w:p>
    <w:p w:rsidR="00037D9B" w:rsidRDefault="00874716" w:rsidP="00037D9B">
      <w:pPr>
        <w:pStyle w:val="Standard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37D9B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2019 rok</w:t>
      </w:r>
      <w:r w:rsidR="00FD30E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r w:rsidR="00037D9B">
        <w:rPr>
          <w:rFonts w:ascii="Calibri" w:hAnsi="Calibri" w:cs="Calibri"/>
        </w:rPr>
        <w:t>przeprowadzona została</w:t>
      </w:r>
      <w:r>
        <w:rPr>
          <w:rFonts w:ascii="Calibri" w:hAnsi="Calibri" w:cs="Calibri"/>
        </w:rPr>
        <w:t xml:space="preserve"> </w:t>
      </w:r>
      <w:r w:rsidRPr="0024037B">
        <w:rPr>
          <w:rFonts w:ascii="Calibri" w:hAnsi="Calibri" w:cs="Calibri"/>
        </w:rPr>
        <w:t>modernizacj</w:t>
      </w:r>
      <w:r w:rsidR="00037D9B">
        <w:rPr>
          <w:rFonts w:ascii="Calibri" w:hAnsi="Calibri" w:cs="Calibri"/>
        </w:rPr>
        <w:t>a</w:t>
      </w:r>
      <w:r w:rsidRPr="0024037B">
        <w:rPr>
          <w:rFonts w:ascii="Calibri" w:hAnsi="Calibri" w:cs="Calibri"/>
        </w:rPr>
        <w:t xml:space="preserve"> i rozbudow</w:t>
      </w:r>
      <w:r w:rsidR="00037D9B">
        <w:rPr>
          <w:rFonts w:ascii="Calibri" w:hAnsi="Calibri" w:cs="Calibri"/>
        </w:rPr>
        <w:t>a</w:t>
      </w:r>
      <w:r w:rsidRPr="0024037B">
        <w:rPr>
          <w:rFonts w:ascii="Calibri" w:hAnsi="Calibri" w:cs="Calibri"/>
        </w:rPr>
        <w:t xml:space="preserve"> istniejącej linii do sortowania odpadów w Z</w:t>
      </w:r>
      <w:r>
        <w:rPr>
          <w:rFonts w:ascii="Calibri" w:hAnsi="Calibri" w:cs="Calibri"/>
        </w:rPr>
        <w:t xml:space="preserve">akładzie Unieszkodliwiania Odpadów Komunalnych w Toruniu, </w:t>
      </w:r>
      <w:r w:rsidR="00037D9B">
        <w:rPr>
          <w:rFonts w:ascii="Calibri" w:hAnsi="Calibri" w:cs="Calibri"/>
        </w:rPr>
        <w:t xml:space="preserve">polegająca na </w:t>
      </w:r>
      <w:r w:rsidRPr="008900EA">
        <w:rPr>
          <w:rFonts w:ascii="Calibri" w:hAnsi="Calibri" w:cs="Calibri"/>
        </w:rPr>
        <w:t>montaż</w:t>
      </w:r>
      <w:r w:rsidR="00037D9B">
        <w:rPr>
          <w:rFonts w:ascii="Calibri" w:hAnsi="Calibri" w:cs="Calibri"/>
        </w:rPr>
        <w:t>u</w:t>
      </w:r>
      <w:r w:rsidRPr="008900EA">
        <w:rPr>
          <w:rFonts w:ascii="Calibri" w:hAnsi="Calibri" w:cs="Calibri"/>
        </w:rPr>
        <w:t xml:space="preserve"> separatora optycznego tworzyw sztucznych, separatora optycznego papieru, separatora balistycznego, separatora m</w:t>
      </w:r>
      <w:r w:rsidR="00037D9B">
        <w:rPr>
          <w:rFonts w:ascii="Calibri" w:hAnsi="Calibri" w:cs="Calibri"/>
        </w:rPr>
        <w:t>etali nieżelaznych, modernizacji</w:t>
      </w:r>
      <w:r w:rsidRPr="008900EA">
        <w:rPr>
          <w:rFonts w:ascii="Calibri" w:hAnsi="Calibri" w:cs="Calibri"/>
        </w:rPr>
        <w:t xml:space="preserve"> kabin sortowniczych, montaż</w:t>
      </w:r>
      <w:r w:rsidR="00037D9B">
        <w:rPr>
          <w:rFonts w:ascii="Calibri" w:hAnsi="Calibri" w:cs="Calibri"/>
        </w:rPr>
        <w:t>u</w:t>
      </w:r>
      <w:r w:rsidRPr="008900EA">
        <w:rPr>
          <w:rFonts w:ascii="Calibri" w:hAnsi="Calibri" w:cs="Calibri"/>
        </w:rPr>
        <w:t xml:space="preserve"> systemu podajników łączących poszczególne elementy linii oraz rozbudow</w:t>
      </w:r>
      <w:r w:rsidR="0031636B">
        <w:rPr>
          <w:rFonts w:ascii="Calibri" w:hAnsi="Calibri" w:cs="Calibri"/>
        </w:rPr>
        <w:t>ie</w:t>
      </w:r>
      <w:r w:rsidRPr="008900EA">
        <w:rPr>
          <w:rFonts w:ascii="Calibri" w:hAnsi="Calibri" w:cs="Calibri"/>
        </w:rPr>
        <w:t xml:space="preserve"> systemu sterowania. </w:t>
      </w:r>
      <w:r w:rsidR="0031636B">
        <w:rPr>
          <w:rFonts w:ascii="Calibri" w:hAnsi="Calibri" w:cs="Calibri"/>
        </w:rPr>
        <w:t>Modernizacja instalacji wpłynęła na zwiększenie ilości odzyskiwanych surowców wtórnych ze strumienia odpadów przyjętych do zagospodarowania</w:t>
      </w:r>
      <w:r w:rsidR="00783C7C">
        <w:rPr>
          <w:rFonts w:ascii="Calibri" w:hAnsi="Calibri" w:cs="Calibri"/>
        </w:rPr>
        <w:t xml:space="preserve"> </w:t>
      </w:r>
      <w:r w:rsidR="0031636B">
        <w:rPr>
          <w:rFonts w:ascii="Calibri" w:hAnsi="Calibri" w:cs="Calibri"/>
        </w:rPr>
        <w:t>-wg. danych spółki MPO masa odpadów przekazanych do recyklingu wzrosła o 26,6 %</w:t>
      </w:r>
      <w:r w:rsidR="00776DD9">
        <w:rPr>
          <w:rFonts w:ascii="Calibri" w:hAnsi="Calibri" w:cs="Calibri"/>
        </w:rPr>
        <w:t xml:space="preserve"> </w:t>
      </w:r>
      <w:r w:rsidR="0031636B">
        <w:rPr>
          <w:rFonts w:ascii="Calibri" w:hAnsi="Calibri" w:cs="Calibri"/>
        </w:rPr>
        <w:t>w stosunku do roku 2019.</w:t>
      </w:r>
    </w:p>
    <w:p w:rsidR="00F2169E" w:rsidRDefault="00F2169E" w:rsidP="00565A84">
      <w:pPr>
        <w:jc w:val="both"/>
        <w:rPr>
          <w:rFonts w:ascii="Calibri" w:hAnsi="Calibri" w:cs="Calibri"/>
          <w:lang w:val="pl-PL"/>
        </w:rPr>
      </w:pPr>
      <w:r w:rsidRPr="00F2169E">
        <w:rPr>
          <w:rFonts w:ascii="Calibri" w:hAnsi="Calibri" w:cs="Calibri"/>
          <w:lang w:val="pl-PL"/>
        </w:rPr>
        <w:tab/>
        <w:t xml:space="preserve">Jak dotąd uzyskiwany w roku sprawozdawczym poziom recyklingu „odpadów surowcowych” był wyższy niż wymagany przepisami prawa. </w:t>
      </w:r>
      <w:r>
        <w:rPr>
          <w:rFonts w:ascii="Calibri" w:hAnsi="Calibri" w:cs="Calibri"/>
          <w:lang w:val="pl-PL"/>
        </w:rPr>
        <w:t>Znaczną c</w:t>
      </w:r>
      <w:r w:rsidRPr="00F2169E">
        <w:rPr>
          <w:rFonts w:ascii="Calibri" w:hAnsi="Calibri" w:cs="Calibri"/>
          <w:lang w:val="pl-PL"/>
        </w:rPr>
        <w:t>zęść odpadów przekazanych</w:t>
      </w:r>
      <w:r w:rsidR="007670BA">
        <w:rPr>
          <w:rFonts w:ascii="Calibri" w:hAnsi="Calibri" w:cs="Calibri"/>
          <w:lang w:val="pl-PL"/>
        </w:rPr>
        <w:t xml:space="preserve"> w roku sprawozdawczym </w:t>
      </w:r>
      <w:r w:rsidRPr="00F2169E">
        <w:rPr>
          <w:rFonts w:ascii="Calibri" w:hAnsi="Calibri" w:cs="Calibri"/>
          <w:lang w:val="pl-PL"/>
        </w:rPr>
        <w:t>do recyklingu i przygotowanych do ponownego użycia stanowiły odpady metali i papieru dostarczone przez mieszkańców miasta do punktów skupu odpadów oraz odpady papieru zebrane przez placówki oświatowe w ramach konkursu „Zbieramy makulaturę”, organizowanego przez Urząd Miasta Torunia.</w:t>
      </w:r>
    </w:p>
    <w:p w:rsidR="00F2169E" w:rsidRDefault="00F2169E" w:rsidP="00F2169E">
      <w:pPr>
        <w:ind w:firstLine="720"/>
        <w:jc w:val="both"/>
        <w:rPr>
          <w:rFonts w:ascii="Calibri" w:hAnsi="Calibri" w:cs="Calibri"/>
          <w:lang w:val="pl-PL"/>
        </w:rPr>
      </w:pPr>
      <w:r w:rsidRPr="00F2169E">
        <w:rPr>
          <w:rFonts w:ascii="Calibri" w:hAnsi="Calibri" w:cs="Calibri"/>
          <w:lang w:val="pl-PL"/>
        </w:rPr>
        <w:t>Wskazać należy, że w związku z wejściem w życie od 01.07.2017 r. przepisów Rozporządzenia Ministra Środowiska z dnia 29.12.2016 r. w sprawie szczegółowego sposobu selektywnego zbierania wybranych frakcji odpadów (Dz. U. z 2017 r., poz. 19)</w:t>
      </w:r>
      <w:r w:rsidR="00783C7C">
        <w:rPr>
          <w:rFonts w:ascii="Calibri" w:hAnsi="Calibri" w:cs="Calibri"/>
          <w:lang w:val="pl-PL"/>
        </w:rPr>
        <w:t>,</w:t>
      </w:r>
      <w:r w:rsidRPr="00F2169E">
        <w:rPr>
          <w:rFonts w:ascii="Calibri" w:hAnsi="Calibri" w:cs="Calibri"/>
          <w:lang w:val="pl-PL"/>
        </w:rPr>
        <w:t xml:space="preserve"> sukcesywnym zmianom</w:t>
      </w:r>
      <w:r w:rsidR="00783C7C">
        <w:rPr>
          <w:rFonts w:ascii="Calibri" w:hAnsi="Calibri" w:cs="Calibri"/>
          <w:lang w:val="pl-PL"/>
        </w:rPr>
        <w:t xml:space="preserve"> ulega oraz </w:t>
      </w:r>
      <w:r w:rsidRPr="00F2169E">
        <w:rPr>
          <w:rFonts w:ascii="Calibri" w:hAnsi="Calibri" w:cs="Calibri"/>
          <w:lang w:val="pl-PL"/>
        </w:rPr>
        <w:t xml:space="preserve">ulegał będzie system zbierania odpadów na nieruchomościach.  Konieczne będzie tu </w:t>
      </w:r>
      <w:r w:rsidR="00AB0980">
        <w:rPr>
          <w:rFonts w:ascii="Calibri" w:hAnsi="Calibri" w:cs="Calibri"/>
          <w:lang w:val="pl-PL"/>
        </w:rPr>
        <w:t xml:space="preserve">dokończenie </w:t>
      </w:r>
      <w:r w:rsidRPr="00F2169E">
        <w:rPr>
          <w:rFonts w:ascii="Calibri" w:hAnsi="Calibri" w:cs="Calibri"/>
          <w:lang w:val="pl-PL"/>
        </w:rPr>
        <w:t>do 30.06.2022 r. doposaż</w:t>
      </w:r>
      <w:r w:rsidR="00AB0980">
        <w:rPr>
          <w:rFonts w:ascii="Calibri" w:hAnsi="Calibri" w:cs="Calibri"/>
          <w:lang w:val="pl-PL"/>
        </w:rPr>
        <w:t>ania</w:t>
      </w:r>
      <w:r w:rsidRPr="00F2169E">
        <w:rPr>
          <w:rFonts w:ascii="Calibri" w:hAnsi="Calibri" w:cs="Calibri"/>
          <w:lang w:val="pl-PL"/>
        </w:rPr>
        <w:t xml:space="preserve"> punktów wywozowych w zabudowie wielorodzinnej w dodatkowe pojemniki do zbiórki papieru i odpadów biodegradowalnych  (obecnie nie wszystkie punkty wywozowe wyposażone są w odrębne pojemniki do zbiórki tych odpadów)</w:t>
      </w:r>
      <w:r w:rsidR="00A96CA0">
        <w:rPr>
          <w:rFonts w:ascii="Calibri" w:hAnsi="Calibri" w:cs="Calibri"/>
          <w:lang w:val="pl-PL"/>
        </w:rPr>
        <w:t>,</w:t>
      </w:r>
      <w:r w:rsidRPr="00F2169E">
        <w:rPr>
          <w:rFonts w:ascii="Calibri" w:hAnsi="Calibri" w:cs="Calibri"/>
          <w:lang w:val="pl-PL"/>
        </w:rPr>
        <w:t xml:space="preserve"> przy jednoczesnej rezygnacji z łącznego zbierania odpadów tworzyw sztucznych, metali oraz papieru jako „odpadów suchych”.</w:t>
      </w:r>
      <w:r>
        <w:rPr>
          <w:rFonts w:ascii="Calibri" w:hAnsi="Calibri" w:cs="Calibri"/>
          <w:lang w:val="pl-PL"/>
        </w:rPr>
        <w:t xml:space="preserve"> Takie działania </w:t>
      </w:r>
      <w:r w:rsidR="001F6BD8">
        <w:rPr>
          <w:rFonts w:ascii="Calibri" w:hAnsi="Calibri" w:cs="Calibri"/>
          <w:lang w:val="pl-PL"/>
        </w:rPr>
        <w:t>winn</w:t>
      </w:r>
      <w:r w:rsidR="00A96CA0">
        <w:rPr>
          <w:rFonts w:ascii="Calibri" w:hAnsi="Calibri" w:cs="Calibri"/>
          <w:lang w:val="pl-PL"/>
        </w:rPr>
        <w:t>y</w:t>
      </w:r>
      <w:r>
        <w:rPr>
          <w:rFonts w:ascii="Calibri" w:hAnsi="Calibri" w:cs="Calibri"/>
          <w:lang w:val="pl-PL"/>
        </w:rPr>
        <w:t xml:space="preserve"> przynieść efekt w postaci zbiórki odpadów o mniejszym stopniu zanieczyszczenia, co powinno przełożyć się na zwiększenie ilości wysegregowanych surowców przekazanych do recykling.</w:t>
      </w:r>
      <w:r w:rsidR="00364323">
        <w:rPr>
          <w:rFonts w:ascii="Calibri" w:hAnsi="Calibri" w:cs="Calibri"/>
          <w:lang w:val="pl-PL"/>
        </w:rPr>
        <w:t xml:space="preserve"> Spodziewana jest tu synergia zdecydowanego zmniejszenia ilości odbieranych odpadów suchych oraz lepszej efektywności sortowni w zakresie rozdzielania papieru i tworzyw sztucznych, powstałej w wyniku modernizacji linii w 2019 r.</w:t>
      </w:r>
    </w:p>
    <w:p w:rsidR="003B1ADF" w:rsidRPr="00F2169E" w:rsidRDefault="00CB58FE" w:rsidP="00F2169E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</w:t>
      </w:r>
      <w:r w:rsidR="003B1ADF">
        <w:rPr>
          <w:rFonts w:ascii="Calibri" w:hAnsi="Calibri" w:cs="Calibri"/>
          <w:lang w:val="pl-PL"/>
        </w:rPr>
        <w:t>nalizowany ro</w:t>
      </w:r>
      <w:r>
        <w:rPr>
          <w:rFonts w:ascii="Calibri" w:hAnsi="Calibri" w:cs="Calibri"/>
          <w:lang w:val="pl-PL"/>
        </w:rPr>
        <w:t>k wykazał</w:t>
      </w:r>
      <w:r w:rsidR="003B1ADF">
        <w:rPr>
          <w:rFonts w:ascii="Calibri" w:hAnsi="Calibri" w:cs="Calibri"/>
          <w:lang w:val="pl-PL"/>
        </w:rPr>
        <w:t xml:space="preserve">, że </w:t>
      </w:r>
      <w:r>
        <w:rPr>
          <w:rFonts w:ascii="Calibri" w:hAnsi="Calibri" w:cs="Calibri"/>
          <w:lang w:val="pl-PL"/>
        </w:rPr>
        <w:t xml:space="preserve">ostateczny kształt selektywnej zbiórki u źródła w </w:t>
      </w:r>
      <w:r w:rsidR="00E36EA5">
        <w:rPr>
          <w:rFonts w:ascii="Calibri" w:hAnsi="Calibri" w:cs="Calibri"/>
          <w:lang w:val="pl-PL"/>
        </w:rPr>
        <w:t>Toruniu</w:t>
      </w:r>
      <w:r>
        <w:rPr>
          <w:rFonts w:ascii="Calibri" w:hAnsi="Calibri" w:cs="Calibri"/>
          <w:lang w:val="pl-PL"/>
        </w:rPr>
        <w:t xml:space="preserve"> ograniczany jest przez potrzeby inwestycyjne, będące</w:t>
      </w:r>
      <w:r w:rsidR="00E36EA5">
        <w:rPr>
          <w:rFonts w:ascii="Calibri" w:hAnsi="Calibri" w:cs="Calibri"/>
          <w:lang w:val="pl-PL"/>
        </w:rPr>
        <w:t xml:space="preserve"> nie tylko po stronie gminy, lecz też</w:t>
      </w:r>
      <w:r>
        <w:rPr>
          <w:rFonts w:ascii="Calibri" w:hAnsi="Calibri" w:cs="Calibri"/>
          <w:lang w:val="pl-PL"/>
        </w:rPr>
        <w:t xml:space="preserve"> po stronie właścicieli nieruchomości. </w:t>
      </w:r>
      <w:r w:rsidR="00E36EA5">
        <w:rPr>
          <w:rFonts w:ascii="Calibri" w:hAnsi="Calibri" w:cs="Calibri"/>
          <w:lang w:val="pl-PL"/>
        </w:rPr>
        <w:t xml:space="preserve">Mowa tu o działaniach organizacyjnych związanych z miejscami gromadzenia odpadów. </w:t>
      </w:r>
      <w:r w:rsidR="0082345D">
        <w:rPr>
          <w:rFonts w:ascii="Calibri" w:hAnsi="Calibri" w:cs="Calibri"/>
          <w:lang w:val="pl-PL"/>
        </w:rPr>
        <w:t xml:space="preserve">Nadal istnieje wiele nieruchomości, które dysponują odpowiednią ilością miejsca na pełen zestaw pojemników na odpady lub boksy śmietnikowe </w:t>
      </w:r>
      <w:r w:rsidR="0082345D">
        <w:rPr>
          <w:rFonts w:ascii="Calibri" w:hAnsi="Calibri" w:cs="Calibri"/>
          <w:lang w:val="pl-PL"/>
        </w:rPr>
        <w:lastRenderedPageBreak/>
        <w:t xml:space="preserve">wymagają rozbudowy. </w:t>
      </w:r>
      <w:r w:rsidR="00EE2230">
        <w:rPr>
          <w:rFonts w:ascii="Calibri" w:hAnsi="Calibri" w:cs="Calibri"/>
          <w:lang w:val="pl-PL"/>
        </w:rPr>
        <w:t>Ostateczne rozpoczęcie segregacji odpadów jest więc wstrzymywane do czasu zakończenia niezbędnych inwestycji lub wspólnej organizacji miejsca zbierania z sąsiednimi nieruchomościami.</w:t>
      </w:r>
    </w:p>
    <w:p w:rsidR="00F2169E" w:rsidRDefault="00F2169E" w:rsidP="00F2169E">
      <w:pPr>
        <w:jc w:val="both"/>
        <w:rPr>
          <w:rFonts w:ascii="Calibri" w:hAnsi="Calibri" w:cs="Calibri"/>
          <w:lang w:val="pl-PL"/>
        </w:rPr>
      </w:pPr>
      <w:r w:rsidRPr="00F2169E">
        <w:rPr>
          <w:rFonts w:ascii="Calibri" w:hAnsi="Calibri" w:cs="Calibri"/>
          <w:lang w:val="pl-PL"/>
        </w:rPr>
        <w:tab/>
        <w:t>Funkcjonujące na terenie gminy 2 Punkty Selektywnego Zbierania Odpadów Komunalnych (PSZOK) – w lewobrzeżnej części miasta (przy ul. Dwernickiego 15-15a) oraz w</w:t>
      </w:r>
      <w:r w:rsidR="00C90C3F">
        <w:rPr>
          <w:rFonts w:ascii="Calibri" w:hAnsi="Calibri" w:cs="Calibri"/>
          <w:lang w:val="pl-PL"/>
        </w:rPr>
        <w:t> </w:t>
      </w:r>
      <w:r w:rsidRPr="00F2169E">
        <w:rPr>
          <w:rFonts w:ascii="Calibri" w:hAnsi="Calibri" w:cs="Calibri"/>
          <w:lang w:val="pl-PL"/>
        </w:rPr>
        <w:t>prawobrzeżnej części (przy ul. Kociewskiej 35) zaspakajają potrzeby w zakresie możliwości bezpośredniego pozbycia się odpadów problemowych przez mieszkańców, nie stwierdza się potrzeby uruchomienia dodatkowego punktu.</w:t>
      </w:r>
    </w:p>
    <w:p w:rsidR="00874716" w:rsidRDefault="00874716" w:rsidP="00F2169E">
      <w:pPr>
        <w:ind w:firstLine="720"/>
        <w:jc w:val="both"/>
        <w:rPr>
          <w:rFonts w:ascii="Calibri" w:hAnsi="Calibri" w:cs="Calibri"/>
          <w:lang w:val="pl-PL"/>
        </w:rPr>
      </w:pPr>
      <w:r w:rsidRPr="00CE4DDA">
        <w:rPr>
          <w:rFonts w:ascii="Calibri" w:hAnsi="Calibri" w:cs="Calibri"/>
          <w:lang w:val="pl-PL"/>
        </w:rPr>
        <w:t>Poniżej przedstawiono osiągnięte przez Gminę</w:t>
      </w:r>
      <w:r w:rsidR="001F6BD8">
        <w:rPr>
          <w:rFonts w:ascii="Calibri" w:hAnsi="Calibri" w:cs="Calibri"/>
          <w:lang w:val="pl-PL"/>
        </w:rPr>
        <w:t xml:space="preserve"> Miasta Toruń w latach 2012-2020</w:t>
      </w:r>
      <w:r w:rsidRPr="00CE4DDA">
        <w:rPr>
          <w:rFonts w:ascii="Calibri" w:hAnsi="Calibri" w:cs="Calibri"/>
          <w:lang w:val="pl-PL"/>
        </w:rPr>
        <w:t xml:space="preserve"> r. poziomy recyklingu i przygotowania do ponownego odzysku odpadów o właściwościach surowców wtórnych oraz odpadów budowlanych i rozbiórkowych.</w:t>
      </w:r>
      <w:r>
        <w:rPr>
          <w:rFonts w:ascii="Calibri" w:hAnsi="Calibri" w:cs="Calibri"/>
          <w:lang w:val="pl-PL"/>
        </w:rPr>
        <w:t xml:space="preserve"> </w:t>
      </w:r>
    </w:p>
    <w:p w:rsidR="00874716" w:rsidRPr="00FF32B2" w:rsidRDefault="00874716" w:rsidP="00565A84">
      <w:pPr>
        <w:jc w:val="both"/>
        <w:rPr>
          <w:rFonts w:ascii="Calibri" w:hAnsi="Calibri" w:cs="Calibri"/>
          <w:lang w:val="pl-PL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865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874716" w:rsidRPr="00FF32B2">
        <w:trPr>
          <w:trHeight w:val="520"/>
          <w:tblHeader/>
        </w:trPr>
        <w:tc>
          <w:tcPr>
            <w:tcW w:w="2342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5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2012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2013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2014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2015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2016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2017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2018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2019 r.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2020 r.</w:t>
            </w:r>
          </w:p>
        </w:tc>
      </w:tr>
      <w:tr w:rsidR="00874716" w:rsidRPr="00FF32B2">
        <w:trPr>
          <w:trHeight w:val="520"/>
          <w:tblHeader/>
        </w:trPr>
        <w:tc>
          <w:tcPr>
            <w:tcW w:w="2342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sz w:val="18"/>
                <w:szCs w:val="18"/>
                <w:lang w:val="pl-PL"/>
              </w:rPr>
              <w:t>Wymagany poziom recyklingu i przygotowania do ponownego użycia papieru, metali, tworzyw sztucznych i szkła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12%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14%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16%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18%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50%</w:t>
            </w:r>
          </w:p>
        </w:tc>
      </w:tr>
      <w:tr w:rsidR="00874716" w:rsidRPr="00FF32B2">
        <w:trPr>
          <w:trHeight w:val="520"/>
          <w:tblHeader/>
        </w:trPr>
        <w:tc>
          <w:tcPr>
            <w:tcW w:w="2342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sz w:val="18"/>
                <w:szCs w:val="18"/>
                <w:lang w:val="pl-PL"/>
              </w:rPr>
              <w:t>Osiągnięty poziom recyklingu i przygotowania do ponownego użycia wskazanych wyżej frakcji</w:t>
            </w:r>
          </w:p>
        </w:tc>
        <w:tc>
          <w:tcPr>
            <w:tcW w:w="865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 xml:space="preserve">19,20 </w:t>
            </w: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>17,71</w:t>
            </w: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>19,87</w:t>
            </w: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22,25%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18,57%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37,07%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41,24%</w:t>
            </w:r>
          </w:p>
        </w:tc>
        <w:tc>
          <w:tcPr>
            <w:tcW w:w="804" w:type="dxa"/>
            <w:vAlign w:val="center"/>
          </w:tcPr>
          <w:p w:rsidR="00874716" w:rsidRPr="00024C87" w:rsidRDefault="00AC18E7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24C87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49,93%</w:t>
            </w:r>
          </w:p>
        </w:tc>
        <w:tc>
          <w:tcPr>
            <w:tcW w:w="804" w:type="dxa"/>
            <w:vAlign w:val="center"/>
          </w:tcPr>
          <w:p w:rsidR="00874716" w:rsidRPr="00FF32B2" w:rsidRDefault="00F2169E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52,65 %</w:t>
            </w:r>
          </w:p>
        </w:tc>
      </w:tr>
      <w:tr w:rsidR="00874716" w:rsidRPr="00FF32B2">
        <w:trPr>
          <w:trHeight w:val="520"/>
          <w:tblHeader/>
        </w:trPr>
        <w:tc>
          <w:tcPr>
            <w:tcW w:w="2342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sz w:val="18"/>
                <w:szCs w:val="18"/>
                <w:lang w:val="pl-PL"/>
              </w:rPr>
              <w:t>Wymagany poziom recyklingu i przygotowania do ponownego użycia odpadów budowlanych i rozbiórkowych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36%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38%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42%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45%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60%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70%</w:t>
            </w:r>
          </w:p>
        </w:tc>
      </w:tr>
      <w:tr w:rsidR="00874716" w:rsidRPr="00FF32B2">
        <w:trPr>
          <w:trHeight w:val="520"/>
          <w:tblHeader/>
        </w:trPr>
        <w:tc>
          <w:tcPr>
            <w:tcW w:w="2342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sz w:val="18"/>
                <w:szCs w:val="18"/>
                <w:lang w:val="pl-PL"/>
              </w:rPr>
              <w:t>Osiągnięty poziom recyklingu i przygotowania do ponownego użycia wskazanych wyżej frakcji</w:t>
            </w:r>
          </w:p>
        </w:tc>
        <w:tc>
          <w:tcPr>
            <w:tcW w:w="865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>98,3 %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>77,33%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</w:rPr>
              <w:t>81,6 %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86,81%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FF32B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88,41%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88,92%</w:t>
            </w:r>
          </w:p>
        </w:tc>
        <w:tc>
          <w:tcPr>
            <w:tcW w:w="804" w:type="dxa"/>
            <w:vAlign w:val="center"/>
          </w:tcPr>
          <w:p w:rsidR="00874716" w:rsidRPr="00FF32B2" w:rsidRDefault="00874716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89,32%</w:t>
            </w:r>
          </w:p>
        </w:tc>
        <w:tc>
          <w:tcPr>
            <w:tcW w:w="804" w:type="dxa"/>
            <w:vAlign w:val="center"/>
          </w:tcPr>
          <w:p w:rsidR="00874716" w:rsidRPr="00024C87" w:rsidRDefault="007641CC" w:rsidP="00024C87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val="pl-PL"/>
              </w:rPr>
            </w:pPr>
            <w:r w:rsidRPr="007641C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87,93%</w:t>
            </w:r>
          </w:p>
        </w:tc>
        <w:tc>
          <w:tcPr>
            <w:tcW w:w="804" w:type="dxa"/>
            <w:vAlign w:val="center"/>
          </w:tcPr>
          <w:p w:rsidR="00874716" w:rsidRPr="00FF32B2" w:rsidRDefault="00F2169E" w:rsidP="002C21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84,51%</w:t>
            </w:r>
          </w:p>
        </w:tc>
      </w:tr>
    </w:tbl>
    <w:p w:rsidR="00874716" w:rsidRDefault="00874716" w:rsidP="00B27D1B">
      <w:pPr>
        <w:jc w:val="both"/>
        <w:rPr>
          <w:rFonts w:ascii="Calibri" w:hAnsi="Calibri" w:cs="Calibri"/>
          <w:lang w:val="pl-PL"/>
        </w:rPr>
      </w:pPr>
    </w:p>
    <w:p w:rsidR="007641CC" w:rsidRDefault="007641CC" w:rsidP="00B27D1B">
      <w:pPr>
        <w:jc w:val="both"/>
        <w:rPr>
          <w:rFonts w:ascii="Calibri" w:hAnsi="Calibri" w:cs="Calibri"/>
          <w:lang w:val="pl-PL"/>
        </w:rPr>
      </w:pPr>
    </w:p>
    <w:p w:rsidR="00820F51" w:rsidRPr="00FF32B2" w:rsidRDefault="00820F51" w:rsidP="00B27D1B">
      <w:pPr>
        <w:jc w:val="both"/>
        <w:rPr>
          <w:rFonts w:ascii="Calibri" w:hAnsi="Calibri" w:cs="Calibri"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7" w:name="_Toc70341866"/>
      <w:r w:rsidRPr="00FF32B2">
        <w:rPr>
          <w:lang w:val="pl-PL" w:bidi="th-TH"/>
        </w:rPr>
        <w:t>K</w:t>
      </w:r>
      <w:r w:rsidRPr="00285D56">
        <w:rPr>
          <w:lang w:val="pl-PL" w:bidi="th-TH"/>
        </w:rPr>
        <w:t>oszty poniesione w związku z odbieraniem, odzyskiem, recyklingiem i</w:t>
      </w:r>
      <w:r>
        <w:rPr>
          <w:lang w:val="pl-PL" w:bidi="th-TH"/>
        </w:rPr>
        <w:t> </w:t>
      </w:r>
      <w:r w:rsidRPr="00285D56">
        <w:rPr>
          <w:lang w:val="pl-PL" w:bidi="th-TH"/>
        </w:rPr>
        <w:t>unieszkodliwianiem odpadów komunalnych</w:t>
      </w:r>
      <w:r>
        <w:rPr>
          <w:lang w:val="pl-PL" w:bidi="th-TH"/>
        </w:rPr>
        <w:t>.</w:t>
      </w:r>
      <w:bookmarkEnd w:id="7"/>
    </w:p>
    <w:p w:rsidR="00874716" w:rsidRPr="00FF32B2" w:rsidRDefault="00874716" w:rsidP="00C328E9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74716" w:rsidRDefault="00874716" w:rsidP="002946A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pl-PL"/>
        </w:rPr>
      </w:pPr>
      <w:r w:rsidRPr="00FF32B2">
        <w:rPr>
          <w:rFonts w:ascii="Calibri" w:hAnsi="Calibri" w:cs="Calibri"/>
          <w:lang w:val="pl-PL"/>
        </w:rPr>
        <w:tab/>
      </w:r>
      <w:r w:rsidRPr="004112D2">
        <w:rPr>
          <w:rFonts w:ascii="Calibri" w:hAnsi="Calibri" w:cs="Calibri"/>
          <w:lang w:val="pl-PL"/>
        </w:rPr>
        <w:t>Źródłem finansowania systemu odbioru i zagospodarowania odpadów komunalnych są opłaty za gospodarowanie odpadami komunalnymi wnoszone przez mieszkańców miasta. Zgodnie z obowiązującą u</w:t>
      </w:r>
      <w:r w:rsidRPr="004112D2">
        <w:rPr>
          <w:rFonts w:ascii="Calibri" w:hAnsi="Calibri" w:cs="Calibri"/>
          <w:bCs/>
          <w:lang w:val="pl-PL"/>
        </w:rPr>
        <w:t xml:space="preserve">chwałą Rady Miasta Torunia </w:t>
      </w:r>
      <w:r w:rsidRPr="004112D2">
        <w:rPr>
          <w:rFonts w:ascii="Calibri" w:hAnsi="Calibri" w:cs="Calibri"/>
          <w:lang w:val="pl-PL"/>
        </w:rPr>
        <w:t xml:space="preserve">nr 302/16 z dnia 12.05.2016 r. w sprawie wyboru metody ustalenia opłaty za gospodarowanie odpadami komunalnymi oraz ustalenia stawki tej opłaty (Dziennik Urzędowy Woj. Kujawsko-Pomorskiego z 2016 r., poz. 1737), </w:t>
      </w:r>
      <w:r w:rsidR="00820F51">
        <w:rPr>
          <w:rFonts w:ascii="Calibri" w:hAnsi="Calibri" w:cs="Calibri"/>
          <w:lang w:val="pl-PL"/>
        </w:rPr>
        <w:br/>
      </w:r>
      <w:r w:rsidR="00C90C3F">
        <w:rPr>
          <w:rFonts w:ascii="Calibri" w:hAnsi="Calibri" w:cs="Calibri"/>
          <w:lang w:val="pl-PL"/>
        </w:rPr>
        <w:t xml:space="preserve">w 2020 roku </w:t>
      </w:r>
      <w:r w:rsidRPr="004112D2">
        <w:rPr>
          <w:rFonts w:ascii="Calibri" w:hAnsi="Calibri" w:cs="Calibri"/>
          <w:bCs/>
          <w:lang w:val="pl-PL"/>
        </w:rPr>
        <w:t xml:space="preserve">wysokość tej opłaty uzależniona </w:t>
      </w:r>
      <w:r w:rsidR="00C90C3F">
        <w:rPr>
          <w:rFonts w:ascii="Calibri" w:hAnsi="Calibri" w:cs="Calibri"/>
          <w:bCs/>
          <w:lang w:val="pl-PL"/>
        </w:rPr>
        <w:t>była</w:t>
      </w:r>
      <w:r w:rsidRPr="004112D2">
        <w:rPr>
          <w:rFonts w:ascii="Calibri" w:hAnsi="Calibri" w:cs="Calibri"/>
          <w:bCs/>
          <w:lang w:val="pl-PL"/>
        </w:rPr>
        <w:t xml:space="preserve"> od </w:t>
      </w:r>
      <w:r w:rsidR="00820F51">
        <w:rPr>
          <w:rFonts w:ascii="Calibri" w:hAnsi="Calibri" w:cs="Calibri"/>
          <w:bCs/>
          <w:lang w:val="pl-PL"/>
        </w:rPr>
        <w:t xml:space="preserve">ilości gospodarstw domowych zamieszkujących nieruchomość, a także od </w:t>
      </w:r>
      <w:r w:rsidRPr="004112D2">
        <w:rPr>
          <w:rFonts w:ascii="Calibri" w:hAnsi="Calibri" w:cs="Calibri"/>
          <w:bCs/>
          <w:lang w:val="pl-PL"/>
        </w:rPr>
        <w:t xml:space="preserve">ilości osób w gospodarstwie domowym, rodzaju zabudowy oraz prowadzenia bądź nie selektywnego zbierania odpadów. Stawki opłaty za odbiór odpadów </w:t>
      </w:r>
      <w:r w:rsidR="001F6BD8">
        <w:rPr>
          <w:rFonts w:ascii="Calibri" w:hAnsi="Calibri" w:cs="Calibri"/>
          <w:bCs/>
          <w:lang w:val="pl-PL"/>
        </w:rPr>
        <w:t xml:space="preserve">w roku 2020 </w:t>
      </w:r>
      <w:r w:rsidR="0083657E">
        <w:rPr>
          <w:rFonts w:ascii="Calibri" w:hAnsi="Calibri" w:cs="Calibri"/>
          <w:bCs/>
          <w:lang w:val="pl-PL"/>
        </w:rPr>
        <w:t>pozostawały</w:t>
      </w:r>
      <w:r w:rsidRPr="004112D2">
        <w:rPr>
          <w:rFonts w:ascii="Calibri" w:hAnsi="Calibri" w:cs="Calibri"/>
          <w:bCs/>
          <w:lang w:val="pl-PL"/>
        </w:rPr>
        <w:t xml:space="preserve"> w niezmienionej wysokości</w:t>
      </w:r>
      <w:r w:rsidR="0083657E">
        <w:rPr>
          <w:rFonts w:ascii="Calibri" w:hAnsi="Calibri" w:cs="Calibri"/>
          <w:bCs/>
          <w:lang w:val="pl-PL"/>
        </w:rPr>
        <w:t>, na poziomie który obowiązywał</w:t>
      </w:r>
      <w:r w:rsidRPr="004112D2">
        <w:rPr>
          <w:rFonts w:ascii="Calibri" w:hAnsi="Calibri" w:cs="Calibri"/>
          <w:bCs/>
          <w:lang w:val="pl-PL"/>
        </w:rPr>
        <w:t xml:space="preserve"> od kwietnia 2014 r</w:t>
      </w:r>
      <w:r w:rsidR="0083657E">
        <w:rPr>
          <w:rFonts w:ascii="Calibri" w:hAnsi="Calibri" w:cs="Calibri"/>
          <w:bCs/>
          <w:lang w:val="pl-PL"/>
        </w:rPr>
        <w:t>oku</w:t>
      </w:r>
      <w:r w:rsidRPr="004112D2">
        <w:rPr>
          <w:rFonts w:ascii="Calibri" w:hAnsi="Calibri" w:cs="Calibri"/>
          <w:bCs/>
          <w:lang w:val="pl-PL"/>
        </w:rPr>
        <w:t>.</w:t>
      </w:r>
      <w:r w:rsidR="00C90C3F">
        <w:rPr>
          <w:rFonts w:ascii="Calibri" w:hAnsi="Calibri" w:cs="Calibri"/>
          <w:bCs/>
          <w:lang w:val="pl-PL"/>
        </w:rPr>
        <w:t xml:space="preserve"> </w:t>
      </w:r>
      <w:r w:rsidR="0083657E">
        <w:rPr>
          <w:rFonts w:ascii="Calibri" w:hAnsi="Calibri" w:cs="Calibri"/>
          <w:bCs/>
          <w:lang w:val="pl-PL"/>
        </w:rPr>
        <w:t>Natomiast w</w:t>
      </w:r>
      <w:r w:rsidR="00C90C3F">
        <w:rPr>
          <w:rFonts w:ascii="Calibri" w:hAnsi="Calibri" w:cs="Calibri"/>
          <w:bCs/>
          <w:lang w:val="pl-PL"/>
        </w:rPr>
        <w:t>e wrześniu 2020 roku Rada Miasta Torunia podjęła decyzję o zmianie metody naliczania opłat oraz wprowadzeniu zwolnień częściowych z opłaty dla rodzin wielodzietnych oraz z tytułu kompostowania bioodpadów w przydomowym kompostowniku</w:t>
      </w:r>
      <w:r w:rsidR="0083657E">
        <w:rPr>
          <w:rFonts w:ascii="Calibri" w:hAnsi="Calibri" w:cs="Calibri"/>
          <w:bCs/>
          <w:lang w:val="pl-PL"/>
        </w:rPr>
        <w:t xml:space="preserve"> </w:t>
      </w:r>
      <w:r w:rsidR="0083657E">
        <w:rPr>
          <w:rFonts w:ascii="Calibri" w:hAnsi="Calibri" w:cs="Calibri"/>
          <w:bCs/>
          <w:lang w:val="pl-PL"/>
        </w:rPr>
        <w:br/>
        <w:t>w zabudowie jednorodzinnej</w:t>
      </w:r>
      <w:r w:rsidR="00C90C3F">
        <w:rPr>
          <w:rFonts w:ascii="Calibri" w:hAnsi="Calibri" w:cs="Calibri"/>
          <w:bCs/>
          <w:lang w:val="pl-PL"/>
        </w:rPr>
        <w:t>. Zmiany te nie dotyczą jednak roku przedmiotowej analizy, gdyż weszły w życie od stycznia 2021 roku.</w:t>
      </w:r>
    </w:p>
    <w:p w:rsidR="00820F51" w:rsidRDefault="00820F51" w:rsidP="002946A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pl-PL"/>
        </w:rPr>
      </w:pPr>
    </w:p>
    <w:p w:rsidR="0065342D" w:rsidRDefault="00874716" w:rsidP="002946AB">
      <w:pPr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  <w:r w:rsidRPr="004112D2">
        <w:rPr>
          <w:rFonts w:ascii="Calibri" w:hAnsi="Calibri" w:cs="Calibri"/>
          <w:lang w:val="pl-PL"/>
        </w:rPr>
        <w:tab/>
      </w:r>
      <w:r w:rsidR="0083657E">
        <w:rPr>
          <w:rFonts w:ascii="Calibri" w:hAnsi="Calibri" w:cs="Calibri"/>
          <w:lang w:val="pl-PL"/>
        </w:rPr>
        <w:t>N</w:t>
      </w:r>
      <w:r w:rsidR="0065342D">
        <w:rPr>
          <w:rFonts w:ascii="Calibri" w:hAnsi="Calibri" w:cs="Calibri"/>
          <w:lang w:val="pl-PL"/>
        </w:rPr>
        <w:t>a</w:t>
      </w:r>
      <w:r w:rsidR="0083657E">
        <w:rPr>
          <w:rFonts w:ascii="Calibri" w:hAnsi="Calibri" w:cs="Calibri"/>
          <w:lang w:val="pl-PL"/>
        </w:rPr>
        <w:t xml:space="preserve"> koszty systemu gospodarowania odpadami komunalnymi </w:t>
      </w:r>
      <w:r w:rsidR="0065342D">
        <w:rPr>
          <w:rFonts w:ascii="Calibri" w:hAnsi="Calibri" w:cs="Calibri"/>
          <w:lang w:val="pl-PL"/>
        </w:rPr>
        <w:t xml:space="preserve">(którym w Toruniu objęte są nieruchomości zamieszkałe) </w:t>
      </w:r>
      <w:r w:rsidR="0083657E">
        <w:rPr>
          <w:rFonts w:ascii="Calibri" w:hAnsi="Calibri" w:cs="Calibri"/>
          <w:lang w:val="pl-PL"/>
        </w:rPr>
        <w:t xml:space="preserve">składają się: </w:t>
      </w:r>
    </w:p>
    <w:p w:rsidR="007F2A0A" w:rsidRPr="007F2A0A" w:rsidRDefault="0065342D" w:rsidP="007F2A0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>K</w:t>
      </w:r>
      <w:r w:rsidR="00874716" w:rsidRPr="004112D2">
        <w:rPr>
          <w:rFonts w:ascii="Calibri" w:hAnsi="Calibri" w:cs="Calibri"/>
          <w:lang w:val="pl-PL"/>
        </w:rPr>
        <w:t xml:space="preserve">oszt odbioru </w:t>
      </w:r>
      <w:r>
        <w:rPr>
          <w:rFonts w:ascii="Calibri" w:hAnsi="Calibri" w:cs="Calibri"/>
          <w:lang w:val="pl-PL"/>
        </w:rPr>
        <w:t xml:space="preserve">i transportu </w:t>
      </w:r>
      <w:r w:rsidR="00874716" w:rsidRPr="004112D2">
        <w:rPr>
          <w:rFonts w:ascii="Calibri" w:hAnsi="Calibri" w:cs="Calibri"/>
          <w:lang w:val="pl-PL"/>
        </w:rPr>
        <w:t>odpadów</w:t>
      </w:r>
      <w:r>
        <w:rPr>
          <w:rFonts w:ascii="Calibri" w:hAnsi="Calibri" w:cs="Calibri"/>
          <w:lang w:val="pl-PL"/>
        </w:rPr>
        <w:t xml:space="preserve">. </w:t>
      </w:r>
    </w:p>
    <w:p w:rsidR="0065342D" w:rsidRDefault="007F2A0A" w:rsidP="007F2A0A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2020 roku dokonano płatności na kwotę: </w:t>
      </w:r>
      <w:r w:rsidRPr="007F2A0A">
        <w:rPr>
          <w:rFonts w:ascii="Calibri" w:hAnsi="Calibri" w:cs="Calibri"/>
          <w:lang w:val="pl-PL"/>
        </w:rPr>
        <w:t>7 540 570,01</w:t>
      </w:r>
      <w:r>
        <w:rPr>
          <w:rFonts w:ascii="Calibri" w:hAnsi="Calibri" w:cs="Calibri"/>
          <w:lang w:val="pl-PL"/>
        </w:rPr>
        <w:t xml:space="preserve"> zł.</w:t>
      </w:r>
    </w:p>
    <w:p w:rsidR="00C45873" w:rsidRPr="0065342D" w:rsidRDefault="00C45873" w:rsidP="007F2A0A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>Płatność dokonana w 2020 roku dotyczyła usług wykonanych w miesiącach: styczeń 2020 – listopad 2020. Płatność za usługi wykonane w grudniu 2020, nastąpiła w 2021 r.</w:t>
      </w:r>
    </w:p>
    <w:p w:rsidR="00874716" w:rsidRPr="00EF24D5" w:rsidRDefault="007F2A0A" w:rsidP="007F2A0A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>Rozliczenie z wykonawcą (</w:t>
      </w:r>
      <w:r w:rsidRPr="004112D2">
        <w:rPr>
          <w:rFonts w:ascii="Calibri" w:hAnsi="Calibri" w:cs="Calibri"/>
          <w:lang w:val="pl-PL"/>
        </w:rPr>
        <w:t xml:space="preserve">zgodnie z </w:t>
      </w:r>
      <w:r>
        <w:rPr>
          <w:rFonts w:ascii="Calibri" w:hAnsi="Calibri" w:cs="Calibri"/>
          <w:lang w:val="pl-PL"/>
        </w:rPr>
        <w:t xml:space="preserve">umową </w:t>
      </w:r>
      <w:r w:rsidRPr="004112D2">
        <w:rPr>
          <w:rFonts w:ascii="Calibri" w:hAnsi="Calibri" w:cs="Calibri"/>
          <w:lang w:val="pl-PL"/>
        </w:rPr>
        <w:t xml:space="preserve">zawartą </w:t>
      </w:r>
      <w:r>
        <w:rPr>
          <w:rFonts w:ascii="Calibri" w:hAnsi="Calibri" w:cs="Calibri"/>
          <w:lang w:val="pl-PL"/>
        </w:rPr>
        <w:t xml:space="preserve">z MPO </w:t>
      </w:r>
      <w:r w:rsidRPr="004112D2">
        <w:rPr>
          <w:rFonts w:ascii="Calibri" w:hAnsi="Calibri" w:cs="Calibri"/>
          <w:lang w:val="pl-PL"/>
        </w:rPr>
        <w:t xml:space="preserve">w dniu </w:t>
      </w:r>
      <w:r w:rsidRPr="007670BA">
        <w:rPr>
          <w:rFonts w:ascii="Calibri" w:hAnsi="Calibri" w:cs="Calibri"/>
          <w:lang w:val="pl-PL"/>
        </w:rPr>
        <w:t>18.12.2019 r.</w:t>
      </w:r>
      <w:r w:rsidRPr="004112D2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na lata 2020-2021) następuje na podstawie </w:t>
      </w:r>
      <w:r w:rsidRPr="007670BA">
        <w:rPr>
          <w:rFonts w:ascii="Calibri" w:hAnsi="Calibri" w:cs="Calibri"/>
          <w:lang w:val="pl-PL"/>
        </w:rPr>
        <w:t>stawek jednostkowyc</w:t>
      </w:r>
      <w:r>
        <w:rPr>
          <w:rFonts w:ascii="Calibri" w:hAnsi="Calibri" w:cs="Calibri"/>
          <w:lang w:val="pl-PL"/>
        </w:rPr>
        <w:t xml:space="preserve">h wskazanych przez niego </w:t>
      </w:r>
      <w:r w:rsidR="00CD1270"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>w o</w:t>
      </w:r>
      <w:r w:rsidRPr="007670BA">
        <w:rPr>
          <w:rFonts w:ascii="Calibri" w:hAnsi="Calibri" w:cs="Calibri"/>
          <w:lang w:val="pl-PL"/>
        </w:rPr>
        <w:t>fercie</w:t>
      </w:r>
      <w:r>
        <w:rPr>
          <w:rFonts w:ascii="Calibri" w:hAnsi="Calibri" w:cs="Calibri"/>
          <w:lang w:val="pl-PL"/>
        </w:rPr>
        <w:t xml:space="preserve"> oraz </w:t>
      </w:r>
      <w:r w:rsidR="007670BA" w:rsidRPr="007670BA">
        <w:rPr>
          <w:rFonts w:ascii="Calibri" w:hAnsi="Calibri" w:cs="Calibri"/>
          <w:lang w:val="pl-PL"/>
        </w:rPr>
        <w:t xml:space="preserve">masy </w:t>
      </w:r>
      <w:r>
        <w:rPr>
          <w:rFonts w:ascii="Calibri" w:hAnsi="Calibri" w:cs="Calibri"/>
          <w:lang w:val="pl-PL"/>
        </w:rPr>
        <w:t xml:space="preserve">poszczególnych frakcji </w:t>
      </w:r>
      <w:r w:rsidR="007670BA" w:rsidRPr="007670BA">
        <w:rPr>
          <w:rFonts w:ascii="Calibri" w:hAnsi="Calibri" w:cs="Calibri"/>
          <w:lang w:val="pl-PL"/>
        </w:rPr>
        <w:t xml:space="preserve">odpadów odebranych przez </w:t>
      </w:r>
      <w:r>
        <w:rPr>
          <w:rFonts w:ascii="Calibri" w:hAnsi="Calibri" w:cs="Calibri"/>
          <w:lang w:val="pl-PL"/>
        </w:rPr>
        <w:t>w</w:t>
      </w:r>
      <w:r w:rsidR="007670BA" w:rsidRPr="007670BA">
        <w:rPr>
          <w:rFonts w:ascii="Calibri" w:hAnsi="Calibri" w:cs="Calibri"/>
          <w:lang w:val="pl-PL"/>
        </w:rPr>
        <w:t>ykonawcę</w:t>
      </w:r>
      <w:r w:rsidR="00874716" w:rsidRPr="00EF24D5">
        <w:rPr>
          <w:rFonts w:ascii="Calibri" w:hAnsi="Calibri" w:cs="Calibri"/>
          <w:lang w:val="pl-PL"/>
        </w:rPr>
        <w:t>.</w:t>
      </w:r>
    </w:p>
    <w:p w:rsidR="009E443C" w:rsidRPr="009E443C" w:rsidRDefault="007F2A0A" w:rsidP="007F2A0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3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 xml:space="preserve">Koszt zagospodarowania odpadów. </w:t>
      </w:r>
    </w:p>
    <w:p w:rsidR="007F2A0A" w:rsidRPr="007F2A0A" w:rsidRDefault="007F2A0A" w:rsidP="009E443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 xml:space="preserve">W 2020 roku dokonano płatności na kwotę: </w:t>
      </w:r>
      <w:r w:rsidRPr="007F2A0A">
        <w:rPr>
          <w:rFonts w:ascii="Calibri" w:hAnsi="Calibri" w:cs="Calibri"/>
          <w:lang w:val="pl-PL"/>
        </w:rPr>
        <w:t>12 909 123,49</w:t>
      </w:r>
      <w:r w:rsidR="009E443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zł.</w:t>
      </w:r>
    </w:p>
    <w:p w:rsidR="009E443C" w:rsidRPr="009E443C" w:rsidRDefault="00874716" w:rsidP="007F2A0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Cs/>
          <w:lang w:val="pl-PL"/>
        </w:rPr>
      </w:pPr>
      <w:r w:rsidRPr="00511E99">
        <w:rPr>
          <w:rFonts w:ascii="Calibri" w:hAnsi="Calibri" w:cs="Calibri"/>
          <w:lang w:val="pl-PL"/>
        </w:rPr>
        <w:t xml:space="preserve">dostarczonych do ZUOK </w:t>
      </w:r>
    </w:p>
    <w:p w:rsidR="00874716" w:rsidRDefault="009E443C" w:rsidP="009E443C">
      <w:pPr>
        <w:pStyle w:val="Akapitzlist"/>
        <w:autoSpaceDE w:val="0"/>
        <w:autoSpaceDN w:val="0"/>
        <w:adjustRightInd w:val="0"/>
        <w:ind w:left="993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>Rozliczenie z wykonawcą (</w:t>
      </w:r>
      <w:r w:rsidR="00874716" w:rsidRPr="00511E99">
        <w:rPr>
          <w:rFonts w:ascii="Calibri" w:hAnsi="Calibri" w:cs="Calibri"/>
          <w:lang w:val="pl-PL"/>
        </w:rPr>
        <w:t xml:space="preserve">zgodnie z </w:t>
      </w:r>
      <w:r>
        <w:rPr>
          <w:rFonts w:ascii="Calibri" w:hAnsi="Calibri" w:cs="Calibri"/>
          <w:lang w:val="pl-PL"/>
        </w:rPr>
        <w:t xml:space="preserve">umową </w:t>
      </w:r>
      <w:r w:rsidR="00874716" w:rsidRPr="00511E99">
        <w:rPr>
          <w:rFonts w:ascii="Calibri" w:hAnsi="Calibri" w:cs="Calibri"/>
          <w:lang w:val="pl-PL"/>
        </w:rPr>
        <w:t>zawartą</w:t>
      </w:r>
      <w:r>
        <w:rPr>
          <w:rFonts w:ascii="Calibri" w:hAnsi="Calibri" w:cs="Calibri"/>
          <w:lang w:val="pl-PL"/>
        </w:rPr>
        <w:t xml:space="preserve"> z MPO</w:t>
      </w:r>
      <w:r w:rsidR="00874716" w:rsidRPr="00511E99">
        <w:rPr>
          <w:rFonts w:ascii="Calibri" w:hAnsi="Calibri" w:cs="Calibri"/>
          <w:lang w:val="pl-PL"/>
        </w:rPr>
        <w:t xml:space="preserve"> w dniu 04.01.2016 r. </w:t>
      </w:r>
      <w:r>
        <w:rPr>
          <w:rFonts w:ascii="Calibri" w:hAnsi="Calibri" w:cs="Calibri"/>
          <w:lang w:val="pl-PL"/>
        </w:rPr>
        <w:t>na lata 2016-2025) następuje</w:t>
      </w:r>
      <w:r w:rsidR="00874716" w:rsidRPr="00511E99">
        <w:rPr>
          <w:rFonts w:ascii="Calibri" w:hAnsi="Calibri" w:cs="Calibri"/>
          <w:bCs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w postaci wypłaty </w:t>
      </w:r>
      <w:r w:rsidR="00874716" w:rsidRPr="00511E99">
        <w:rPr>
          <w:rFonts w:ascii="Calibri" w:hAnsi="Calibri" w:cs="Calibri"/>
          <w:bCs/>
          <w:lang w:val="pl-PL"/>
        </w:rPr>
        <w:t>rekompensaty</w:t>
      </w:r>
      <w:r>
        <w:rPr>
          <w:rFonts w:ascii="Calibri" w:hAnsi="Calibri" w:cs="Calibri"/>
          <w:bCs/>
          <w:lang w:val="pl-PL"/>
        </w:rPr>
        <w:t xml:space="preserve"> za świadczenie usług publicznych</w:t>
      </w:r>
      <w:r w:rsidR="00874716">
        <w:rPr>
          <w:rFonts w:ascii="Calibri" w:hAnsi="Calibri" w:cs="Calibri"/>
          <w:bCs/>
          <w:lang w:val="pl-PL"/>
        </w:rPr>
        <w:t>.</w:t>
      </w:r>
    </w:p>
    <w:p w:rsidR="00C45873" w:rsidRDefault="00C45873" w:rsidP="009E443C">
      <w:pPr>
        <w:pStyle w:val="Akapitzlist"/>
        <w:autoSpaceDE w:val="0"/>
        <w:autoSpaceDN w:val="0"/>
        <w:adjustRightInd w:val="0"/>
        <w:ind w:left="993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Płatność dokonana w 2020 roku dotyczyła usług wykonanych w grudniu 2019 r. oraz stanowiła zaliczkę za miesiące styczeń 2020 – listopad 2020. Płatność stanowiąca wyrównanie zaliczki oraz zapłaty za grudzień 2020, nastąpiła w 2021 r.</w:t>
      </w:r>
    </w:p>
    <w:p w:rsidR="009E443C" w:rsidRPr="009E443C" w:rsidRDefault="009E443C" w:rsidP="007F2A0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Cs/>
          <w:lang w:val="pl-PL"/>
        </w:rPr>
      </w:pPr>
      <w:r w:rsidRPr="004112D2">
        <w:rPr>
          <w:rFonts w:ascii="Calibri" w:hAnsi="Calibri" w:cs="Calibri"/>
          <w:lang w:val="pl-PL"/>
        </w:rPr>
        <w:t>przekazanych bezpośrednio do ZTPOK</w:t>
      </w:r>
      <w:r>
        <w:rPr>
          <w:rFonts w:ascii="Calibri" w:hAnsi="Calibri" w:cs="Calibri"/>
          <w:lang w:val="pl-PL"/>
        </w:rPr>
        <w:t xml:space="preserve"> </w:t>
      </w:r>
    </w:p>
    <w:p w:rsidR="009E443C" w:rsidRDefault="009E443C" w:rsidP="009E443C">
      <w:pPr>
        <w:pStyle w:val="Akapitzlist"/>
        <w:autoSpaceDE w:val="0"/>
        <w:autoSpaceDN w:val="0"/>
        <w:adjustRightInd w:val="0"/>
        <w:ind w:left="993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Rozliczenie (</w:t>
      </w:r>
      <w:r w:rsidRPr="00511E99">
        <w:rPr>
          <w:rFonts w:ascii="Calibri" w:hAnsi="Calibri" w:cs="Calibri"/>
          <w:lang w:val="pl-PL"/>
        </w:rPr>
        <w:t xml:space="preserve">zgodnie z </w:t>
      </w:r>
      <w:r>
        <w:rPr>
          <w:rFonts w:ascii="Calibri" w:hAnsi="Calibri" w:cs="Calibri"/>
          <w:lang w:val="pl-PL"/>
        </w:rPr>
        <w:t xml:space="preserve">umową </w:t>
      </w:r>
      <w:r w:rsidRPr="00511E99">
        <w:rPr>
          <w:rFonts w:ascii="Calibri" w:hAnsi="Calibri" w:cs="Calibri"/>
          <w:lang w:val="pl-PL"/>
        </w:rPr>
        <w:t>zawartą</w:t>
      </w:r>
      <w:r>
        <w:rPr>
          <w:rFonts w:ascii="Calibri" w:hAnsi="Calibri" w:cs="Calibri"/>
          <w:lang w:val="pl-PL"/>
        </w:rPr>
        <w:t xml:space="preserve"> z MPO</w:t>
      </w:r>
      <w:r w:rsidRPr="00511E99">
        <w:rPr>
          <w:rFonts w:ascii="Calibri" w:hAnsi="Calibri" w:cs="Calibri"/>
          <w:lang w:val="pl-PL"/>
        </w:rPr>
        <w:t xml:space="preserve"> w dniu 04.01.2016 r. </w:t>
      </w:r>
      <w:r>
        <w:rPr>
          <w:rFonts w:ascii="Calibri" w:hAnsi="Calibri" w:cs="Calibri"/>
          <w:lang w:val="pl-PL"/>
        </w:rPr>
        <w:t>na lata 2016-2025 w związku z porozumieniem międzygminnym zawartym pomiędzy Miastem Bydgoszcz, a Gminą Miasta Toruń)</w:t>
      </w:r>
      <w:r w:rsidR="00C45873">
        <w:rPr>
          <w:rFonts w:ascii="Calibri" w:hAnsi="Calibri" w:cs="Calibri"/>
          <w:lang w:val="pl-PL"/>
        </w:rPr>
        <w:t>.</w:t>
      </w:r>
    </w:p>
    <w:p w:rsidR="00C45873" w:rsidRPr="00C45873" w:rsidRDefault="00C45873" w:rsidP="00C45873">
      <w:pPr>
        <w:pStyle w:val="Akapitzlist"/>
        <w:autoSpaceDE w:val="0"/>
        <w:autoSpaceDN w:val="0"/>
        <w:adjustRightInd w:val="0"/>
        <w:ind w:left="993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Płatność dokonana w 2020 roku dotyczyła usług wykonanych w grudniu 2019 r. oraz </w:t>
      </w:r>
      <w:r w:rsidRPr="00C45873">
        <w:rPr>
          <w:rFonts w:ascii="Calibri" w:hAnsi="Calibri" w:cs="Calibri"/>
          <w:lang w:val="pl-PL"/>
        </w:rPr>
        <w:t xml:space="preserve">w miesiącach: styczeń 2020 – </w:t>
      </w:r>
      <w:r>
        <w:rPr>
          <w:rFonts w:ascii="Calibri" w:hAnsi="Calibri" w:cs="Calibri"/>
          <w:lang w:val="pl-PL"/>
        </w:rPr>
        <w:t>październik</w:t>
      </w:r>
      <w:r w:rsidRPr="00C45873">
        <w:rPr>
          <w:rFonts w:ascii="Calibri" w:hAnsi="Calibri" w:cs="Calibri"/>
          <w:lang w:val="pl-PL"/>
        </w:rPr>
        <w:t xml:space="preserve"> 2020. </w:t>
      </w:r>
      <w:r>
        <w:rPr>
          <w:rFonts w:ascii="Calibri" w:hAnsi="Calibri" w:cs="Calibri"/>
          <w:lang w:val="pl-PL"/>
        </w:rPr>
        <w:t>Natomiast p</w:t>
      </w:r>
      <w:r w:rsidRPr="00C45873">
        <w:rPr>
          <w:rFonts w:ascii="Calibri" w:hAnsi="Calibri" w:cs="Calibri"/>
          <w:lang w:val="pl-PL"/>
        </w:rPr>
        <w:t>łatność za usługi wykonane w miesiącach:</w:t>
      </w:r>
      <w:r>
        <w:rPr>
          <w:rFonts w:ascii="Calibri" w:hAnsi="Calibri" w:cs="Calibri"/>
          <w:lang w:val="pl-PL"/>
        </w:rPr>
        <w:t xml:space="preserve"> listopad -</w:t>
      </w:r>
      <w:r w:rsidRPr="00C45873">
        <w:rPr>
          <w:rFonts w:ascii="Calibri" w:hAnsi="Calibri" w:cs="Calibri"/>
          <w:lang w:val="pl-PL"/>
        </w:rPr>
        <w:t xml:space="preserve"> grud</w:t>
      </w:r>
      <w:r>
        <w:rPr>
          <w:rFonts w:ascii="Calibri" w:hAnsi="Calibri" w:cs="Calibri"/>
          <w:lang w:val="pl-PL"/>
        </w:rPr>
        <w:t>zień</w:t>
      </w:r>
      <w:r w:rsidRPr="00C45873">
        <w:rPr>
          <w:rFonts w:ascii="Calibri" w:hAnsi="Calibri" w:cs="Calibri"/>
          <w:lang w:val="pl-PL"/>
        </w:rPr>
        <w:t xml:space="preserve"> 2020, nastąpiła w 2021 r.</w:t>
      </w:r>
    </w:p>
    <w:p w:rsidR="00874716" w:rsidRDefault="009E443C" w:rsidP="00C5400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>Pozostałe koszty (takie jak: obsługa administracyjna systemu, edukacja ekologiczna)</w:t>
      </w:r>
      <w:r w:rsidR="00874716" w:rsidRPr="004112D2">
        <w:rPr>
          <w:rFonts w:ascii="Calibri" w:hAnsi="Calibri" w:cs="Calibri"/>
          <w:bCs/>
          <w:lang w:val="pl-PL"/>
        </w:rPr>
        <w:t>.</w:t>
      </w:r>
    </w:p>
    <w:p w:rsidR="009E443C" w:rsidRDefault="009E443C" w:rsidP="009E443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 xml:space="preserve">W 2020 roku dokonano płatności na kwotę: </w:t>
      </w:r>
      <w:r w:rsidRPr="009E443C">
        <w:rPr>
          <w:rFonts w:ascii="Calibri" w:hAnsi="Calibri" w:cs="Calibri"/>
          <w:lang w:val="pl-PL"/>
        </w:rPr>
        <w:t>1 202 946,50</w:t>
      </w:r>
      <w:r>
        <w:rPr>
          <w:rFonts w:ascii="Calibri" w:hAnsi="Calibri" w:cs="Calibri"/>
          <w:lang w:val="pl-PL"/>
        </w:rPr>
        <w:t xml:space="preserve"> zł.</w:t>
      </w:r>
    </w:p>
    <w:p w:rsidR="0065342D" w:rsidRDefault="0065342D" w:rsidP="0065342D">
      <w:pPr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</w:p>
    <w:p w:rsidR="0065342D" w:rsidRDefault="0065342D" w:rsidP="00B712CE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lang w:val="pl-PL"/>
        </w:rPr>
      </w:pPr>
    </w:p>
    <w:p w:rsidR="00C45873" w:rsidRPr="004112D2" w:rsidRDefault="00C45873" w:rsidP="00B712CE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8" w:name="_Toc70341867"/>
      <w:r w:rsidRPr="00FF32B2">
        <w:rPr>
          <w:lang w:val="pl-PL" w:bidi="th-TH"/>
        </w:rPr>
        <w:t>Liczba mieszkańców</w:t>
      </w:r>
      <w:bookmarkEnd w:id="8"/>
    </w:p>
    <w:p w:rsidR="00874716" w:rsidRPr="00FF32B2" w:rsidRDefault="00874716" w:rsidP="003B13CF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74716" w:rsidRPr="00FF32B2" w:rsidRDefault="00874716" w:rsidP="00296BD2">
      <w:pPr>
        <w:jc w:val="both"/>
        <w:rPr>
          <w:rFonts w:ascii="Calibri" w:hAnsi="Calibri" w:cs="Calibri"/>
          <w:sz w:val="23"/>
          <w:szCs w:val="23"/>
          <w:lang w:val="pl-PL"/>
        </w:rPr>
      </w:pPr>
      <w:r w:rsidRPr="00FF32B2">
        <w:rPr>
          <w:rFonts w:ascii="Calibri" w:hAnsi="Calibri" w:cs="Calibri"/>
          <w:sz w:val="23"/>
          <w:szCs w:val="23"/>
          <w:lang w:val="pl-PL"/>
        </w:rPr>
        <w:tab/>
      </w:r>
      <w:r w:rsidRPr="008138CD">
        <w:rPr>
          <w:rFonts w:ascii="Calibri" w:hAnsi="Calibri" w:cs="Calibri"/>
          <w:sz w:val="23"/>
          <w:szCs w:val="23"/>
          <w:lang w:val="pl-PL"/>
        </w:rPr>
        <w:t>Według danych Urzędu Miasta Torunia na dzień 31 grudnia 20</w:t>
      </w:r>
      <w:r w:rsidR="00FF3169">
        <w:rPr>
          <w:rFonts w:ascii="Calibri" w:hAnsi="Calibri" w:cs="Calibri"/>
          <w:sz w:val="23"/>
          <w:szCs w:val="23"/>
          <w:lang w:val="pl-PL"/>
        </w:rPr>
        <w:t>20</w:t>
      </w:r>
      <w:r w:rsidRPr="008138CD">
        <w:rPr>
          <w:rFonts w:ascii="Calibri" w:hAnsi="Calibri" w:cs="Calibri"/>
          <w:sz w:val="23"/>
          <w:szCs w:val="23"/>
          <w:lang w:val="pl-PL"/>
        </w:rPr>
        <w:t xml:space="preserve"> r. teren miasta Torunia zamieszkiwało łącznie 18</w:t>
      </w:r>
      <w:r w:rsidR="00FF3169">
        <w:rPr>
          <w:rFonts w:ascii="Calibri" w:hAnsi="Calibri" w:cs="Calibri"/>
          <w:sz w:val="23"/>
          <w:szCs w:val="23"/>
          <w:lang w:val="pl-PL"/>
        </w:rPr>
        <w:t>5.154</w:t>
      </w:r>
      <w:r w:rsidRPr="008138CD">
        <w:rPr>
          <w:rFonts w:ascii="Calibri" w:hAnsi="Calibri" w:cs="Calibri"/>
          <w:sz w:val="23"/>
          <w:szCs w:val="23"/>
          <w:lang w:val="pl-PL"/>
        </w:rPr>
        <w:t xml:space="preserve"> mieszkańców</w:t>
      </w:r>
      <w:r w:rsidRPr="008138CD">
        <w:rPr>
          <w:rFonts w:ascii="Calibri" w:hAnsi="Calibri" w:cs="Calibri"/>
          <w:lang w:val="pl-PL"/>
        </w:rPr>
        <w:t xml:space="preserve">. Z liczby tej znaczną większość, tj. </w:t>
      </w:r>
      <w:r w:rsidR="00FF3169">
        <w:rPr>
          <w:rFonts w:ascii="Calibri" w:hAnsi="Calibri" w:cs="Calibri"/>
          <w:lang w:val="pl-PL"/>
        </w:rPr>
        <w:t>179.204</w:t>
      </w:r>
      <w:r w:rsidRPr="008138CD">
        <w:rPr>
          <w:rFonts w:ascii="Calibri" w:hAnsi="Calibri" w:cs="Calibri"/>
          <w:lang w:val="pl-PL"/>
        </w:rPr>
        <w:t xml:space="preserve"> stanowiły </w:t>
      </w:r>
      <w:r w:rsidRPr="00074102">
        <w:rPr>
          <w:rFonts w:ascii="Calibri" w:hAnsi="Calibri" w:cs="Calibri"/>
          <w:lang w:val="pl-PL"/>
        </w:rPr>
        <w:t xml:space="preserve">osoby zameldowane na stałe, zaś </w:t>
      </w:r>
      <w:r w:rsidR="00FF3169">
        <w:rPr>
          <w:rFonts w:ascii="Calibri" w:hAnsi="Calibri" w:cs="Calibri"/>
          <w:lang w:val="pl-PL"/>
        </w:rPr>
        <w:t>5.950</w:t>
      </w:r>
      <w:r w:rsidRPr="00074102">
        <w:rPr>
          <w:rFonts w:ascii="Calibri" w:hAnsi="Calibri" w:cs="Calibri"/>
          <w:lang w:val="pl-PL"/>
        </w:rPr>
        <w:t xml:space="preserve"> osób</w:t>
      </w:r>
      <w:r w:rsidR="00FF3169" w:rsidRPr="005442A6">
        <w:rPr>
          <w:lang w:val="pl-PL"/>
        </w:rPr>
        <w:t xml:space="preserve"> </w:t>
      </w:r>
      <w:r w:rsidR="00FF3169" w:rsidRPr="005442A6">
        <w:rPr>
          <w:rFonts w:asciiTheme="minorHAnsi" w:hAnsiTheme="minorHAnsi"/>
          <w:lang w:val="pl-PL"/>
        </w:rPr>
        <w:t xml:space="preserve">przebywało w ramach </w:t>
      </w:r>
      <w:r w:rsidR="00FF3169" w:rsidRPr="00FF3169">
        <w:rPr>
          <w:rFonts w:asciiTheme="minorHAnsi" w:hAnsiTheme="minorHAnsi" w:cs="Calibri"/>
          <w:lang w:val="pl-PL"/>
        </w:rPr>
        <w:t>pobytu czasowego</w:t>
      </w:r>
      <w:r w:rsidRPr="00FF3169">
        <w:rPr>
          <w:rFonts w:asciiTheme="minorHAnsi" w:hAnsiTheme="minorHAnsi" w:cs="Calibri"/>
          <w:lang w:val="pl-PL"/>
        </w:rPr>
        <w:t>.</w:t>
      </w:r>
      <w:r w:rsidRPr="00074102">
        <w:rPr>
          <w:rFonts w:ascii="Calibri" w:hAnsi="Calibri" w:cs="Calibri"/>
          <w:lang w:val="pl-PL"/>
        </w:rPr>
        <w:t xml:space="preserve"> </w:t>
      </w:r>
      <w:r w:rsidRPr="00074102">
        <w:rPr>
          <w:rFonts w:ascii="Calibri" w:hAnsi="Calibri" w:cs="Calibri"/>
          <w:sz w:val="23"/>
          <w:szCs w:val="23"/>
          <w:lang w:val="pl-PL"/>
        </w:rPr>
        <w:t>Deklaracje o wysokości opłaty za odbiór odpadów (stan na dzień 31.12.20</w:t>
      </w:r>
      <w:r w:rsidR="002266EC">
        <w:rPr>
          <w:rFonts w:ascii="Calibri" w:hAnsi="Calibri" w:cs="Calibri"/>
          <w:sz w:val="23"/>
          <w:szCs w:val="23"/>
          <w:lang w:val="pl-PL"/>
        </w:rPr>
        <w:t>20</w:t>
      </w:r>
      <w:r w:rsidRPr="00074102">
        <w:rPr>
          <w:rFonts w:ascii="Calibri" w:hAnsi="Calibri" w:cs="Calibri"/>
          <w:sz w:val="23"/>
          <w:szCs w:val="23"/>
          <w:lang w:val="pl-PL"/>
        </w:rPr>
        <w:t xml:space="preserve"> r.) zostały </w:t>
      </w:r>
      <w:r w:rsidRPr="00074102">
        <w:rPr>
          <w:rFonts w:ascii="Calibri" w:hAnsi="Calibri" w:cs="Calibri"/>
          <w:lang w:val="pl-PL"/>
        </w:rPr>
        <w:t>złożone w</w:t>
      </w:r>
      <w:r w:rsidR="002266EC">
        <w:rPr>
          <w:rFonts w:ascii="Calibri" w:hAnsi="Calibri" w:cs="Calibri"/>
          <w:lang w:val="pl-PL"/>
        </w:rPr>
        <w:t> </w:t>
      </w:r>
      <w:r w:rsidRPr="00074102">
        <w:rPr>
          <w:rFonts w:ascii="Calibri" w:hAnsi="Calibri" w:cs="Calibri"/>
          <w:lang w:val="pl-PL"/>
        </w:rPr>
        <w:t xml:space="preserve">imieniu </w:t>
      </w:r>
      <w:r w:rsidR="001F6BD8">
        <w:rPr>
          <w:rFonts w:ascii="Calibri" w:hAnsi="Calibri" w:cs="Calibri"/>
          <w:color w:val="000000"/>
          <w:lang w:val="pl-PL"/>
        </w:rPr>
        <w:t>180.</w:t>
      </w:r>
      <w:r w:rsidR="00FF3169">
        <w:rPr>
          <w:rFonts w:ascii="Calibri" w:hAnsi="Calibri" w:cs="Calibri"/>
          <w:color w:val="000000"/>
          <w:lang w:val="pl-PL"/>
        </w:rPr>
        <w:t>637</w:t>
      </w:r>
      <w:r w:rsidRPr="00074102">
        <w:rPr>
          <w:rFonts w:ascii="Calibri" w:hAnsi="Calibri" w:cs="Calibri"/>
          <w:color w:val="000000"/>
          <w:lang w:val="pl-PL"/>
        </w:rPr>
        <w:t xml:space="preserve"> </w:t>
      </w:r>
      <w:r w:rsidRPr="00074102">
        <w:rPr>
          <w:rFonts w:ascii="Calibri" w:hAnsi="Calibri" w:cs="Calibri"/>
          <w:lang w:val="pl-PL"/>
        </w:rPr>
        <w:t xml:space="preserve">osób. </w:t>
      </w:r>
      <w:r w:rsidRPr="00A86A06">
        <w:rPr>
          <w:rFonts w:ascii="Calibri" w:hAnsi="Calibri" w:cs="Calibri"/>
          <w:lang w:val="pl-PL"/>
        </w:rPr>
        <w:t>Widoczna dysproporcja między danymi meldunkowymi a</w:t>
      </w:r>
      <w:r w:rsidRPr="00A86A06">
        <w:rPr>
          <w:rFonts w:ascii="Calibri" w:hAnsi="Calibri" w:cs="Calibri"/>
          <w:sz w:val="23"/>
          <w:szCs w:val="23"/>
          <w:lang w:val="pl-PL"/>
        </w:rPr>
        <w:t xml:space="preserve"> ilością mieszkańców zgłoszoną do gminnego systemu odbioru odpadów komunalnych występuje w</w:t>
      </w:r>
      <w:r w:rsidR="002266EC">
        <w:rPr>
          <w:rFonts w:ascii="Calibri" w:hAnsi="Calibri" w:cs="Calibri"/>
          <w:sz w:val="23"/>
          <w:szCs w:val="23"/>
          <w:lang w:val="pl-PL"/>
        </w:rPr>
        <w:t> </w:t>
      </w:r>
      <w:r w:rsidRPr="00A86A06">
        <w:rPr>
          <w:rFonts w:ascii="Calibri" w:hAnsi="Calibri" w:cs="Calibri"/>
          <w:sz w:val="23"/>
          <w:szCs w:val="23"/>
          <w:lang w:val="pl-PL"/>
        </w:rPr>
        <w:t>znacznej części gmin, w których wysokość opłaty uzależniona jest od liczby osób zamieszkujących nieruchomość. W Toruniu zmniejsza się ona na przestrzeni lat wraz ze spadkiem łącznej liczby zameldowanych mieszkańców.</w:t>
      </w:r>
    </w:p>
    <w:p w:rsidR="00874716" w:rsidRDefault="00874716" w:rsidP="006C0D9F">
      <w:pPr>
        <w:ind w:left="360"/>
        <w:jc w:val="both"/>
        <w:rPr>
          <w:rFonts w:ascii="Calibri" w:hAnsi="Calibri" w:cs="Calibri"/>
          <w:b/>
          <w:lang w:val="pl-PL"/>
        </w:rPr>
      </w:pPr>
    </w:p>
    <w:p w:rsidR="00B712CE" w:rsidRDefault="00B712CE" w:rsidP="006C0D9F">
      <w:pPr>
        <w:ind w:left="360"/>
        <w:jc w:val="both"/>
        <w:rPr>
          <w:rFonts w:ascii="Calibri" w:hAnsi="Calibri" w:cs="Calibri"/>
          <w:b/>
          <w:lang w:val="pl-PL"/>
        </w:rPr>
      </w:pPr>
    </w:p>
    <w:p w:rsidR="00C45873" w:rsidRPr="00FF32B2" w:rsidRDefault="00C45873" w:rsidP="006C0D9F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9" w:name="_Toc70341868"/>
      <w:r w:rsidRPr="00FF32B2">
        <w:rPr>
          <w:lang w:val="pl-PL" w:bidi="th-TH"/>
        </w:rPr>
        <w:lastRenderedPageBreak/>
        <w:t>Liczba właścicieli nieruchomości, którzy nie zawa</w:t>
      </w:r>
      <w:r>
        <w:rPr>
          <w:lang w:val="pl-PL" w:bidi="th-TH"/>
        </w:rPr>
        <w:t xml:space="preserve">rli umowy, o której mowa w art. </w:t>
      </w:r>
      <w:r w:rsidRPr="00FF32B2">
        <w:rPr>
          <w:lang w:val="pl-PL" w:bidi="th-TH"/>
        </w:rPr>
        <w:t>6 ust. 1, w imieniu których gmina powinna podjąć działania, o których mowa w art. 6 ust. 6-12.</w:t>
      </w:r>
      <w:bookmarkEnd w:id="9"/>
    </w:p>
    <w:p w:rsidR="00874716" w:rsidRPr="00FF32B2" w:rsidRDefault="00874716" w:rsidP="00E9486D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74716" w:rsidRPr="00D85220" w:rsidRDefault="00874716" w:rsidP="00795E27">
      <w:pPr>
        <w:jc w:val="both"/>
        <w:rPr>
          <w:rFonts w:ascii="Calibri" w:hAnsi="Calibri" w:cs="Calibri"/>
          <w:sz w:val="23"/>
          <w:szCs w:val="23"/>
          <w:lang w:val="pl-PL"/>
        </w:rPr>
      </w:pPr>
      <w:r w:rsidRPr="00FF32B2">
        <w:rPr>
          <w:rFonts w:ascii="Calibri" w:hAnsi="Calibri" w:cs="Calibri"/>
          <w:sz w:val="23"/>
          <w:szCs w:val="23"/>
          <w:lang w:val="pl-PL"/>
        </w:rPr>
        <w:tab/>
      </w:r>
      <w:r>
        <w:rPr>
          <w:rFonts w:ascii="Calibri" w:hAnsi="Calibri" w:cs="Calibri"/>
          <w:sz w:val="23"/>
          <w:szCs w:val="23"/>
          <w:lang w:val="pl-PL"/>
        </w:rPr>
        <w:t>W oparciu o art. 6 ust. 1 pkt. 2 ustawy o utrzymaniu czystości i porządku w gminach właściciel</w:t>
      </w:r>
      <w:r w:rsidR="00873E00">
        <w:rPr>
          <w:rFonts w:ascii="Calibri" w:hAnsi="Calibri" w:cs="Calibri"/>
          <w:sz w:val="23"/>
          <w:szCs w:val="23"/>
          <w:lang w:val="pl-PL"/>
        </w:rPr>
        <w:t>e</w:t>
      </w:r>
      <w:r>
        <w:rPr>
          <w:rFonts w:ascii="Calibri" w:hAnsi="Calibri" w:cs="Calibri"/>
          <w:sz w:val="23"/>
          <w:szCs w:val="23"/>
          <w:lang w:val="pl-PL"/>
        </w:rPr>
        <w:t xml:space="preserve"> nieruchomości niezamieszkałych, którzy nie są zobowiązani do ponoszenia opłat na rzecz </w:t>
      </w:r>
      <w:r w:rsidRPr="00D85220">
        <w:rPr>
          <w:rFonts w:ascii="Calibri" w:hAnsi="Calibri" w:cs="Calibri"/>
          <w:sz w:val="23"/>
          <w:szCs w:val="23"/>
          <w:lang w:val="pl-PL"/>
        </w:rPr>
        <w:t>gminy, są zobowiązani do zawarcia indywidualnej umowy na odbiór odpadów komunalnych z</w:t>
      </w:r>
      <w:r w:rsidR="00873E00">
        <w:rPr>
          <w:rFonts w:ascii="Calibri" w:hAnsi="Calibri" w:cs="Calibri"/>
          <w:sz w:val="23"/>
          <w:szCs w:val="23"/>
          <w:lang w:val="pl-PL"/>
        </w:rPr>
        <w:t> </w:t>
      </w:r>
      <w:r w:rsidRPr="00D85220">
        <w:rPr>
          <w:rFonts w:ascii="Calibri" w:hAnsi="Calibri" w:cs="Calibri"/>
          <w:sz w:val="23"/>
          <w:szCs w:val="23"/>
          <w:lang w:val="pl-PL"/>
        </w:rPr>
        <w:t xml:space="preserve">przedsiębiorcą wpisanym do rejestru działalności regulowanej w tym zakresie. </w:t>
      </w:r>
      <w:r>
        <w:rPr>
          <w:rFonts w:ascii="Calibri" w:hAnsi="Calibri" w:cs="Calibri"/>
          <w:sz w:val="23"/>
          <w:szCs w:val="23"/>
          <w:lang w:val="pl-PL"/>
        </w:rPr>
        <w:t xml:space="preserve">W Toruniu ten </w:t>
      </w:r>
      <w:r w:rsidRPr="00D85220">
        <w:rPr>
          <w:rFonts w:ascii="Calibri" w:hAnsi="Calibri" w:cs="Calibri"/>
          <w:sz w:val="23"/>
          <w:szCs w:val="23"/>
          <w:lang w:val="pl-PL"/>
        </w:rPr>
        <w:t xml:space="preserve">obowiązek dotyczy istotnej części nieruchomości i jest konsekwencją nieobjęcia tych nieruchomości niezamieszkałych gminnym systemem odbioru odpadów. </w:t>
      </w:r>
      <w:r>
        <w:rPr>
          <w:rFonts w:ascii="Calibri" w:hAnsi="Calibri" w:cs="Calibri"/>
          <w:sz w:val="23"/>
          <w:szCs w:val="23"/>
          <w:lang w:val="pl-PL"/>
        </w:rPr>
        <w:t>Z kolei wobec tych właścicieli, którzy nie wykonali tego obowiązku, w myśl art. 6 ust. 6 ustawy gmina jest zobowiązana zorganizować odbieranie odpadów.</w:t>
      </w:r>
    </w:p>
    <w:p w:rsidR="00874716" w:rsidRDefault="00874716" w:rsidP="00305B64">
      <w:pPr>
        <w:ind w:firstLine="720"/>
        <w:jc w:val="both"/>
        <w:rPr>
          <w:rFonts w:ascii="Calibri" w:hAnsi="Calibri" w:cs="Calibri"/>
          <w:sz w:val="23"/>
          <w:szCs w:val="23"/>
          <w:lang w:val="pl-PL"/>
        </w:rPr>
      </w:pPr>
      <w:r w:rsidRPr="00BB529C">
        <w:rPr>
          <w:rFonts w:ascii="Calibri" w:hAnsi="Calibri" w:cs="Calibri"/>
          <w:sz w:val="23"/>
          <w:szCs w:val="23"/>
          <w:lang w:val="pl-PL"/>
        </w:rPr>
        <w:t>Analizowany 20</w:t>
      </w:r>
      <w:r w:rsidR="00FF3169">
        <w:rPr>
          <w:rFonts w:ascii="Calibri" w:hAnsi="Calibri" w:cs="Calibri"/>
          <w:sz w:val="23"/>
          <w:szCs w:val="23"/>
          <w:lang w:val="pl-PL"/>
        </w:rPr>
        <w:t>20</w:t>
      </w:r>
      <w:r w:rsidRPr="00BB529C">
        <w:rPr>
          <w:rFonts w:ascii="Calibri" w:hAnsi="Calibri" w:cs="Calibri"/>
          <w:sz w:val="23"/>
          <w:szCs w:val="23"/>
          <w:lang w:val="pl-PL"/>
        </w:rPr>
        <w:t xml:space="preserve"> rok był kolejnym z rzędu rokiem, w którym do Urzędu Miasta Torunia nie wpłynęły zgłoszenia ze strony Straży Miejskiej wskazujące nieruchomości, których właściciele nie zawarli przedmiotowych umów, a w stosunku do których gmina na podstawie przepisu art. 6 ust.</w:t>
      </w:r>
      <w:r w:rsidR="0088353B">
        <w:rPr>
          <w:rFonts w:ascii="Calibri" w:hAnsi="Calibri" w:cs="Calibri"/>
          <w:sz w:val="23"/>
          <w:szCs w:val="23"/>
          <w:lang w:val="pl-PL"/>
        </w:rPr>
        <w:t xml:space="preserve"> </w:t>
      </w:r>
      <w:r w:rsidRPr="00BB529C">
        <w:rPr>
          <w:rFonts w:ascii="Calibri" w:hAnsi="Calibri" w:cs="Calibri"/>
          <w:sz w:val="23"/>
          <w:szCs w:val="23"/>
          <w:lang w:val="pl-PL"/>
        </w:rPr>
        <w:t>6 ustawy winna zorganizować odbieranie odpadów.</w:t>
      </w:r>
    </w:p>
    <w:p w:rsidR="00B712CE" w:rsidRPr="00FF32B2" w:rsidRDefault="00B712CE" w:rsidP="00305B64">
      <w:pPr>
        <w:ind w:firstLine="720"/>
        <w:jc w:val="both"/>
        <w:rPr>
          <w:rFonts w:ascii="Calibri" w:hAnsi="Calibri" w:cs="Calibri"/>
          <w:sz w:val="23"/>
          <w:szCs w:val="23"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10" w:name="_Toc70341869"/>
      <w:r w:rsidRPr="00FF32B2">
        <w:rPr>
          <w:lang w:val="pl-PL" w:bidi="th-TH"/>
        </w:rPr>
        <w:t>Ilość odpadów komunalnych wytwarzanych na terenie gminy.</w:t>
      </w:r>
      <w:bookmarkEnd w:id="10"/>
    </w:p>
    <w:p w:rsidR="00874716" w:rsidRPr="00FF32B2" w:rsidRDefault="00874716" w:rsidP="00872180">
      <w:pPr>
        <w:ind w:left="360"/>
        <w:jc w:val="both"/>
        <w:rPr>
          <w:rFonts w:ascii="Calibri" w:hAnsi="Calibri" w:cs="Calibri"/>
          <w:b/>
          <w:lang w:val="pl-PL"/>
        </w:rPr>
      </w:pPr>
    </w:p>
    <w:p w:rsidR="00846B48" w:rsidRDefault="00874716" w:rsidP="00FB208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="00846B48">
        <w:rPr>
          <w:rFonts w:ascii="Calibri" w:hAnsi="Calibri" w:cs="Calibri"/>
          <w:lang w:val="pl-PL"/>
        </w:rPr>
        <w:t>Łączna masa odpadów odebranych i zebranych na terenie Gminy Miasta Toruń wyniosła w 20</w:t>
      </w:r>
      <w:r w:rsidR="00FF3169">
        <w:rPr>
          <w:rFonts w:ascii="Calibri" w:hAnsi="Calibri" w:cs="Calibri"/>
          <w:lang w:val="pl-PL"/>
        </w:rPr>
        <w:t>20</w:t>
      </w:r>
      <w:r w:rsidR="00846B48">
        <w:rPr>
          <w:rFonts w:ascii="Calibri" w:hAnsi="Calibri" w:cs="Calibri"/>
          <w:lang w:val="pl-PL"/>
        </w:rPr>
        <w:t xml:space="preserve"> roku: </w:t>
      </w:r>
      <w:r w:rsidR="00FF3169" w:rsidRPr="00FF3169">
        <w:rPr>
          <w:rFonts w:ascii="Calibri" w:hAnsi="Calibri" w:cs="Calibri"/>
          <w:lang w:val="pl-PL"/>
        </w:rPr>
        <w:t xml:space="preserve">94 605,78 </w:t>
      </w:r>
      <w:r w:rsidR="00846B48">
        <w:rPr>
          <w:rFonts w:ascii="Calibri" w:hAnsi="Calibri" w:cs="Calibri"/>
          <w:lang w:val="pl-PL"/>
        </w:rPr>
        <w:t xml:space="preserve">Mg, w tym: </w:t>
      </w:r>
    </w:p>
    <w:p w:rsidR="00846B48" w:rsidRPr="001F6BD8" w:rsidRDefault="001F6BD8" w:rsidP="001F6BD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lang w:val="pl-PL"/>
        </w:rPr>
      </w:pPr>
      <w:r w:rsidRPr="001F6BD8">
        <w:rPr>
          <w:rFonts w:ascii="Calibri" w:hAnsi="Calibri" w:cs="Calibri"/>
          <w:lang w:val="pl-PL"/>
        </w:rPr>
        <w:t>o</w:t>
      </w:r>
      <w:r w:rsidR="00846B48" w:rsidRPr="001F6BD8">
        <w:rPr>
          <w:rFonts w:ascii="Calibri" w:hAnsi="Calibri" w:cs="Calibri"/>
          <w:lang w:val="pl-PL"/>
        </w:rPr>
        <w:t>debrane z nieruchomości zamieszkałych</w:t>
      </w:r>
      <w:r w:rsidR="0032380A" w:rsidRPr="001F6BD8">
        <w:rPr>
          <w:rFonts w:ascii="Calibri" w:hAnsi="Calibri" w:cs="Calibri"/>
          <w:lang w:val="pl-PL"/>
        </w:rPr>
        <w:t xml:space="preserve"> i niezamieszkałych</w:t>
      </w:r>
      <w:r w:rsidR="00846B48" w:rsidRPr="001F6BD8">
        <w:rPr>
          <w:rFonts w:ascii="Calibri" w:hAnsi="Calibri" w:cs="Calibri"/>
          <w:lang w:val="pl-PL"/>
        </w:rPr>
        <w:t xml:space="preserve">: </w:t>
      </w:r>
      <w:r w:rsidR="00C75BF5" w:rsidRPr="001F6BD8">
        <w:rPr>
          <w:rFonts w:ascii="Calibri" w:hAnsi="Calibri" w:cs="Calibri"/>
          <w:lang w:val="pl-PL"/>
        </w:rPr>
        <w:t xml:space="preserve">81 455,90 </w:t>
      </w:r>
      <w:r w:rsidR="00846B48" w:rsidRPr="001F6BD8">
        <w:rPr>
          <w:rFonts w:ascii="Calibri" w:hAnsi="Calibri" w:cs="Calibri"/>
          <w:lang w:val="pl-PL"/>
        </w:rPr>
        <w:t>Mg,</w:t>
      </w:r>
    </w:p>
    <w:p w:rsidR="00846B48" w:rsidRPr="001F6BD8" w:rsidRDefault="001F6BD8" w:rsidP="001F6BD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lang w:val="pl-PL"/>
        </w:rPr>
      </w:pPr>
      <w:r w:rsidRPr="001F6BD8">
        <w:rPr>
          <w:rFonts w:ascii="Calibri" w:hAnsi="Calibri" w:cs="Calibri"/>
          <w:lang w:val="pl-PL"/>
        </w:rPr>
        <w:t>o</w:t>
      </w:r>
      <w:r w:rsidR="00846B48" w:rsidRPr="001F6BD8">
        <w:rPr>
          <w:rFonts w:ascii="Calibri" w:hAnsi="Calibri" w:cs="Calibri"/>
          <w:lang w:val="pl-PL"/>
        </w:rPr>
        <w:t xml:space="preserve">debrane w PSZOK: </w:t>
      </w:r>
      <w:r w:rsidR="00C75BF5" w:rsidRPr="001F6BD8">
        <w:rPr>
          <w:rFonts w:ascii="Calibri" w:hAnsi="Calibri" w:cs="Calibri"/>
          <w:lang w:val="pl-PL"/>
        </w:rPr>
        <w:t xml:space="preserve">5 987,70 </w:t>
      </w:r>
      <w:r w:rsidR="00846B48" w:rsidRPr="001F6BD8">
        <w:rPr>
          <w:rFonts w:ascii="Calibri" w:hAnsi="Calibri" w:cs="Calibri"/>
          <w:lang w:val="pl-PL"/>
        </w:rPr>
        <w:t>Mg,</w:t>
      </w:r>
    </w:p>
    <w:p w:rsidR="00846B48" w:rsidRPr="001F6BD8" w:rsidRDefault="001F6BD8" w:rsidP="001F6BD8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lang w:val="pl-PL"/>
        </w:rPr>
      </w:pPr>
      <w:r w:rsidRPr="001F6BD8">
        <w:rPr>
          <w:rFonts w:ascii="Calibri" w:hAnsi="Calibri" w:cs="Calibri"/>
          <w:lang w:val="pl-PL"/>
        </w:rPr>
        <w:t>z</w:t>
      </w:r>
      <w:r w:rsidR="00846B48" w:rsidRPr="001F6BD8">
        <w:rPr>
          <w:rFonts w:ascii="Calibri" w:hAnsi="Calibri" w:cs="Calibri"/>
          <w:lang w:val="pl-PL"/>
        </w:rPr>
        <w:t>ebrane w punktach skupu surowców</w:t>
      </w:r>
      <w:r w:rsidR="00580604">
        <w:rPr>
          <w:rFonts w:ascii="Calibri" w:hAnsi="Calibri" w:cs="Calibri"/>
          <w:lang w:val="pl-PL"/>
        </w:rPr>
        <w:t xml:space="preserve"> (zbierający odpady komunalne)</w:t>
      </w:r>
      <w:r w:rsidR="00846B48" w:rsidRPr="001F6BD8">
        <w:rPr>
          <w:rFonts w:ascii="Calibri" w:hAnsi="Calibri" w:cs="Calibri"/>
          <w:lang w:val="pl-PL"/>
        </w:rPr>
        <w:t xml:space="preserve">: </w:t>
      </w:r>
      <w:r w:rsidR="00C75BF5" w:rsidRPr="001F6BD8">
        <w:rPr>
          <w:rFonts w:ascii="Calibri" w:hAnsi="Calibri" w:cs="Calibri"/>
          <w:lang w:val="pl-PL"/>
        </w:rPr>
        <w:t>7 162,17</w:t>
      </w:r>
      <w:r w:rsidR="00846B48" w:rsidRPr="001F6BD8">
        <w:rPr>
          <w:rFonts w:ascii="Calibri" w:hAnsi="Calibri" w:cs="Calibri"/>
          <w:lang w:val="pl-PL"/>
        </w:rPr>
        <w:t xml:space="preserve"> Mg.</w:t>
      </w:r>
    </w:p>
    <w:p w:rsidR="00874716" w:rsidRDefault="00874716" w:rsidP="00846B48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20</w:t>
      </w:r>
      <w:r w:rsidR="00C75BF5">
        <w:rPr>
          <w:rFonts w:ascii="Calibri" w:hAnsi="Calibri" w:cs="Calibri"/>
          <w:lang w:val="pl-PL"/>
        </w:rPr>
        <w:t>20</w:t>
      </w:r>
      <w:r>
        <w:rPr>
          <w:rFonts w:ascii="Calibri" w:hAnsi="Calibri" w:cs="Calibri"/>
          <w:lang w:val="pl-PL"/>
        </w:rPr>
        <w:t xml:space="preserve"> roku obserwowano analogiczne jak w latach poprzednich trendy związane </w:t>
      </w:r>
      <w:r w:rsidR="009A0E7F"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 xml:space="preserve">z ilością i strukturą odpadów komunalnych odebranych </w:t>
      </w:r>
      <w:r w:rsidR="00477ACC">
        <w:rPr>
          <w:rFonts w:ascii="Calibri" w:hAnsi="Calibri" w:cs="Calibri"/>
          <w:lang w:val="pl-PL"/>
        </w:rPr>
        <w:t xml:space="preserve">i zebranych </w:t>
      </w:r>
      <w:r>
        <w:rPr>
          <w:rFonts w:ascii="Calibri" w:hAnsi="Calibri" w:cs="Calibri"/>
          <w:lang w:val="pl-PL"/>
        </w:rPr>
        <w:t>od mieszkańców. Zarówno łączna ilość odpadów, jak i ilość odpadów surowcowych wzrastała w stosunku do roku poprzedniego w podobnym tempie.</w:t>
      </w:r>
    </w:p>
    <w:p w:rsidR="00874716" w:rsidRDefault="00874716" w:rsidP="00FB2087">
      <w:pPr>
        <w:jc w:val="both"/>
        <w:rPr>
          <w:rFonts w:ascii="Calibri" w:hAnsi="Calibri" w:cs="Calibri"/>
          <w:lang w:val="pl-PL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3925"/>
        <w:gridCol w:w="3612"/>
      </w:tblGrid>
      <w:tr w:rsidR="00874716" w:rsidRPr="005442A6">
        <w:trPr>
          <w:jc w:val="center"/>
        </w:trPr>
        <w:tc>
          <w:tcPr>
            <w:tcW w:w="3925" w:type="dxa"/>
            <w:tcBorders>
              <w:bottom w:val="single" w:sz="12" w:space="0" w:color="666666"/>
            </w:tcBorders>
            <w:shd w:val="clear" w:color="auto" w:fill="D9D9D9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>Grupa odpadów</w:t>
            </w:r>
          </w:p>
        </w:tc>
        <w:tc>
          <w:tcPr>
            <w:tcW w:w="3612" w:type="dxa"/>
            <w:tcBorders>
              <w:bottom w:val="single" w:sz="12" w:space="0" w:color="666666"/>
            </w:tcBorders>
            <w:shd w:val="clear" w:color="auto" w:fill="D9D9D9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>Ilość odebranych odpadów w Mg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Odpady niesegregowane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54 401,46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Odpady surowcowe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20 132,46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Bioodpady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7 844,54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Odpady wielkogabarytowe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3 769,89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Odpady budowlane i remontowe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6 250,09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</w:tcPr>
          <w:p w:rsidR="00874716" w:rsidRPr="00DB6918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DB6918">
              <w:rPr>
                <w:rFonts w:ascii="Calibri" w:hAnsi="Calibri" w:cs="Calibri"/>
                <w:lang w:val="pl-PL"/>
              </w:rPr>
              <w:t>Pozostałe odpady</w:t>
            </w:r>
          </w:p>
        </w:tc>
        <w:tc>
          <w:tcPr>
            <w:tcW w:w="3612" w:type="dxa"/>
            <w:vAlign w:val="center"/>
          </w:tcPr>
          <w:p w:rsidR="00874716" w:rsidRPr="008571B3" w:rsidRDefault="00477ACC" w:rsidP="007D151E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2</w:t>
            </w:r>
            <w:r w:rsidR="007D151E">
              <w:rPr>
                <w:rFonts w:ascii="Calibri" w:hAnsi="Calibri" w:cs="Calibri"/>
                <w:lang w:val="pl-PL"/>
              </w:rPr>
              <w:t> 214,23</w:t>
            </w:r>
          </w:p>
        </w:tc>
      </w:tr>
      <w:tr w:rsidR="00874716" w:rsidRPr="00921128">
        <w:trPr>
          <w:jc w:val="center"/>
        </w:trPr>
        <w:tc>
          <w:tcPr>
            <w:tcW w:w="3925" w:type="dxa"/>
            <w:shd w:val="clear" w:color="auto" w:fill="F2F2F2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>Razem odpady</w:t>
            </w:r>
          </w:p>
        </w:tc>
        <w:tc>
          <w:tcPr>
            <w:tcW w:w="3612" w:type="dxa"/>
            <w:shd w:val="clear" w:color="auto" w:fill="F2F2F2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94 612,68</w:t>
            </w:r>
          </w:p>
        </w:tc>
      </w:tr>
    </w:tbl>
    <w:p w:rsidR="00874716" w:rsidRDefault="00874716" w:rsidP="00322DCA">
      <w:pPr>
        <w:spacing w:before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Zdecydowana większość odpadów została odebrana od mieszkańców bezpośrednio z ich nieruchomości, tj. </w:t>
      </w:r>
      <w:r w:rsidR="007D151E" w:rsidRPr="007D151E">
        <w:rPr>
          <w:rFonts w:ascii="Calibri" w:hAnsi="Calibri" w:cs="Calibri"/>
          <w:lang w:val="pl-PL"/>
        </w:rPr>
        <w:t>81 462,812</w:t>
      </w:r>
      <w:r w:rsidR="007D151E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Mg. </w:t>
      </w:r>
      <w:r w:rsidR="00D703CD">
        <w:rPr>
          <w:rFonts w:ascii="Calibri" w:hAnsi="Calibri" w:cs="Calibri"/>
          <w:lang w:val="pl-PL"/>
        </w:rPr>
        <w:t>W punktach</w:t>
      </w:r>
      <w:r>
        <w:rPr>
          <w:rFonts w:ascii="Calibri" w:hAnsi="Calibri" w:cs="Calibri"/>
          <w:lang w:val="pl-PL"/>
        </w:rPr>
        <w:t xml:space="preserve"> PSZOK</w:t>
      </w:r>
      <w:r w:rsidR="00D703CD">
        <w:rPr>
          <w:rFonts w:ascii="Calibri" w:hAnsi="Calibri" w:cs="Calibri"/>
          <w:lang w:val="pl-PL"/>
        </w:rPr>
        <w:t xml:space="preserve"> odebrano 5 987,70 Mg </w:t>
      </w:r>
      <w:r>
        <w:rPr>
          <w:rFonts w:ascii="Calibri" w:hAnsi="Calibri" w:cs="Calibri"/>
          <w:lang w:val="pl-PL"/>
        </w:rPr>
        <w:t>odpadów.</w:t>
      </w:r>
      <w:r w:rsidR="00D703CD">
        <w:rPr>
          <w:rFonts w:ascii="Calibri" w:hAnsi="Calibri" w:cs="Calibri"/>
          <w:lang w:val="pl-PL"/>
        </w:rPr>
        <w:t xml:space="preserve"> Do punktów skupu</w:t>
      </w:r>
      <w:r w:rsidR="00C75E9E">
        <w:rPr>
          <w:rFonts w:ascii="Calibri" w:hAnsi="Calibri" w:cs="Calibri"/>
          <w:lang w:val="pl-PL"/>
        </w:rPr>
        <w:t xml:space="preserve"> odpadów</w:t>
      </w:r>
      <w:r w:rsidR="00D703CD">
        <w:rPr>
          <w:rFonts w:ascii="Calibri" w:hAnsi="Calibri" w:cs="Calibri"/>
          <w:lang w:val="pl-PL"/>
        </w:rPr>
        <w:t xml:space="preserve"> w roku sprawozdawczym mieszkańcy dostarczyli 7 162,17 Mg odpadów</w:t>
      </w:r>
      <w:r>
        <w:rPr>
          <w:rFonts w:ascii="Calibri" w:hAnsi="Calibri" w:cs="Calibri"/>
          <w:lang w:val="pl-PL"/>
        </w:rPr>
        <w:t>.</w:t>
      </w:r>
    </w:p>
    <w:p w:rsidR="00D703CD" w:rsidRDefault="00D703CD" w:rsidP="00FB2087">
      <w:pPr>
        <w:jc w:val="both"/>
        <w:rPr>
          <w:rFonts w:ascii="Calibri" w:hAnsi="Calibri" w:cs="Calibri"/>
          <w:lang w:val="pl-PL"/>
        </w:rPr>
      </w:pPr>
    </w:p>
    <w:p w:rsidR="00D703CD" w:rsidRDefault="00D703CD" w:rsidP="00FB208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Poniżej przedstawiono zestawie</w:t>
      </w:r>
      <w:r w:rsidR="00C75E9E">
        <w:rPr>
          <w:rFonts w:ascii="Calibri" w:hAnsi="Calibri" w:cs="Calibri"/>
          <w:lang w:val="pl-PL"/>
        </w:rPr>
        <w:t>nie</w:t>
      </w:r>
      <w:r>
        <w:rPr>
          <w:rFonts w:ascii="Calibri" w:hAnsi="Calibri" w:cs="Calibri"/>
          <w:lang w:val="pl-PL"/>
        </w:rPr>
        <w:t xml:space="preserve"> odpadów odebranych w roku 2020 według rodzajów odpadów</w:t>
      </w:r>
      <w:r w:rsidR="00C75E9E">
        <w:rPr>
          <w:rFonts w:ascii="Calibri" w:hAnsi="Calibri" w:cs="Calibri"/>
          <w:lang w:val="pl-PL"/>
        </w:rPr>
        <w:t xml:space="preserve"> (</w:t>
      </w:r>
      <w:r w:rsidR="00D0259E">
        <w:rPr>
          <w:rFonts w:ascii="Calibri" w:hAnsi="Calibri" w:cs="Calibri"/>
          <w:lang w:val="pl-PL"/>
        </w:rPr>
        <w:t xml:space="preserve">odbiór z nieruchomości i w punktach PSZOK, </w:t>
      </w:r>
      <w:r w:rsidR="00C75E9E">
        <w:rPr>
          <w:rFonts w:ascii="Calibri" w:hAnsi="Calibri" w:cs="Calibri"/>
          <w:lang w:val="pl-PL"/>
        </w:rPr>
        <w:t>bez uwzględnienia odpadów pochodzących z punktu skupu odpadów)</w:t>
      </w:r>
      <w:r>
        <w:rPr>
          <w:rFonts w:ascii="Calibri" w:hAnsi="Calibri" w:cs="Calibri"/>
          <w:lang w:val="pl-PL"/>
        </w:rPr>
        <w:t>:</w:t>
      </w:r>
    </w:p>
    <w:p w:rsidR="00874716" w:rsidRDefault="00874716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774"/>
        <w:gridCol w:w="4723"/>
        <w:gridCol w:w="2790"/>
      </w:tblGrid>
      <w:tr w:rsidR="00874716" w:rsidRPr="005442A6" w:rsidTr="007116F7">
        <w:trPr>
          <w:jc w:val="center"/>
        </w:trPr>
        <w:tc>
          <w:tcPr>
            <w:tcW w:w="1774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>Kod odpadu</w:t>
            </w:r>
          </w:p>
        </w:tc>
        <w:tc>
          <w:tcPr>
            <w:tcW w:w="472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>Rodzaj odpadów</w:t>
            </w:r>
          </w:p>
        </w:tc>
        <w:tc>
          <w:tcPr>
            <w:tcW w:w="279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  <w:lang w:val="pl-PL"/>
              </w:rPr>
              <w:t xml:space="preserve">Ilość odebranych </w:t>
            </w:r>
            <w:r w:rsidRPr="008571B3">
              <w:rPr>
                <w:rFonts w:ascii="Calibri" w:hAnsi="Calibri" w:cs="Calibri"/>
                <w:b/>
                <w:bCs/>
                <w:lang w:val="pl-PL"/>
              </w:rPr>
              <w:lastRenderedPageBreak/>
              <w:t>odpadów w Mg</w:t>
            </w:r>
          </w:p>
        </w:tc>
      </w:tr>
      <w:tr w:rsidR="007116F7" w:rsidTr="007116F7">
        <w:trPr>
          <w:jc w:val="center"/>
        </w:trPr>
        <w:tc>
          <w:tcPr>
            <w:tcW w:w="1774" w:type="dxa"/>
            <w:vAlign w:val="center"/>
          </w:tcPr>
          <w:p w:rsidR="007116F7" w:rsidRPr="008571B3" w:rsidRDefault="007116F7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15 01 01</w:t>
            </w:r>
          </w:p>
        </w:tc>
        <w:tc>
          <w:tcPr>
            <w:tcW w:w="4723" w:type="dxa"/>
            <w:vAlign w:val="center"/>
          </w:tcPr>
          <w:p w:rsidR="007116F7" w:rsidRPr="008571B3" w:rsidRDefault="007116F7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Opakowania z papieru i tektury</w:t>
            </w:r>
          </w:p>
        </w:tc>
        <w:tc>
          <w:tcPr>
            <w:tcW w:w="2790" w:type="dxa"/>
            <w:vAlign w:val="center"/>
          </w:tcPr>
          <w:p w:rsidR="007116F7" w:rsidRPr="008571B3" w:rsidRDefault="00E17209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81,39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15 01 02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Opakowania z tworzyw sztucznych</w:t>
            </w:r>
          </w:p>
        </w:tc>
        <w:tc>
          <w:tcPr>
            <w:tcW w:w="2790" w:type="dxa"/>
            <w:vAlign w:val="center"/>
          </w:tcPr>
          <w:p w:rsidR="00874716" w:rsidRPr="008571B3" w:rsidRDefault="00190BC1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2 284,24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15 01 07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Opakowania ze szkła</w:t>
            </w:r>
          </w:p>
        </w:tc>
        <w:tc>
          <w:tcPr>
            <w:tcW w:w="2790" w:type="dxa"/>
            <w:vAlign w:val="center"/>
          </w:tcPr>
          <w:p w:rsidR="00580604" w:rsidRPr="00580604" w:rsidRDefault="007116F7" w:rsidP="005806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2 924,61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16 01 03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Zużyte opony</w:t>
            </w:r>
          </w:p>
        </w:tc>
        <w:tc>
          <w:tcPr>
            <w:tcW w:w="2790" w:type="dxa"/>
            <w:vAlign w:val="center"/>
          </w:tcPr>
          <w:p w:rsidR="00874716" w:rsidRPr="008571B3" w:rsidRDefault="00190BC1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75,87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17 01 01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Odpady betonu oraz gruz betonowy z rozbiórek i remontów</w:t>
            </w:r>
          </w:p>
        </w:tc>
        <w:tc>
          <w:tcPr>
            <w:tcW w:w="2790" w:type="dxa"/>
            <w:vAlign w:val="center"/>
          </w:tcPr>
          <w:p w:rsidR="00874716" w:rsidRPr="008571B3" w:rsidRDefault="00983745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1 937,14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17 01 02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Gruz ceglany</w:t>
            </w:r>
          </w:p>
        </w:tc>
        <w:tc>
          <w:tcPr>
            <w:tcW w:w="2790" w:type="dxa"/>
            <w:vAlign w:val="center"/>
          </w:tcPr>
          <w:p w:rsidR="00874716" w:rsidRPr="008571B3" w:rsidRDefault="00D0259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300,25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1B3">
              <w:rPr>
                <w:rFonts w:ascii="Calibri" w:hAnsi="Calibri" w:cs="Calibri"/>
                <w:b/>
                <w:bCs/>
              </w:rPr>
              <w:t>17 09 04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Zmieszane odpady z budowy, remontów i demontażu inne niż wymienione w 19 09 01,17 09 02 i 17 09 03</w:t>
            </w:r>
          </w:p>
        </w:tc>
        <w:tc>
          <w:tcPr>
            <w:tcW w:w="2790" w:type="dxa"/>
            <w:vAlign w:val="center"/>
          </w:tcPr>
          <w:p w:rsidR="00874716" w:rsidRPr="008571B3" w:rsidRDefault="00D0259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4 012,70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20 01 01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2790" w:type="dxa"/>
            <w:vAlign w:val="center"/>
          </w:tcPr>
          <w:p w:rsidR="00874716" w:rsidRPr="008571B3" w:rsidRDefault="00D0259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2 179,26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20 01 08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Odpady kuchenne ulegające biodegradacji</w:t>
            </w:r>
          </w:p>
        </w:tc>
        <w:tc>
          <w:tcPr>
            <w:tcW w:w="2790" w:type="dxa"/>
            <w:vAlign w:val="center"/>
          </w:tcPr>
          <w:p w:rsidR="00874716" w:rsidRPr="008571B3" w:rsidRDefault="00D0259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6 909,25</w:t>
            </w:r>
          </w:p>
        </w:tc>
      </w:tr>
      <w:tr w:rsidR="00A679E9" w:rsidTr="007116F7">
        <w:trPr>
          <w:jc w:val="center"/>
        </w:trPr>
        <w:tc>
          <w:tcPr>
            <w:tcW w:w="1774" w:type="dxa"/>
            <w:vAlign w:val="center"/>
          </w:tcPr>
          <w:p w:rsidR="00A679E9" w:rsidRPr="008571B3" w:rsidRDefault="00A679E9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20 01 10</w:t>
            </w:r>
          </w:p>
        </w:tc>
        <w:tc>
          <w:tcPr>
            <w:tcW w:w="4723" w:type="dxa"/>
            <w:vAlign w:val="center"/>
          </w:tcPr>
          <w:p w:rsidR="00A679E9" w:rsidRPr="008571B3" w:rsidRDefault="00A679E9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Odzież</w:t>
            </w:r>
          </w:p>
        </w:tc>
        <w:tc>
          <w:tcPr>
            <w:tcW w:w="2790" w:type="dxa"/>
            <w:vAlign w:val="center"/>
          </w:tcPr>
          <w:p w:rsidR="00A679E9" w:rsidRDefault="00A679E9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20 01 21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Lampy fluorescencyjne</w:t>
            </w:r>
          </w:p>
        </w:tc>
        <w:tc>
          <w:tcPr>
            <w:tcW w:w="2790" w:type="dxa"/>
            <w:vAlign w:val="center"/>
          </w:tcPr>
          <w:p w:rsidR="00874716" w:rsidRPr="008571B3" w:rsidRDefault="00A679E9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0,244</w:t>
            </w:r>
          </w:p>
        </w:tc>
      </w:tr>
      <w:tr w:rsidR="00A679E9" w:rsidTr="007116F7">
        <w:trPr>
          <w:jc w:val="center"/>
        </w:trPr>
        <w:tc>
          <w:tcPr>
            <w:tcW w:w="1774" w:type="dxa"/>
            <w:vAlign w:val="center"/>
          </w:tcPr>
          <w:p w:rsidR="00A679E9" w:rsidRPr="008571B3" w:rsidRDefault="00A679E9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20 01 23</w:t>
            </w:r>
          </w:p>
        </w:tc>
        <w:tc>
          <w:tcPr>
            <w:tcW w:w="4723" w:type="dxa"/>
            <w:vAlign w:val="center"/>
          </w:tcPr>
          <w:p w:rsidR="00A679E9" w:rsidRPr="008571B3" w:rsidRDefault="00A679E9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679E9">
              <w:rPr>
                <w:rFonts w:ascii="Calibri" w:hAnsi="Calibri" w:cs="Calibri"/>
                <w:sz w:val="20"/>
                <w:szCs w:val="20"/>
                <w:lang w:val="pl-PL"/>
              </w:rPr>
              <w:t>Urządzenia zawierające freony</w:t>
            </w:r>
          </w:p>
        </w:tc>
        <w:tc>
          <w:tcPr>
            <w:tcW w:w="2790" w:type="dxa"/>
            <w:vAlign w:val="center"/>
          </w:tcPr>
          <w:p w:rsidR="00A679E9" w:rsidRDefault="00A679E9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3,341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20 01 28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8571B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Farby, tusze, farby drukarskie, kleje, lepiszcze i żywice inne niż wymienione w 20 01 27</w:t>
            </w:r>
          </w:p>
        </w:tc>
        <w:tc>
          <w:tcPr>
            <w:tcW w:w="2790" w:type="dxa"/>
            <w:vAlign w:val="center"/>
          </w:tcPr>
          <w:p w:rsidR="00874716" w:rsidRPr="008571B3" w:rsidRDefault="00A679E9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5,865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20 01 32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Leki inne niż wymienione w 20 01 31</w:t>
            </w:r>
          </w:p>
        </w:tc>
        <w:tc>
          <w:tcPr>
            <w:tcW w:w="2790" w:type="dxa"/>
            <w:vAlign w:val="center"/>
          </w:tcPr>
          <w:p w:rsidR="00874716" w:rsidRPr="008571B3" w:rsidRDefault="00190BC1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6,904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20 01 33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Baterie i akumulatory łącznie z bateriami i akumulatorami wymienionymi w 16 06 01, 16 06 02 lub 16 06 03 oraz niesortowane baterie mi akumulatory zawierające te baterie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0,368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20 01 35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Zużyte urządzenia elektryczne i elektroniczne inne niż wymienione w 20 121 i 20 01 23 zawierające niebezpieczne składniki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34,515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20 01 36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Zużyte urządzenia elektryczne i elektroniczne inne niż wymienione w 20 01 21,20 0123 i 20 01 35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37,047</w:t>
            </w:r>
          </w:p>
        </w:tc>
      </w:tr>
      <w:tr w:rsidR="007D151E" w:rsidTr="007116F7">
        <w:trPr>
          <w:jc w:val="center"/>
        </w:trPr>
        <w:tc>
          <w:tcPr>
            <w:tcW w:w="1774" w:type="dxa"/>
            <w:vAlign w:val="center"/>
          </w:tcPr>
          <w:p w:rsidR="007D151E" w:rsidRPr="008571B3" w:rsidRDefault="007D151E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20 01 39</w:t>
            </w:r>
          </w:p>
        </w:tc>
        <w:tc>
          <w:tcPr>
            <w:tcW w:w="4723" w:type="dxa"/>
            <w:vAlign w:val="center"/>
          </w:tcPr>
          <w:p w:rsidR="007D151E" w:rsidRPr="008571B3" w:rsidRDefault="007D151E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2790" w:type="dxa"/>
            <w:vAlign w:val="center"/>
          </w:tcPr>
          <w:p w:rsidR="007D151E" w:rsidRDefault="007D151E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20 01 40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Metale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10,910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20 01 99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Inne niewymienione odpady  zbierane selektywnie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5 497,820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20 02 01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2790" w:type="dxa"/>
            <w:vAlign w:val="center"/>
          </w:tcPr>
          <w:p w:rsidR="00874716" w:rsidRPr="008571B3" w:rsidRDefault="007D151E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935,290</w:t>
            </w:r>
          </w:p>
        </w:tc>
      </w:tr>
      <w:tr w:rsidR="00983745" w:rsidTr="007116F7">
        <w:trPr>
          <w:jc w:val="center"/>
        </w:trPr>
        <w:tc>
          <w:tcPr>
            <w:tcW w:w="1774" w:type="dxa"/>
            <w:vAlign w:val="center"/>
          </w:tcPr>
          <w:p w:rsidR="00983745" w:rsidRPr="008571B3" w:rsidRDefault="00983745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20 02 03</w:t>
            </w:r>
          </w:p>
        </w:tc>
        <w:tc>
          <w:tcPr>
            <w:tcW w:w="4723" w:type="dxa"/>
            <w:vAlign w:val="center"/>
          </w:tcPr>
          <w:p w:rsidR="00983745" w:rsidRPr="008571B3" w:rsidRDefault="00983745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3745">
              <w:rPr>
                <w:rFonts w:ascii="Calibri" w:hAnsi="Calibri" w:cs="Calibri"/>
                <w:sz w:val="20"/>
                <w:szCs w:val="20"/>
                <w:lang w:val="pl-PL"/>
              </w:rPr>
              <w:t>Inne odpady nieulegające biodegradacji</w:t>
            </w:r>
          </w:p>
        </w:tc>
        <w:tc>
          <w:tcPr>
            <w:tcW w:w="2790" w:type="dxa"/>
            <w:vAlign w:val="center"/>
          </w:tcPr>
          <w:p w:rsidR="00983745" w:rsidRDefault="00983745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806,40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20 03 01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Niesegregowane odpady komunalne</w:t>
            </w:r>
          </w:p>
        </w:tc>
        <w:tc>
          <w:tcPr>
            <w:tcW w:w="2790" w:type="dxa"/>
            <w:vAlign w:val="center"/>
          </w:tcPr>
          <w:p w:rsidR="00874716" w:rsidRPr="008571B3" w:rsidRDefault="00983745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 w:rsidRPr="00983745">
              <w:rPr>
                <w:rFonts w:ascii="Calibri" w:hAnsi="Calibri" w:cs="Calibri"/>
              </w:rPr>
              <w:t>54 40</w:t>
            </w:r>
            <w:r>
              <w:rPr>
                <w:rFonts w:ascii="Calibri" w:hAnsi="Calibri" w:cs="Calibri"/>
              </w:rPr>
              <w:t>1,460</w:t>
            </w:r>
          </w:p>
        </w:tc>
      </w:tr>
      <w:tr w:rsidR="00983745" w:rsidTr="007116F7">
        <w:trPr>
          <w:jc w:val="center"/>
        </w:trPr>
        <w:tc>
          <w:tcPr>
            <w:tcW w:w="1774" w:type="dxa"/>
            <w:vAlign w:val="center"/>
          </w:tcPr>
          <w:p w:rsidR="00983745" w:rsidRPr="008571B3" w:rsidRDefault="00983745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20 03 02</w:t>
            </w:r>
          </w:p>
        </w:tc>
        <w:tc>
          <w:tcPr>
            <w:tcW w:w="4723" w:type="dxa"/>
            <w:vAlign w:val="center"/>
          </w:tcPr>
          <w:p w:rsidR="00983745" w:rsidRPr="008571B3" w:rsidRDefault="00983745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Odpady z targowisk</w:t>
            </w:r>
          </w:p>
        </w:tc>
        <w:tc>
          <w:tcPr>
            <w:tcW w:w="2790" w:type="dxa"/>
            <w:vAlign w:val="center"/>
          </w:tcPr>
          <w:p w:rsidR="00983745" w:rsidRPr="00983745" w:rsidRDefault="00983745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625,860</w:t>
            </w:r>
          </w:p>
        </w:tc>
      </w:tr>
      <w:tr w:rsidR="00983745" w:rsidTr="007116F7">
        <w:trPr>
          <w:jc w:val="center"/>
        </w:trPr>
        <w:tc>
          <w:tcPr>
            <w:tcW w:w="1774" w:type="dxa"/>
            <w:vAlign w:val="center"/>
          </w:tcPr>
          <w:p w:rsidR="00983745" w:rsidRDefault="00983745" w:rsidP="008571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20 03 06</w:t>
            </w:r>
          </w:p>
        </w:tc>
        <w:tc>
          <w:tcPr>
            <w:tcW w:w="4723" w:type="dxa"/>
            <w:vAlign w:val="center"/>
          </w:tcPr>
          <w:p w:rsidR="00983745" w:rsidRDefault="00983745" w:rsidP="008571B3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Odpady z targowisk</w:t>
            </w:r>
          </w:p>
        </w:tc>
        <w:tc>
          <w:tcPr>
            <w:tcW w:w="2790" w:type="dxa"/>
            <w:vAlign w:val="center"/>
          </w:tcPr>
          <w:p w:rsidR="00983745" w:rsidRDefault="00983745" w:rsidP="008571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17,45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20 03 07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2790" w:type="dxa"/>
            <w:vAlign w:val="center"/>
          </w:tcPr>
          <w:p w:rsidR="00874716" w:rsidRPr="008571B3" w:rsidRDefault="00983745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3 762,05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571B3">
              <w:rPr>
                <w:rFonts w:ascii="Calibri" w:hAnsi="Calibri" w:cs="Calibri"/>
                <w:b/>
                <w:bCs/>
              </w:rPr>
              <w:t>20 03 99</w:t>
            </w:r>
          </w:p>
        </w:tc>
        <w:tc>
          <w:tcPr>
            <w:tcW w:w="4723" w:type="dxa"/>
            <w:vAlign w:val="center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sz w:val="20"/>
                <w:szCs w:val="20"/>
                <w:lang w:val="pl-PL"/>
              </w:rPr>
              <w:t>Odpady komunalne niewymienione w innych grupach</w:t>
            </w:r>
          </w:p>
        </w:tc>
        <w:tc>
          <w:tcPr>
            <w:tcW w:w="2790" w:type="dxa"/>
            <w:vAlign w:val="center"/>
          </w:tcPr>
          <w:p w:rsidR="00874716" w:rsidRPr="008571B3" w:rsidRDefault="00983745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 w:rsidRPr="00983745">
              <w:rPr>
                <w:rFonts w:ascii="Calibri" w:hAnsi="Calibri" w:cs="Calibri"/>
              </w:rPr>
              <w:t>597,2900</w:t>
            </w:r>
          </w:p>
        </w:tc>
      </w:tr>
      <w:tr w:rsidR="00874716" w:rsidTr="007116F7">
        <w:trPr>
          <w:jc w:val="center"/>
        </w:trPr>
        <w:tc>
          <w:tcPr>
            <w:tcW w:w="1774" w:type="dxa"/>
            <w:shd w:val="clear" w:color="auto" w:fill="F2F2F2"/>
            <w:vAlign w:val="center"/>
          </w:tcPr>
          <w:p w:rsidR="00874716" w:rsidRPr="008571B3" w:rsidRDefault="00874716" w:rsidP="008571B3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4723" w:type="dxa"/>
            <w:shd w:val="clear" w:color="auto" w:fill="F2F2F2"/>
          </w:tcPr>
          <w:p w:rsidR="00874716" w:rsidRPr="008571B3" w:rsidRDefault="00874716" w:rsidP="008571B3">
            <w:pPr>
              <w:jc w:val="both"/>
              <w:rPr>
                <w:rFonts w:ascii="Calibri" w:hAnsi="Calibri" w:cs="Calibri"/>
                <w:lang w:val="pl-PL"/>
              </w:rPr>
            </w:pPr>
            <w:r w:rsidRPr="008571B3">
              <w:rPr>
                <w:rFonts w:ascii="Calibri" w:hAnsi="Calibri" w:cs="Calibri"/>
                <w:lang w:val="pl-PL"/>
              </w:rPr>
              <w:t>Łącznie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874716" w:rsidRPr="008571B3" w:rsidRDefault="00190BC1" w:rsidP="008571B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87 450,51</w:t>
            </w:r>
          </w:p>
        </w:tc>
      </w:tr>
    </w:tbl>
    <w:p w:rsidR="00874716" w:rsidRDefault="00874716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p w:rsidR="00874716" w:rsidRDefault="00874716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p w:rsidR="00C45873" w:rsidRDefault="00C45873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p w:rsidR="00C45873" w:rsidRDefault="00C45873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p w:rsidR="00C45873" w:rsidRDefault="00C45873" w:rsidP="00872180">
      <w:pPr>
        <w:ind w:left="360"/>
        <w:jc w:val="both"/>
        <w:rPr>
          <w:rFonts w:ascii="Calibri" w:hAnsi="Calibri" w:cs="Calibri"/>
          <w:b/>
          <w:highlight w:val="lightGray"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11" w:name="_Toc70341870"/>
      <w:r w:rsidRPr="00FF32B2">
        <w:rPr>
          <w:lang w:val="pl-PL" w:bidi="th-TH"/>
        </w:rPr>
        <w:t xml:space="preserve">Ilość </w:t>
      </w:r>
      <w:r w:rsidRPr="00DD34A9">
        <w:rPr>
          <w:lang w:val="pl-PL" w:bidi="th-TH"/>
        </w:rPr>
        <w:t>niesegregowanych (zmieszanych) odpadów komunalnych i bioodpadów stanowiących odpady komunalne, odbieranych z terenu gminy oraz przeznaczonych do składowania pozostałości z sortowania odpadów komunalnych i pozostałości z procesu mechaniczno-biologicznego przetwarzania zmieszanych odpadów komunalnych</w:t>
      </w:r>
      <w:r>
        <w:rPr>
          <w:lang w:val="pl-PL" w:bidi="th-TH"/>
        </w:rPr>
        <w:t>.</w:t>
      </w:r>
      <w:bookmarkEnd w:id="11"/>
    </w:p>
    <w:p w:rsidR="00874716" w:rsidRPr="00FF32B2" w:rsidRDefault="00874716" w:rsidP="00BC1ACD">
      <w:pPr>
        <w:ind w:left="360"/>
        <w:jc w:val="both"/>
        <w:rPr>
          <w:rFonts w:ascii="Calibri" w:hAnsi="Calibri" w:cs="Calibri"/>
          <w:b/>
          <w:lang w:val="pl-PL"/>
        </w:rPr>
      </w:pPr>
    </w:p>
    <w:p w:rsidR="00024C87" w:rsidRPr="00663157" w:rsidRDefault="00024C87" w:rsidP="00272597">
      <w:pPr>
        <w:ind w:firstLine="720"/>
        <w:jc w:val="both"/>
        <w:rPr>
          <w:rFonts w:ascii="Calibri" w:hAnsi="Calibri" w:cs="Calibri"/>
          <w:lang w:val="pl-PL"/>
        </w:rPr>
      </w:pPr>
      <w:r w:rsidRPr="00663157">
        <w:rPr>
          <w:rFonts w:ascii="Calibri" w:hAnsi="Calibri" w:cs="Calibri"/>
          <w:lang w:val="pl-PL"/>
        </w:rPr>
        <w:lastRenderedPageBreak/>
        <w:t>W 20</w:t>
      </w:r>
      <w:r w:rsidR="00190BC1">
        <w:rPr>
          <w:rFonts w:ascii="Calibri" w:hAnsi="Calibri" w:cs="Calibri"/>
          <w:lang w:val="pl-PL"/>
        </w:rPr>
        <w:t>20</w:t>
      </w:r>
      <w:r w:rsidRPr="00663157">
        <w:rPr>
          <w:rFonts w:ascii="Calibri" w:hAnsi="Calibri" w:cs="Calibri"/>
          <w:lang w:val="pl-PL"/>
        </w:rPr>
        <w:t xml:space="preserve"> roku </w:t>
      </w:r>
      <w:r w:rsidR="00663157">
        <w:rPr>
          <w:rFonts w:ascii="Calibri" w:hAnsi="Calibri" w:cs="Calibri"/>
          <w:lang w:val="pl-PL"/>
        </w:rPr>
        <w:t>był kontynuowany</w:t>
      </w:r>
      <w:r w:rsidRPr="00663157">
        <w:rPr>
          <w:rFonts w:ascii="Calibri" w:hAnsi="Calibri" w:cs="Calibri"/>
          <w:lang w:val="pl-PL"/>
        </w:rPr>
        <w:t xml:space="preserve"> nie tylko obserwowany od lat trend spadku udziału odpadów zmieszanych w całym strumieniu odpadów komunalnych, ale również spadek masy odebranych odpadów zmieszanych. Masa </w:t>
      </w:r>
      <w:r w:rsidR="00190BC1">
        <w:rPr>
          <w:rFonts w:ascii="Calibri" w:hAnsi="Calibri" w:cs="Calibri"/>
          <w:lang w:val="pl-PL"/>
        </w:rPr>
        <w:t>odebranych odpadów</w:t>
      </w:r>
      <w:r w:rsidRPr="00663157">
        <w:rPr>
          <w:rFonts w:ascii="Calibri" w:hAnsi="Calibri" w:cs="Calibri"/>
          <w:lang w:val="pl-PL"/>
        </w:rPr>
        <w:t xml:space="preserve"> wyniosła </w:t>
      </w:r>
      <w:r w:rsidR="00190BC1">
        <w:rPr>
          <w:rFonts w:ascii="Calibri" w:hAnsi="Calibri" w:cs="Calibri"/>
          <w:lang w:val="pl-PL"/>
        </w:rPr>
        <w:t>54 401,46 Mg</w:t>
      </w:r>
      <w:r w:rsidR="00663157" w:rsidRPr="00663157">
        <w:rPr>
          <w:rFonts w:ascii="Calibri" w:hAnsi="Calibri" w:cs="Calibri"/>
          <w:lang w:val="pl-PL"/>
        </w:rPr>
        <w:t xml:space="preserve">, podczas gdy </w:t>
      </w:r>
      <w:r w:rsidR="00190BC1" w:rsidRPr="00190BC1">
        <w:rPr>
          <w:rFonts w:ascii="Calibri" w:hAnsi="Calibri" w:cs="Calibri"/>
          <w:lang w:val="pl-PL"/>
        </w:rPr>
        <w:t>w 2019 roku</w:t>
      </w:r>
      <w:r w:rsidR="00190BC1">
        <w:rPr>
          <w:rFonts w:ascii="Calibri" w:hAnsi="Calibri" w:cs="Calibri"/>
          <w:lang w:val="pl-PL"/>
        </w:rPr>
        <w:t xml:space="preserve">  </w:t>
      </w:r>
      <w:r w:rsidR="00190BC1" w:rsidRPr="00190BC1">
        <w:rPr>
          <w:rFonts w:ascii="Calibri" w:hAnsi="Calibri" w:cs="Calibri"/>
          <w:lang w:val="pl-PL"/>
        </w:rPr>
        <w:t>57 222,870 Mg</w:t>
      </w:r>
      <w:r w:rsidR="00190BC1">
        <w:rPr>
          <w:rFonts w:ascii="Calibri" w:hAnsi="Calibri" w:cs="Calibri"/>
          <w:lang w:val="pl-PL"/>
        </w:rPr>
        <w:t xml:space="preserve">, a </w:t>
      </w:r>
      <w:r w:rsidR="00663157" w:rsidRPr="00663157">
        <w:rPr>
          <w:rFonts w:ascii="Calibri" w:hAnsi="Calibri" w:cs="Calibri"/>
          <w:lang w:val="pl-PL"/>
        </w:rPr>
        <w:t xml:space="preserve">w 2018 roku 57 860,790 Mg. </w:t>
      </w:r>
      <w:r w:rsidR="00874716" w:rsidRPr="00663157">
        <w:rPr>
          <w:rFonts w:ascii="Calibri" w:hAnsi="Calibri" w:cs="Calibri"/>
          <w:lang w:val="pl-PL"/>
        </w:rPr>
        <w:t>W 20</w:t>
      </w:r>
      <w:r w:rsidR="00190BC1">
        <w:rPr>
          <w:rFonts w:ascii="Calibri" w:hAnsi="Calibri" w:cs="Calibri"/>
          <w:lang w:val="pl-PL"/>
        </w:rPr>
        <w:t>20</w:t>
      </w:r>
      <w:r w:rsidR="00874716" w:rsidRPr="00663157">
        <w:rPr>
          <w:rFonts w:ascii="Calibri" w:hAnsi="Calibri" w:cs="Calibri"/>
          <w:lang w:val="pl-PL"/>
        </w:rPr>
        <w:t xml:space="preserve"> roku ilość </w:t>
      </w:r>
      <w:r w:rsidR="008D3F73" w:rsidRPr="008D3F73">
        <w:rPr>
          <w:rFonts w:ascii="Calibri" w:hAnsi="Calibri" w:cs="Calibri"/>
          <w:lang w:val="pl-PL"/>
        </w:rPr>
        <w:t xml:space="preserve">odpadów zmieszanych </w:t>
      </w:r>
      <w:r w:rsidR="00190BC1">
        <w:rPr>
          <w:rFonts w:ascii="Calibri" w:hAnsi="Calibri" w:cs="Calibri"/>
          <w:lang w:val="pl-PL"/>
        </w:rPr>
        <w:t xml:space="preserve">odebranych </w:t>
      </w:r>
      <w:r w:rsidR="008D3F73">
        <w:rPr>
          <w:rFonts w:ascii="Calibri" w:hAnsi="Calibri" w:cs="Calibri"/>
          <w:lang w:val="pl-PL"/>
        </w:rPr>
        <w:t xml:space="preserve">z nieruchomości </w:t>
      </w:r>
      <w:r w:rsidR="008D3F73" w:rsidRPr="008D3F73">
        <w:rPr>
          <w:rFonts w:ascii="Calibri" w:hAnsi="Calibri" w:cs="Calibri"/>
          <w:lang w:val="pl-PL"/>
        </w:rPr>
        <w:t>objętych system</w:t>
      </w:r>
      <w:r w:rsidR="008D3F73">
        <w:rPr>
          <w:rFonts w:ascii="Calibri" w:hAnsi="Calibri" w:cs="Calibri"/>
          <w:lang w:val="pl-PL"/>
        </w:rPr>
        <w:t>em</w:t>
      </w:r>
      <w:r w:rsidR="008D3F73" w:rsidRPr="008D3F73">
        <w:rPr>
          <w:rFonts w:ascii="Calibri" w:hAnsi="Calibri" w:cs="Calibri"/>
          <w:lang w:val="pl-PL"/>
        </w:rPr>
        <w:t xml:space="preserve"> gminnym </w:t>
      </w:r>
      <w:r w:rsidR="00874716" w:rsidRPr="00663157">
        <w:rPr>
          <w:rFonts w:ascii="Calibri" w:hAnsi="Calibri" w:cs="Calibri"/>
          <w:lang w:val="pl-PL"/>
        </w:rPr>
        <w:t xml:space="preserve">wyniosła </w:t>
      </w:r>
      <w:r w:rsidR="00190BC1">
        <w:rPr>
          <w:rFonts w:ascii="Calibri" w:hAnsi="Calibri" w:cs="Calibri"/>
          <w:lang w:val="pl-PL"/>
        </w:rPr>
        <w:t>37</w:t>
      </w:r>
      <w:r w:rsidR="00272597">
        <w:rPr>
          <w:rFonts w:ascii="Calibri" w:hAnsi="Calibri" w:cs="Calibri"/>
          <w:lang w:val="pl-PL"/>
        </w:rPr>
        <w:t> </w:t>
      </w:r>
      <w:r w:rsidR="00190BC1">
        <w:rPr>
          <w:rFonts w:ascii="Calibri" w:hAnsi="Calibri" w:cs="Calibri"/>
          <w:lang w:val="pl-PL"/>
        </w:rPr>
        <w:t>887,05 Mg,</w:t>
      </w:r>
      <w:r w:rsidR="00874716" w:rsidRPr="00663157">
        <w:rPr>
          <w:rFonts w:ascii="Calibri" w:hAnsi="Calibri" w:cs="Calibri"/>
          <w:lang w:val="pl-PL"/>
        </w:rPr>
        <w:t xml:space="preserve"> </w:t>
      </w:r>
      <w:r w:rsidR="00190BC1">
        <w:rPr>
          <w:rFonts w:ascii="Calibri" w:hAnsi="Calibri" w:cs="Calibri"/>
          <w:lang w:val="pl-PL"/>
        </w:rPr>
        <w:t xml:space="preserve"> (w roku 2019 </w:t>
      </w:r>
      <w:r w:rsidR="00874716" w:rsidRPr="00663157">
        <w:rPr>
          <w:rFonts w:ascii="Calibri" w:hAnsi="Calibri" w:cs="Calibri"/>
          <w:lang w:val="pl-PL"/>
        </w:rPr>
        <w:t>39 074,120 Mg</w:t>
      </w:r>
      <w:r w:rsidR="00190BC1">
        <w:rPr>
          <w:rFonts w:ascii="Calibri" w:hAnsi="Calibri" w:cs="Calibri"/>
          <w:lang w:val="pl-PL"/>
        </w:rPr>
        <w:t xml:space="preserve">, a </w:t>
      </w:r>
      <w:r w:rsidR="00663157" w:rsidRPr="00663157">
        <w:rPr>
          <w:rFonts w:ascii="Calibri" w:hAnsi="Calibri" w:cs="Calibri"/>
          <w:lang w:val="pl-PL"/>
        </w:rPr>
        <w:t xml:space="preserve">w </w:t>
      </w:r>
      <w:r w:rsidR="00874716" w:rsidRPr="00663157">
        <w:rPr>
          <w:rFonts w:ascii="Calibri" w:hAnsi="Calibri" w:cs="Calibri"/>
          <w:lang w:val="pl-PL"/>
        </w:rPr>
        <w:t>2018 r</w:t>
      </w:r>
      <w:r w:rsidR="00663157">
        <w:rPr>
          <w:rFonts w:ascii="Calibri" w:hAnsi="Calibri" w:cs="Calibri"/>
          <w:lang w:val="pl-PL"/>
        </w:rPr>
        <w:t>oku</w:t>
      </w:r>
      <w:r w:rsidR="00874716" w:rsidRPr="00663157">
        <w:rPr>
          <w:rFonts w:ascii="Calibri" w:hAnsi="Calibri" w:cs="Calibri"/>
          <w:lang w:val="pl-PL"/>
        </w:rPr>
        <w:t xml:space="preserve"> 40 226,890 Mg odpadów</w:t>
      </w:r>
      <w:r w:rsidR="00272597">
        <w:rPr>
          <w:rFonts w:ascii="Calibri" w:hAnsi="Calibri" w:cs="Calibri"/>
          <w:lang w:val="pl-PL"/>
        </w:rPr>
        <w:t>)</w:t>
      </w:r>
      <w:r w:rsidR="00874716" w:rsidRPr="00663157">
        <w:rPr>
          <w:rFonts w:ascii="Calibri" w:hAnsi="Calibri" w:cs="Calibri"/>
          <w:lang w:val="pl-PL"/>
        </w:rPr>
        <w:t xml:space="preserve">. </w:t>
      </w:r>
      <w:r w:rsidR="008D3F73">
        <w:rPr>
          <w:rFonts w:ascii="Calibri" w:hAnsi="Calibri" w:cs="Calibri"/>
          <w:lang w:val="pl-PL"/>
        </w:rPr>
        <w:t>Zmniejszenie masy odebranych odpadów zmieszanych zaobserwowano także w przypadku nieruchomości niezamieszkałych -</w:t>
      </w:r>
      <w:r w:rsidR="00663157" w:rsidRPr="00663157">
        <w:rPr>
          <w:rFonts w:ascii="Calibri" w:hAnsi="Calibri" w:cs="Calibri"/>
          <w:lang w:val="pl-PL"/>
        </w:rPr>
        <w:t xml:space="preserve"> </w:t>
      </w:r>
      <w:r w:rsidR="00190BC1">
        <w:rPr>
          <w:rFonts w:ascii="Calibri" w:hAnsi="Calibri" w:cs="Calibri"/>
          <w:lang w:val="pl-PL"/>
        </w:rPr>
        <w:t xml:space="preserve">w roku sprawozdawczym </w:t>
      </w:r>
      <w:r w:rsidR="008D3F73">
        <w:rPr>
          <w:rFonts w:ascii="Calibri" w:hAnsi="Calibri" w:cs="Calibri"/>
          <w:lang w:val="pl-PL"/>
        </w:rPr>
        <w:t>16 514,41 Mg (</w:t>
      </w:r>
      <w:r w:rsidR="00663157" w:rsidRPr="00663157">
        <w:rPr>
          <w:rFonts w:ascii="Calibri" w:hAnsi="Calibri" w:cs="Calibri"/>
          <w:lang w:val="pl-PL"/>
        </w:rPr>
        <w:t>w</w:t>
      </w:r>
      <w:r w:rsidRPr="00663157">
        <w:rPr>
          <w:rFonts w:ascii="Calibri" w:hAnsi="Calibri" w:cs="Calibri"/>
          <w:lang w:val="pl-PL"/>
        </w:rPr>
        <w:t xml:space="preserve"> 2019</w:t>
      </w:r>
      <w:r w:rsidR="00663157" w:rsidRPr="00663157">
        <w:rPr>
          <w:rFonts w:ascii="Calibri" w:hAnsi="Calibri" w:cs="Calibri"/>
          <w:lang w:val="pl-PL"/>
        </w:rPr>
        <w:t xml:space="preserve"> </w:t>
      </w:r>
      <w:r w:rsidRPr="00663157">
        <w:rPr>
          <w:rFonts w:ascii="Calibri" w:hAnsi="Calibri" w:cs="Calibri"/>
          <w:lang w:val="pl-PL"/>
        </w:rPr>
        <w:t>r. 18 148,750</w:t>
      </w:r>
      <w:r w:rsidR="00663157" w:rsidRPr="00663157">
        <w:rPr>
          <w:rFonts w:ascii="Calibri" w:hAnsi="Calibri" w:cs="Calibri"/>
          <w:lang w:val="pl-PL"/>
        </w:rPr>
        <w:t xml:space="preserve"> Mg, </w:t>
      </w:r>
      <w:r w:rsidR="008D3F73">
        <w:rPr>
          <w:rFonts w:ascii="Calibri" w:hAnsi="Calibri" w:cs="Calibri"/>
          <w:lang w:val="pl-PL"/>
        </w:rPr>
        <w:t xml:space="preserve">w </w:t>
      </w:r>
      <w:r w:rsidR="00663157" w:rsidRPr="00663157">
        <w:rPr>
          <w:rFonts w:ascii="Calibri" w:hAnsi="Calibri" w:cs="Calibri"/>
          <w:lang w:val="pl-PL"/>
        </w:rPr>
        <w:t>2018 r. 17 633,900 Mg</w:t>
      </w:r>
      <w:r w:rsidR="00272597">
        <w:rPr>
          <w:rFonts w:ascii="Calibri" w:hAnsi="Calibri" w:cs="Calibri"/>
          <w:lang w:val="pl-PL"/>
        </w:rPr>
        <w:t>)</w:t>
      </w:r>
      <w:r w:rsidR="00663157" w:rsidRPr="00663157">
        <w:rPr>
          <w:rFonts w:ascii="Calibri" w:hAnsi="Calibri" w:cs="Calibri"/>
          <w:lang w:val="pl-PL"/>
        </w:rPr>
        <w:t>.</w:t>
      </w:r>
    </w:p>
    <w:p w:rsidR="00874716" w:rsidRPr="00EC57AF" w:rsidRDefault="00874716" w:rsidP="000E5C43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Pr="00C4682C">
        <w:rPr>
          <w:rFonts w:ascii="Calibri" w:hAnsi="Calibri" w:cs="Calibri"/>
          <w:lang w:val="pl-PL"/>
        </w:rPr>
        <w:t>Analogicznie jak w poprzednich latach odebrane odpady niesegregowane poddane zostały mechaniczno-biologicznemu przetworzeniu w instalacji ZUOK w Toruniu</w:t>
      </w:r>
      <w:r w:rsidR="00FE0BAB">
        <w:rPr>
          <w:rFonts w:ascii="Calibri" w:hAnsi="Calibri" w:cs="Calibri"/>
          <w:lang w:val="pl-PL"/>
        </w:rPr>
        <w:t>.</w:t>
      </w:r>
      <w:r w:rsidRPr="00C4682C">
        <w:rPr>
          <w:rFonts w:ascii="Calibri" w:hAnsi="Calibri" w:cs="Calibri"/>
          <w:lang w:val="pl-PL"/>
        </w:rPr>
        <w:t xml:space="preserve"> </w:t>
      </w:r>
      <w:r w:rsidR="00FE0BAB">
        <w:rPr>
          <w:rFonts w:ascii="Calibri" w:hAnsi="Calibri" w:cs="Calibri"/>
          <w:lang w:val="pl-PL"/>
        </w:rPr>
        <w:t>P</w:t>
      </w:r>
      <w:r w:rsidRPr="00C4682C">
        <w:rPr>
          <w:rFonts w:ascii="Calibri" w:hAnsi="Calibri" w:cs="Calibri"/>
          <w:lang w:val="pl-PL"/>
        </w:rPr>
        <w:t xml:space="preserve">ozostałości po tym procesie, po przeprowadzeniu </w:t>
      </w:r>
      <w:r w:rsidR="008D3F73">
        <w:rPr>
          <w:rFonts w:ascii="Calibri" w:hAnsi="Calibri" w:cs="Calibri"/>
          <w:lang w:val="pl-PL"/>
        </w:rPr>
        <w:t xml:space="preserve">procesu </w:t>
      </w:r>
      <w:r w:rsidRPr="00C4682C">
        <w:rPr>
          <w:rFonts w:ascii="Calibri" w:hAnsi="Calibri" w:cs="Calibri"/>
          <w:lang w:val="pl-PL"/>
        </w:rPr>
        <w:t>ich stabilizacji były składowane. Z kolei niewielką część odpadów o kodzie 19 12 12 po procesie przetworzenia selektywnie zbieranych odpadów skierowano do składowania, po spełnieniu przez nie warunków dopuszczających do ich zagospodarowania w procesie składowania.</w:t>
      </w:r>
    </w:p>
    <w:p w:rsidR="00874716" w:rsidRPr="006D01A0" w:rsidRDefault="00874716" w:rsidP="00305B64">
      <w:pPr>
        <w:ind w:firstLine="720"/>
        <w:jc w:val="both"/>
        <w:rPr>
          <w:rFonts w:ascii="Calibri" w:hAnsi="Calibri" w:cs="Calibri"/>
          <w:lang w:val="pl-PL"/>
        </w:rPr>
      </w:pPr>
      <w:r w:rsidRPr="006D01A0">
        <w:rPr>
          <w:rFonts w:ascii="Calibri" w:hAnsi="Calibri" w:cs="Calibri"/>
          <w:lang w:val="pl-PL"/>
        </w:rPr>
        <w:t>Część odebranego strumienia odpadów zmieszanych, została bezpośrednio, bez poddania mechaniczn</w:t>
      </w:r>
      <w:r w:rsidR="00FE0BAB">
        <w:rPr>
          <w:rFonts w:ascii="Calibri" w:hAnsi="Calibri" w:cs="Calibri"/>
          <w:lang w:val="pl-PL"/>
        </w:rPr>
        <w:t>o-biologicznemu</w:t>
      </w:r>
      <w:r w:rsidRPr="006D01A0">
        <w:rPr>
          <w:rFonts w:ascii="Calibri" w:hAnsi="Calibri" w:cs="Calibri"/>
          <w:lang w:val="pl-PL"/>
        </w:rPr>
        <w:t xml:space="preserve"> przetwarzaniu, przekazana do termicznego przekształcenia w ZTPOK w Bydgoszczy</w:t>
      </w:r>
      <w:r w:rsidR="008D3F73">
        <w:rPr>
          <w:rFonts w:ascii="Calibri" w:hAnsi="Calibri" w:cs="Calibri"/>
          <w:lang w:val="pl-PL"/>
        </w:rPr>
        <w:t xml:space="preserve"> (</w:t>
      </w:r>
      <w:r w:rsidR="008D3F73" w:rsidRPr="008D3F73">
        <w:rPr>
          <w:rFonts w:ascii="Calibri" w:hAnsi="Calibri" w:cs="Calibri"/>
          <w:lang w:val="pl-PL"/>
        </w:rPr>
        <w:t>11 743,540</w:t>
      </w:r>
      <w:r w:rsidR="008D3F73">
        <w:rPr>
          <w:rFonts w:ascii="Calibri" w:hAnsi="Calibri" w:cs="Calibri"/>
          <w:lang w:val="pl-PL"/>
        </w:rPr>
        <w:t xml:space="preserve"> Mg - w zasadniczej części były to odpady pochodzące ze strumienia gminnego)</w:t>
      </w:r>
      <w:r w:rsidRPr="006D01A0">
        <w:rPr>
          <w:rFonts w:ascii="Calibri" w:hAnsi="Calibri" w:cs="Calibri"/>
          <w:lang w:val="pl-PL"/>
        </w:rPr>
        <w:t>.</w:t>
      </w:r>
    </w:p>
    <w:p w:rsidR="00874716" w:rsidRPr="00FF32B2" w:rsidRDefault="00874716" w:rsidP="00165583">
      <w:pPr>
        <w:jc w:val="both"/>
        <w:rPr>
          <w:rFonts w:ascii="Calibri" w:hAnsi="Calibri" w:cs="Calibri"/>
          <w:color w:val="000000"/>
          <w:lang w:val="pl-PL"/>
        </w:rPr>
      </w:pPr>
      <w:r w:rsidRPr="006D01A0">
        <w:rPr>
          <w:rFonts w:ascii="Calibri" w:hAnsi="Calibri" w:cs="Calibri"/>
          <w:lang w:val="pl-PL"/>
        </w:rPr>
        <w:tab/>
        <w:t>Ilość odpadów zielonych (kod 20 02 01) odebranych w roku  20</w:t>
      </w:r>
      <w:r w:rsidR="00F44B02">
        <w:rPr>
          <w:rFonts w:ascii="Calibri" w:hAnsi="Calibri" w:cs="Calibri"/>
          <w:lang w:val="pl-PL"/>
        </w:rPr>
        <w:t>20</w:t>
      </w:r>
      <w:r w:rsidRPr="006D01A0">
        <w:rPr>
          <w:rFonts w:ascii="Calibri" w:hAnsi="Calibri" w:cs="Calibri"/>
          <w:lang w:val="pl-PL"/>
        </w:rPr>
        <w:t xml:space="preserve"> wyniosła </w:t>
      </w:r>
      <w:r w:rsidR="00F44B02">
        <w:rPr>
          <w:rFonts w:ascii="Calibri" w:hAnsi="Calibri" w:cs="Calibri"/>
          <w:lang w:val="pl-PL"/>
        </w:rPr>
        <w:t xml:space="preserve">935,290 </w:t>
      </w:r>
      <w:r w:rsidRPr="006D01A0">
        <w:rPr>
          <w:rFonts w:ascii="Calibri" w:hAnsi="Calibri" w:cs="Calibri"/>
          <w:lang w:val="pl-PL"/>
        </w:rPr>
        <w:t>Mg</w:t>
      </w:r>
      <w:r w:rsidRPr="006D01A0">
        <w:rPr>
          <w:rFonts w:ascii="Calibri" w:hAnsi="Calibri" w:cs="Calibri"/>
          <w:color w:val="000000"/>
          <w:lang w:val="pl-PL"/>
        </w:rPr>
        <w:t xml:space="preserve">, z tego </w:t>
      </w:r>
      <w:r w:rsidR="00F44B02" w:rsidRPr="00F44B02">
        <w:rPr>
          <w:rFonts w:ascii="Calibri" w:hAnsi="Calibri" w:cs="Calibri"/>
          <w:color w:val="000000"/>
          <w:lang w:val="pl-PL"/>
        </w:rPr>
        <w:t>591,150</w:t>
      </w:r>
      <w:r w:rsidR="00FE0BAB">
        <w:rPr>
          <w:rFonts w:ascii="Calibri" w:hAnsi="Calibri" w:cs="Calibri"/>
          <w:color w:val="000000"/>
          <w:lang w:val="pl-PL"/>
        </w:rPr>
        <w:t xml:space="preserve"> </w:t>
      </w:r>
      <w:r w:rsidRPr="006D01A0">
        <w:rPr>
          <w:rFonts w:ascii="Calibri" w:hAnsi="Calibri" w:cs="Calibri"/>
          <w:color w:val="000000"/>
          <w:lang w:val="pl-PL"/>
        </w:rPr>
        <w:t>Mg dostarczonych zostało przez mieszkańców bezpośrednio do punktów PSZOK. Odpady te zagospodarowane zostały w procesie kompostowania w ZUOK-u.</w:t>
      </w:r>
      <w:r>
        <w:rPr>
          <w:rFonts w:ascii="Calibri" w:hAnsi="Calibri" w:cs="Calibri"/>
          <w:color w:val="000000"/>
          <w:lang w:val="pl-PL"/>
        </w:rPr>
        <w:t xml:space="preserve"> </w:t>
      </w:r>
    </w:p>
    <w:p w:rsidR="00874716" w:rsidRDefault="00874716" w:rsidP="00165583">
      <w:pPr>
        <w:jc w:val="both"/>
        <w:rPr>
          <w:rFonts w:ascii="Calibri" w:hAnsi="Calibri" w:cs="Calibri"/>
          <w:lang w:val="pl-PL"/>
        </w:rPr>
      </w:pPr>
    </w:p>
    <w:p w:rsidR="00874716" w:rsidRPr="00FF32B2" w:rsidRDefault="00874716" w:rsidP="00E35049">
      <w:pPr>
        <w:pStyle w:val="Nagwek1"/>
        <w:numPr>
          <w:ilvl w:val="0"/>
          <w:numId w:val="24"/>
        </w:numPr>
        <w:ind w:left="284" w:hanging="284"/>
        <w:jc w:val="both"/>
        <w:rPr>
          <w:lang w:val="pl-PL" w:bidi="th-TH"/>
        </w:rPr>
      </w:pPr>
      <w:bookmarkStart w:id="12" w:name="_Toc70341871"/>
      <w:r w:rsidRPr="00FF32B2">
        <w:rPr>
          <w:lang w:val="pl-PL" w:bidi="th-TH"/>
        </w:rPr>
        <w:t>Podsumowanie</w:t>
      </w:r>
      <w:bookmarkEnd w:id="12"/>
    </w:p>
    <w:p w:rsidR="00874716" w:rsidRPr="00FF32B2" w:rsidRDefault="00874716" w:rsidP="006E2858">
      <w:pPr>
        <w:jc w:val="both"/>
        <w:rPr>
          <w:rFonts w:ascii="Calibri" w:hAnsi="Calibri" w:cs="Calibri"/>
          <w:lang w:val="pl-PL"/>
        </w:rPr>
      </w:pPr>
    </w:p>
    <w:p w:rsidR="00874716" w:rsidRDefault="00874716" w:rsidP="003618F0">
      <w:pPr>
        <w:jc w:val="both"/>
        <w:rPr>
          <w:rFonts w:ascii="Calibri" w:hAnsi="Calibri" w:cs="Calibri"/>
          <w:lang w:val="pl-PL"/>
        </w:rPr>
      </w:pPr>
      <w:r w:rsidRPr="00FF32B2">
        <w:rPr>
          <w:rFonts w:ascii="Calibri" w:hAnsi="Calibri" w:cs="Calibri"/>
          <w:lang w:val="pl-PL"/>
        </w:rPr>
        <w:tab/>
        <w:t>Przeprowadzona analiza systemu gospodarowania odpadami komunalnymi na terenie Gminy Miasta Toruń w roku 20</w:t>
      </w:r>
      <w:r w:rsidR="00C75BF5">
        <w:rPr>
          <w:rFonts w:ascii="Calibri" w:hAnsi="Calibri" w:cs="Calibri"/>
          <w:lang w:val="pl-PL"/>
        </w:rPr>
        <w:t>20</w:t>
      </w:r>
      <w:r w:rsidRPr="00FF32B2">
        <w:rPr>
          <w:rFonts w:ascii="Calibri" w:hAnsi="Calibri" w:cs="Calibri"/>
          <w:lang w:val="pl-PL"/>
        </w:rPr>
        <w:t xml:space="preserve"> pozwala stwierdz</w:t>
      </w:r>
      <w:r>
        <w:rPr>
          <w:rFonts w:ascii="Calibri" w:hAnsi="Calibri" w:cs="Calibri"/>
          <w:lang w:val="pl-PL"/>
        </w:rPr>
        <w:t>ić</w:t>
      </w:r>
      <w:r w:rsidRPr="00FF32B2">
        <w:rPr>
          <w:rFonts w:ascii="Calibri" w:hAnsi="Calibri" w:cs="Calibri"/>
          <w:lang w:val="pl-PL"/>
        </w:rPr>
        <w:t>, iż system ten funkcjonuje w sposób prawidłowy.</w:t>
      </w:r>
      <w:r w:rsidR="00F44B02">
        <w:rPr>
          <w:rFonts w:ascii="Calibri" w:hAnsi="Calibri" w:cs="Calibri"/>
          <w:lang w:val="pl-PL"/>
        </w:rPr>
        <w:t xml:space="preserve"> W odniesieniu do lat</w:t>
      </w:r>
      <w:r>
        <w:rPr>
          <w:rFonts w:ascii="Calibri" w:hAnsi="Calibri" w:cs="Calibri"/>
          <w:lang w:val="pl-PL"/>
        </w:rPr>
        <w:t xml:space="preserve"> poprzedni</w:t>
      </w:r>
      <w:r w:rsidR="00F44B02">
        <w:rPr>
          <w:rFonts w:ascii="Calibri" w:hAnsi="Calibri" w:cs="Calibri"/>
          <w:lang w:val="pl-PL"/>
        </w:rPr>
        <w:t xml:space="preserve">ch </w:t>
      </w:r>
      <w:r>
        <w:rPr>
          <w:rFonts w:ascii="Calibri" w:hAnsi="Calibri" w:cs="Calibri"/>
          <w:lang w:val="pl-PL"/>
        </w:rPr>
        <w:t>nie nastąpiły znaczące zmiany</w:t>
      </w:r>
      <w:r w:rsidR="00F44B02">
        <w:rPr>
          <w:rFonts w:ascii="Calibri" w:hAnsi="Calibri" w:cs="Calibri"/>
          <w:lang w:val="pl-PL"/>
        </w:rPr>
        <w:t xml:space="preserve"> w zakresie odbioru i zagospodarowania odpadów</w:t>
      </w:r>
      <w:r>
        <w:rPr>
          <w:rFonts w:ascii="Calibri" w:hAnsi="Calibri" w:cs="Calibri"/>
          <w:lang w:val="pl-PL"/>
        </w:rPr>
        <w:t xml:space="preserve">, ewolucji podlegał głównie </w:t>
      </w:r>
      <w:r w:rsidR="00F44B02">
        <w:rPr>
          <w:rFonts w:ascii="Calibri" w:hAnsi="Calibri" w:cs="Calibri"/>
          <w:lang w:val="pl-PL"/>
        </w:rPr>
        <w:t xml:space="preserve">system </w:t>
      </w:r>
      <w:r>
        <w:rPr>
          <w:rFonts w:ascii="Calibri" w:hAnsi="Calibri" w:cs="Calibri"/>
          <w:lang w:val="pl-PL"/>
        </w:rPr>
        <w:t>selektywn</w:t>
      </w:r>
      <w:r w:rsidR="00F44B02">
        <w:rPr>
          <w:rFonts w:ascii="Calibri" w:hAnsi="Calibri" w:cs="Calibri"/>
          <w:lang w:val="pl-PL"/>
        </w:rPr>
        <w:t>ej</w:t>
      </w:r>
      <w:r>
        <w:rPr>
          <w:rFonts w:ascii="Calibri" w:hAnsi="Calibri" w:cs="Calibri"/>
          <w:lang w:val="pl-PL"/>
        </w:rPr>
        <w:t xml:space="preserve"> zbiórk</w:t>
      </w:r>
      <w:r w:rsidR="00FE0BAB">
        <w:rPr>
          <w:rFonts w:ascii="Calibri" w:hAnsi="Calibri" w:cs="Calibri"/>
          <w:lang w:val="pl-PL"/>
        </w:rPr>
        <w:t>i</w:t>
      </w:r>
      <w:r>
        <w:rPr>
          <w:rFonts w:ascii="Calibri" w:hAnsi="Calibri" w:cs="Calibri"/>
          <w:lang w:val="pl-PL"/>
        </w:rPr>
        <w:t xml:space="preserve"> odpadów u źródła.</w:t>
      </w:r>
    </w:p>
    <w:p w:rsidR="00C5063A" w:rsidRDefault="00874716" w:rsidP="003618F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="00C96287">
        <w:rPr>
          <w:rFonts w:ascii="Calibri" w:hAnsi="Calibri" w:cs="Calibri"/>
          <w:lang w:val="pl-PL"/>
        </w:rPr>
        <w:t>W</w:t>
      </w:r>
      <w:r>
        <w:rPr>
          <w:rFonts w:ascii="Calibri" w:hAnsi="Calibri" w:cs="Calibri"/>
          <w:lang w:val="pl-PL"/>
        </w:rPr>
        <w:t xml:space="preserve"> </w:t>
      </w:r>
      <w:r w:rsidRPr="00FF32B2">
        <w:rPr>
          <w:rFonts w:ascii="Calibri" w:hAnsi="Calibri" w:cs="Calibri"/>
          <w:lang w:val="pl-PL"/>
        </w:rPr>
        <w:t>analizowanym roku gmina osiągnęła wymagane przepisami ustawy poziomy recyklingu i przygotowania do ponownego użycia odpadów selektywnie zebranych                 (odpadów „surowcowych” oraz budowlanych i rozbiórkowych)</w:t>
      </w:r>
      <w:r w:rsidR="00FE0BAB">
        <w:rPr>
          <w:rFonts w:ascii="Calibri" w:hAnsi="Calibri" w:cs="Calibri"/>
          <w:lang w:val="pl-PL"/>
        </w:rPr>
        <w:t>,</w:t>
      </w:r>
      <w:r w:rsidRPr="00FF32B2">
        <w:rPr>
          <w:rFonts w:ascii="Calibri" w:hAnsi="Calibri" w:cs="Calibri"/>
          <w:lang w:val="pl-PL"/>
        </w:rPr>
        <w:t xml:space="preserve"> a także ograniczyła </w:t>
      </w:r>
      <w:r>
        <w:rPr>
          <w:rFonts w:ascii="Calibri" w:hAnsi="Calibri" w:cs="Calibri"/>
          <w:lang w:val="pl-PL"/>
        </w:rPr>
        <w:t xml:space="preserve">odpowiednio </w:t>
      </w:r>
      <w:r w:rsidRPr="00FF32B2">
        <w:rPr>
          <w:rFonts w:ascii="Calibri" w:hAnsi="Calibri" w:cs="Calibri"/>
          <w:lang w:val="pl-PL"/>
        </w:rPr>
        <w:t>masę odpadów biodegradowalnych przekazanych do składowania.</w:t>
      </w:r>
    </w:p>
    <w:p w:rsidR="00C5063A" w:rsidRDefault="00F44B02" w:rsidP="00C5063A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Należy wskazać iż osiągni</w:t>
      </w:r>
      <w:r w:rsidR="00FE0BAB">
        <w:rPr>
          <w:rFonts w:ascii="Calibri" w:hAnsi="Calibri" w:cs="Calibri"/>
          <w:lang w:val="pl-PL"/>
        </w:rPr>
        <w:t>ę</w:t>
      </w:r>
      <w:r>
        <w:rPr>
          <w:rFonts w:ascii="Calibri" w:hAnsi="Calibri" w:cs="Calibri"/>
          <w:lang w:val="pl-PL"/>
        </w:rPr>
        <w:t xml:space="preserve">cie wymaganych poziomów </w:t>
      </w:r>
      <w:r w:rsidR="00C5063A">
        <w:rPr>
          <w:rFonts w:ascii="Calibri" w:hAnsi="Calibri" w:cs="Calibri"/>
          <w:lang w:val="pl-PL"/>
        </w:rPr>
        <w:t xml:space="preserve">recyklingu </w:t>
      </w:r>
      <w:r>
        <w:rPr>
          <w:rFonts w:ascii="Calibri" w:hAnsi="Calibri" w:cs="Calibri"/>
          <w:lang w:val="pl-PL"/>
        </w:rPr>
        <w:t xml:space="preserve">możliwe było dzięki uwzględnieniu </w:t>
      </w:r>
      <w:r w:rsidR="00C5063A">
        <w:rPr>
          <w:rFonts w:ascii="Calibri" w:hAnsi="Calibri" w:cs="Calibri"/>
          <w:lang w:val="pl-PL"/>
        </w:rPr>
        <w:t xml:space="preserve">przekazanych do przetworzenia </w:t>
      </w:r>
      <w:r>
        <w:rPr>
          <w:rFonts w:ascii="Calibri" w:hAnsi="Calibri" w:cs="Calibri"/>
          <w:lang w:val="pl-PL"/>
        </w:rPr>
        <w:t>odpadów surowcowych</w:t>
      </w:r>
      <w:r w:rsidR="00C5063A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(głównie metali, w części także papieru i makulatury) przekazanych przez mieszkańców do punktów skupu. Punkty te, z</w:t>
      </w:r>
      <w:r w:rsidR="004877D8">
        <w:rPr>
          <w:rFonts w:ascii="Calibri" w:hAnsi="Calibri" w:cs="Calibri"/>
          <w:lang w:val="pl-PL"/>
        </w:rPr>
        <w:t> </w:t>
      </w:r>
      <w:r>
        <w:rPr>
          <w:rFonts w:ascii="Calibri" w:hAnsi="Calibri" w:cs="Calibri"/>
          <w:lang w:val="pl-PL"/>
        </w:rPr>
        <w:t xml:space="preserve">uwagi na odpłatne przyjmowanie odpadów </w:t>
      </w:r>
      <w:r w:rsidR="00C5063A">
        <w:rPr>
          <w:rFonts w:ascii="Calibri" w:hAnsi="Calibri" w:cs="Calibri"/>
          <w:lang w:val="pl-PL"/>
        </w:rPr>
        <w:t xml:space="preserve">o właściwościach </w:t>
      </w:r>
      <w:r>
        <w:rPr>
          <w:rFonts w:ascii="Calibri" w:hAnsi="Calibri" w:cs="Calibri"/>
          <w:lang w:val="pl-PL"/>
        </w:rPr>
        <w:t>surowc</w:t>
      </w:r>
      <w:r w:rsidR="00C5063A">
        <w:rPr>
          <w:rFonts w:ascii="Calibri" w:hAnsi="Calibri" w:cs="Calibri"/>
          <w:lang w:val="pl-PL"/>
        </w:rPr>
        <w:t>ów wtórnych</w:t>
      </w:r>
      <w:r>
        <w:rPr>
          <w:rFonts w:ascii="Calibri" w:hAnsi="Calibri" w:cs="Calibri"/>
          <w:lang w:val="pl-PL"/>
        </w:rPr>
        <w:t>, są chętnie wybieraną alternatywą w zakresie pozbycia się odpadów.</w:t>
      </w:r>
      <w:r w:rsidR="004877D8">
        <w:rPr>
          <w:rFonts w:ascii="Calibri" w:hAnsi="Calibri" w:cs="Calibri"/>
          <w:lang w:val="pl-PL"/>
        </w:rPr>
        <w:t xml:space="preserve"> Z racji funkcjonowania od lat na rynku toruńskim wielu wyspecjalizowanych przedsiębiorców prowadzących punkty skupu, strumień ten posiada wciąż duży udział w całości odpadów przekazywanych do recyklingu.</w:t>
      </w:r>
    </w:p>
    <w:p w:rsidR="0012735E" w:rsidRDefault="0012735E" w:rsidP="00C5063A">
      <w:pPr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Istotne zagrożenie w realizacji powyższego obowiązku stanowić może dynamicznie zmieniająca się w ostatnim okresie czasu sytuacja na rynku zagospodarowania odpadów </w:t>
      </w:r>
      <w:r w:rsidR="00B712CE">
        <w:rPr>
          <w:rFonts w:ascii="Calibri" w:hAnsi="Calibri" w:cs="Calibri"/>
          <w:lang w:val="pl-PL"/>
        </w:rPr>
        <w:t xml:space="preserve">                                 </w:t>
      </w:r>
      <w:r>
        <w:rPr>
          <w:rFonts w:ascii="Calibri" w:hAnsi="Calibri" w:cs="Calibri"/>
          <w:lang w:val="pl-PL"/>
        </w:rPr>
        <w:t xml:space="preserve">i wiążące się z tym problemy ze znalezieniem odbiorcy odpadów. </w:t>
      </w:r>
    </w:p>
    <w:p w:rsidR="00F44B02" w:rsidRDefault="0012735E" w:rsidP="00C5063A">
      <w:pPr>
        <w:ind w:firstLine="720"/>
        <w:jc w:val="both"/>
        <w:rPr>
          <w:rFonts w:ascii="Calibri" w:hAnsi="Calibri" w:cs="Calibri"/>
          <w:lang w:val="pl-PL"/>
        </w:rPr>
      </w:pPr>
      <w:r w:rsidRPr="0012735E">
        <w:rPr>
          <w:rFonts w:ascii="Calibri" w:hAnsi="Calibri" w:cs="Calibri"/>
          <w:lang w:val="pl-PL"/>
        </w:rPr>
        <w:t>Z uwagi na planowany sposób zmiany sposobu ustalania osiągniętego przez gminy poziomu recyklingu i przygotowania do ponownego użycia odpadów komunalnych (projekt rozporządzenia Ministerstwa Klimatu opublikowany w lipcu ubiegłego roku)</w:t>
      </w:r>
      <w:r>
        <w:rPr>
          <w:rFonts w:ascii="Calibri" w:hAnsi="Calibri" w:cs="Calibri"/>
          <w:lang w:val="pl-PL"/>
        </w:rPr>
        <w:t>,</w:t>
      </w:r>
      <w:r w:rsidRPr="0012735E">
        <w:rPr>
          <w:rFonts w:ascii="Calibri" w:hAnsi="Calibri" w:cs="Calibri"/>
          <w:lang w:val="pl-PL"/>
        </w:rPr>
        <w:t xml:space="preserve"> koniecznym wydaje się</w:t>
      </w:r>
      <w:r>
        <w:rPr>
          <w:rFonts w:ascii="Calibri" w:hAnsi="Calibri" w:cs="Calibri"/>
          <w:lang w:val="pl-PL"/>
        </w:rPr>
        <w:t xml:space="preserve"> przeprowadzenie analizy w zakresie oceny zasadności rozbudowy lub budowy</w:t>
      </w:r>
      <w:r w:rsidRPr="0012735E">
        <w:rPr>
          <w:rFonts w:ascii="Calibri" w:hAnsi="Calibri" w:cs="Calibri"/>
          <w:lang w:val="pl-PL"/>
        </w:rPr>
        <w:t xml:space="preserve"> now</w:t>
      </w:r>
      <w:r>
        <w:rPr>
          <w:rFonts w:ascii="Calibri" w:hAnsi="Calibri" w:cs="Calibri"/>
          <w:lang w:val="pl-PL"/>
        </w:rPr>
        <w:t>ej</w:t>
      </w:r>
      <w:r w:rsidRPr="0012735E">
        <w:rPr>
          <w:rFonts w:ascii="Calibri" w:hAnsi="Calibri" w:cs="Calibri"/>
          <w:lang w:val="pl-PL"/>
        </w:rPr>
        <w:t xml:space="preserve"> </w:t>
      </w:r>
      <w:r w:rsidRPr="0012735E">
        <w:rPr>
          <w:rFonts w:ascii="Calibri" w:hAnsi="Calibri" w:cs="Calibri"/>
          <w:lang w:val="pl-PL"/>
        </w:rPr>
        <w:lastRenderedPageBreak/>
        <w:t>instalac</w:t>
      </w:r>
      <w:r>
        <w:rPr>
          <w:rFonts w:ascii="Calibri" w:hAnsi="Calibri" w:cs="Calibri"/>
          <w:lang w:val="pl-PL"/>
        </w:rPr>
        <w:t xml:space="preserve">ji w ramach ZUOK, umożliwiającej </w:t>
      </w:r>
      <w:r w:rsidR="00B712CE">
        <w:rPr>
          <w:rFonts w:ascii="Calibri" w:hAnsi="Calibri" w:cs="Calibri"/>
          <w:lang w:val="pl-PL"/>
        </w:rPr>
        <w:t xml:space="preserve">poddanie recyklingowi lub przygotowaniu do ponownego użycia </w:t>
      </w:r>
      <w:r w:rsidRPr="0012735E">
        <w:rPr>
          <w:rFonts w:ascii="Calibri" w:hAnsi="Calibri" w:cs="Calibri"/>
          <w:lang w:val="pl-PL"/>
        </w:rPr>
        <w:t>całego strumienia odpadów zawierających frakcje biodegradowalne</w:t>
      </w:r>
      <w:r w:rsidR="00B712CE">
        <w:rPr>
          <w:rFonts w:ascii="Calibri" w:hAnsi="Calibri" w:cs="Calibri"/>
          <w:lang w:val="pl-PL"/>
        </w:rPr>
        <w:t>.</w:t>
      </w:r>
      <w:r w:rsidR="00E41058">
        <w:rPr>
          <w:rFonts w:ascii="Calibri" w:hAnsi="Calibri" w:cs="Calibri"/>
          <w:lang w:val="pl-PL"/>
        </w:rPr>
        <w:t xml:space="preserve"> Przedstawiony nowy sposób </w:t>
      </w:r>
      <w:r w:rsidR="00B979B8">
        <w:rPr>
          <w:rFonts w:ascii="Calibri" w:hAnsi="Calibri" w:cs="Calibri"/>
          <w:lang w:val="pl-PL"/>
        </w:rPr>
        <w:t xml:space="preserve">ustalania poziomu </w:t>
      </w:r>
      <w:r w:rsidR="00E41058">
        <w:rPr>
          <w:rFonts w:ascii="Calibri" w:hAnsi="Calibri" w:cs="Calibri"/>
          <w:lang w:val="pl-PL"/>
        </w:rPr>
        <w:t xml:space="preserve">istotnie zwiększa znaczenie </w:t>
      </w:r>
      <w:r w:rsidR="00B979B8">
        <w:rPr>
          <w:rFonts w:ascii="Calibri" w:hAnsi="Calibri" w:cs="Calibri"/>
          <w:lang w:val="pl-PL"/>
        </w:rPr>
        <w:t>tej części odebranych odpadów na końcowy wynik osiągany przez gminy.</w:t>
      </w:r>
    </w:p>
    <w:p w:rsidR="00874716" w:rsidRPr="00FF32B2" w:rsidRDefault="00874716" w:rsidP="003618F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  <w:t xml:space="preserve"> </w:t>
      </w:r>
    </w:p>
    <w:p w:rsidR="00874716" w:rsidRPr="00FF32B2" w:rsidRDefault="00874716" w:rsidP="006E2858">
      <w:pPr>
        <w:jc w:val="both"/>
        <w:rPr>
          <w:rFonts w:ascii="Calibri" w:hAnsi="Calibri" w:cs="Calibri"/>
          <w:lang w:val="pl-PL"/>
        </w:rPr>
      </w:pPr>
    </w:p>
    <w:p w:rsidR="00874716" w:rsidRPr="00FF32B2" w:rsidRDefault="00874716" w:rsidP="006E2858">
      <w:pPr>
        <w:jc w:val="both"/>
        <w:rPr>
          <w:rFonts w:ascii="Calibri" w:hAnsi="Calibri" w:cs="Calibri"/>
          <w:lang w:val="pl-PL"/>
        </w:rPr>
      </w:pPr>
    </w:p>
    <w:sectPr w:rsidR="00874716" w:rsidRPr="00FF32B2" w:rsidSect="00937436">
      <w:pgSz w:w="11906" w:h="16838"/>
      <w:pgMar w:top="1134" w:right="1418" w:bottom="1134" w:left="1191" w:header="709" w:footer="4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85" w:rsidRDefault="00C00485">
      <w:r>
        <w:separator/>
      </w:r>
    </w:p>
  </w:endnote>
  <w:endnote w:type="continuationSeparator" w:id="0">
    <w:p w:rsidR="00C00485" w:rsidRDefault="00C0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16" w:rsidRPr="00FD4D15" w:rsidRDefault="002410CE" w:rsidP="00FD4D15">
    <w:pPr>
      <w:pStyle w:val="Stopka"/>
      <w:jc w:val="center"/>
      <w:rPr>
        <w:rFonts w:ascii="Calibri" w:hAnsi="Calibri" w:cs="Calibri"/>
        <w:sz w:val="20"/>
        <w:szCs w:val="20"/>
      </w:rPr>
    </w:pPr>
    <w:r w:rsidRPr="00FD4D15">
      <w:rPr>
        <w:rFonts w:ascii="Calibri" w:hAnsi="Calibri" w:cs="Calibri"/>
        <w:sz w:val="20"/>
        <w:szCs w:val="20"/>
      </w:rPr>
      <w:fldChar w:fldCharType="begin"/>
    </w:r>
    <w:r w:rsidR="00874716" w:rsidRPr="00FD4D15">
      <w:rPr>
        <w:rFonts w:ascii="Calibri" w:hAnsi="Calibri" w:cs="Calibri"/>
        <w:sz w:val="20"/>
        <w:szCs w:val="20"/>
      </w:rPr>
      <w:instrText xml:space="preserve"> PAGE   \* MERGEFORMAT </w:instrText>
    </w:r>
    <w:r w:rsidRPr="00FD4D15">
      <w:rPr>
        <w:rFonts w:ascii="Calibri" w:hAnsi="Calibri" w:cs="Calibri"/>
        <w:sz w:val="20"/>
        <w:szCs w:val="20"/>
      </w:rPr>
      <w:fldChar w:fldCharType="separate"/>
    </w:r>
    <w:r w:rsidR="00DB525C">
      <w:rPr>
        <w:rFonts w:ascii="Calibri" w:hAnsi="Calibri" w:cs="Calibri"/>
        <w:noProof/>
        <w:sz w:val="20"/>
        <w:szCs w:val="20"/>
      </w:rPr>
      <w:t>10</w:t>
    </w:r>
    <w:r w:rsidRPr="00FD4D15">
      <w:rPr>
        <w:rFonts w:ascii="Calibri" w:hAnsi="Calibri" w:cs="Calibri"/>
        <w:sz w:val="20"/>
        <w:szCs w:val="20"/>
      </w:rPr>
      <w:fldChar w:fldCharType="end"/>
    </w:r>
  </w:p>
  <w:p w:rsidR="00874716" w:rsidRDefault="00874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85" w:rsidRDefault="00C00485">
      <w:r>
        <w:separator/>
      </w:r>
    </w:p>
  </w:footnote>
  <w:footnote w:type="continuationSeparator" w:id="0">
    <w:p w:rsidR="00C00485" w:rsidRDefault="00C0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FFA"/>
    <w:multiLevelType w:val="hybridMultilevel"/>
    <w:tmpl w:val="546A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114B0"/>
    <w:multiLevelType w:val="multilevel"/>
    <w:tmpl w:val="B29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46EF5"/>
    <w:multiLevelType w:val="hybridMultilevel"/>
    <w:tmpl w:val="1AE2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7BA"/>
    <w:multiLevelType w:val="hybridMultilevel"/>
    <w:tmpl w:val="472CE9CA"/>
    <w:lvl w:ilvl="0" w:tplc="B7C4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E76E6"/>
    <w:multiLevelType w:val="hybridMultilevel"/>
    <w:tmpl w:val="2DF20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111C2"/>
    <w:multiLevelType w:val="hybridMultilevel"/>
    <w:tmpl w:val="FC0E4CCE"/>
    <w:lvl w:ilvl="0" w:tplc="03C4F8E4">
      <w:start w:val="1"/>
      <w:numFmt w:val="lowerRoman"/>
      <w:lvlText w:val="(%1)"/>
      <w:lvlJc w:val="left"/>
      <w:pPr>
        <w:ind w:left="15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4194854"/>
    <w:multiLevelType w:val="hybridMultilevel"/>
    <w:tmpl w:val="3CC83B6A"/>
    <w:lvl w:ilvl="0" w:tplc="E65C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60D592">
      <w:start w:val="4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Calibri" w:eastAsia="Times New Roman" w:hAnsi="Calibri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F55DC"/>
    <w:multiLevelType w:val="hybridMultilevel"/>
    <w:tmpl w:val="3C46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63530"/>
    <w:multiLevelType w:val="multilevel"/>
    <w:tmpl w:val="6F5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1694A"/>
    <w:multiLevelType w:val="multilevel"/>
    <w:tmpl w:val="FA7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37E69"/>
    <w:multiLevelType w:val="hybridMultilevel"/>
    <w:tmpl w:val="1F8468AE"/>
    <w:lvl w:ilvl="0" w:tplc="95BA9AF6">
      <w:start w:val="1"/>
      <w:numFmt w:val="decimal"/>
      <w:lvlText w:val="%1)"/>
      <w:lvlJc w:val="left"/>
      <w:pPr>
        <w:tabs>
          <w:tab w:val="num" w:pos="967"/>
        </w:tabs>
        <w:ind w:left="41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9302F"/>
    <w:multiLevelType w:val="hybridMultilevel"/>
    <w:tmpl w:val="75606986"/>
    <w:lvl w:ilvl="0" w:tplc="0415000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0D76835"/>
    <w:multiLevelType w:val="hybridMultilevel"/>
    <w:tmpl w:val="336C035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4341AD"/>
    <w:multiLevelType w:val="hybridMultilevel"/>
    <w:tmpl w:val="173C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541ADC"/>
    <w:multiLevelType w:val="hybridMultilevel"/>
    <w:tmpl w:val="FD5C6D8E"/>
    <w:lvl w:ilvl="0" w:tplc="F418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90316"/>
    <w:multiLevelType w:val="hybridMultilevel"/>
    <w:tmpl w:val="A40494E8"/>
    <w:lvl w:ilvl="0" w:tplc="9858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7E5BF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ED5678"/>
    <w:multiLevelType w:val="hybridMultilevel"/>
    <w:tmpl w:val="290AE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254C3"/>
    <w:multiLevelType w:val="hybridMultilevel"/>
    <w:tmpl w:val="F014C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963C3"/>
    <w:multiLevelType w:val="multilevel"/>
    <w:tmpl w:val="290A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E04F45"/>
    <w:multiLevelType w:val="multilevel"/>
    <w:tmpl w:val="3CC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Calibri" w:eastAsia="Times New Roman" w:hAnsi="Calibr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383C0D"/>
    <w:multiLevelType w:val="hybridMultilevel"/>
    <w:tmpl w:val="C20CDCCC"/>
    <w:lvl w:ilvl="0" w:tplc="38F81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45B6A"/>
    <w:multiLevelType w:val="multilevel"/>
    <w:tmpl w:val="788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10CB5"/>
    <w:multiLevelType w:val="hybridMultilevel"/>
    <w:tmpl w:val="6F50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C39DD"/>
    <w:multiLevelType w:val="hybridMultilevel"/>
    <w:tmpl w:val="AB14B5BA"/>
    <w:lvl w:ilvl="0" w:tplc="E65C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B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46264"/>
    <w:multiLevelType w:val="hybridMultilevel"/>
    <w:tmpl w:val="B41A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C4873"/>
    <w:multiLevelType w:val="hybridMultilevel"/>
    <w:tmpl w:val="47B69340"/>
    <w:lvl w:ilvl="0" w:tplc="3D7E5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5298C"/>
    <w:multiLevelType w:val="multilevel"/>
    <w:tmpl w:val="20F8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F52A10"/>
    <w:multiLevelType w:val="hybridMultilevel"/>
    <w:tmpl w:val="B70A8C56"/>
    <w:lvl w:ilvl="0" w:tplc="F418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CB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2F737E"/>
    <w:multiLevelType w:val="hybridMultilevel"/>
    <w:tmpl w:val="05C6E5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59709D"/>
    <w:multiLevelType w:val="hybridMultilevel"/>
    <w:tmpl w:val="FF6A4928"/>
    <w:lvl w:ilvl="0" w:tplc="3D7E5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B1550"/>
    <w:multiLevelType w:val="multilevel"/>
    <w:tmpl w:val="934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90BC9"/>
    <w:multiLevelType w:val="hybridMultilevel"/>
    <w:tmpl w:val="B9B01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C5623"/>
    <w:multiLevelType w:val="multilevel"/>
    <w:tmpl w:val="656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E7C45"/>
    <w:multiLevelType w:val="multilevel"/>
    <w:tmpl w:val="6C5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A26AD"/>
    <w:multiLevelType w:val="hybridMultilevel"/>
    <w:tmpl w:val="F09E7FA6"/>
    <w:lvl w:ilvl="0" w:tplc="3D7E5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878C5"/>
    <w:multiLevelType w:val="multilevel"/>
    <w:tmpl w:val="C1A0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72CCA"/>
    <w:multiLevelType w:val="hybridMultilevel"/>
    <w:tmpl w:val="E63C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14"/>
  </w:num>
  <w:num w:numId="5">
    <w:abstractNumId w:val="26"/>
  </w:num>
  <w:num w:numId="6">
    <w:abstractNumId w:val="25"/>
  </w:num>
  <w:num w:numId="7">
    <w:abstractNumId w:val="29"/>
  </w:num>
  <w:num w:numId="8">
    <w:abstractNumId w:val="28"/>
  </w:num>
  <w:num w:numId="9">
    <w:abstractNumId w:val="6"/>
  </w:num>
  <w:num w:numId="10">
    <w:abstractNumId w:val="30"/>
  </w:num>
  <w:num w:numId="11">
    <w:abstractNumId w:val="17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27"/>
  </w:num>
  <w:num w:numId="18">
    <w:abstractNumId w:val="13"/>
  </w:num>
  <w:num w:numId="19">
    <w:abstractNumId w:val="10"/>
  </w:num>
  <w:num w:numId="20">
    <w:abstractNumId w:val="22"/>
  </w:num>
  <w:num w:numId="21">
    <w:abstractNumId w:val="7"/>
  </w:num>
  <w:num w:numId="22">
    <w:abstractNumId w:val="24"/>
  </w:num>
  <w:num w:numId="23">
    <w:abstractNumId w:val="36"/>
  </w:num>
  <w:num w:numId="24">
    <w:abstractNumId w:val="0"/>
  </w:num>
  <w:num w:numId="25">
    <w:abstractNumId w:val="8"/>
  </w:num>
  <w:num w:numId="26">
    <w:abstractNumId w:val="32"/>
  </w:num>
  <w:num w:numId="27">
    <w:abstractNumId w:val="33"/>
  </w:num>
  <w:num w:numId="28">
    <w:abstractNumId w:val="35"/>
  </w:num>
  <w:num w:numId="29">
    <w:abstractNumId w:val="21"/>
  </w:num>
  <w:num w:numId="30">
    <w:abstractNumId w:val="1"/>
  </w:num>
  <w:num w:numId="31">
    <w:abstractNumId w:val="9"/>
  </w:num>
  <w:num w:numId="32">
    <w:abstractNumId w:val="4"/>
  </w:num>
  <w:num w:numId="33">
    <w:abstractNumId w:val="5"/>
  </w:num>
  <w:num w:numId="34">
    <w:abstractNumId w:val="11"/>
  </w:num>
  <w:num w:numId="35">
    <w:abstractNumId w:val="31"/>
  </w:num>
  <w:num w:numId="36">
    <w:abstractNumId w:val="2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I0tDA3MjW2sDQzMTFQ0lEKTi0uzszPAykwrwUAz+cr5SwAAAA="/>
  </w:docVars>
  <w:rsids>
    <w:rsidRoot w:val="00B436C7"/>
    <w:rsid w:val="00000E9E"/>
    <w:rsid w:val="0000235E"/>
    <w:rsid w:val="000054ED"/>
    <w:rsid w:val="00005E3D"/>
    <w:rsid w:val="00007912"/>
    <w:rsid w:val="00007AEF"/>
    <w:rsid w:val="00012469"/>
    <w:rsid w:val="000126B2"/>
    <w:rsid w:val="00013295"/>
    <w:rsid w:val="00015F5A"/>
    <w:rsid w:val="00016222"/>
    <w:rsid w:val="0002126A"/>
    <w:rsid w:val="000219D0"/>
    <w:rsid w:val="00024C87"/>
    <w:rsid w:val="00025A46"/>
    <w:rsid w:val="0003281A"/>
    <w:rsid w:val="000344F7"/>
    <w:rsid w:val="000358CE"/>
    <w:rsid w:val="00036705"/>
    <w:rsid w:val="000372CC"/>
    <w:rsid w:val="00037D9B"/>
    <w:rsid w:val="000402F7"/>
    <w:rsid w:val="00041F21"/>
    <w:rsid w:val="00046D1E"/>
    <w:rsid w:val="000533DF"/>
    <w:rsid w:val="000542AA"/>
    <w:rsid w:val="00055AA4"/>
    <w:rsid w:val="000578D2"/>
    <w:rsid w:val="000578EE"/>
    <w:rsid w:val="00061CB8"/>
    <w:rsid w:val="0006484C"/>
    <w:rsid w:val="000651F4"/>
    <w:rsid w:val="00066762"/>
    <w:rsid w:val="00071A2A"/>
    <w:rsid w:val="00072B0F"/>
    <w:rsid w:val="00073473"/>
    <w:rsid w:val="00073D6B"/>
    <w:rsid w:val="00074102"/>
    <w:rsid w:val="00083645"/>
    <w:rsid w:val="00085851"/>
    <w:rsid w:val="0008606B"/>
    <w:rsid w:val="000877E3"/>
    <w:rsid w:val="000969E3"/>
    <w:rsid w:val="000A2171"/>
    <w:rsid w:val="000A3ABC"/>
    <w:rsid w:val="000A451A"/>
    <w:rsid w:val="000A4BFA"/>
    <w:rsid w:val="000B42C9"/>
    <w:rsid w:val="000B5A86"/>
    <w:rsid w:val="000B7342"/>
    <w:rsid w:val="000C0C79"/>
    <w:rsid w:val="000C29ED"/>
    <w:rsid w:val="000C4EF2"/>
    <w:rsid w:val="000C5195"/>
    <w:rsid w:val="000C5245"/>
    <w:rsid w:val="000D1B00"/>
    <w:rsid w:val="000D2757"/>
    <w:rsid w:val="000E154A"/>
    <w:rsid w:val="000E1EBB"/>
    <w:rsid w:val="000E3408"/>
    <w:rsid w:val="000E5C43"/>
    <w:rsid w:val="000F022C"/>
    <w:rsid w:val="000F637F"/>
    <w:rsid w:val="00100C81"/>
    <w:rsid w:val="001020FA"/>
    <w:rsid w:val="00103143"/>
    <w:rsid w:val="001057F0"/>
    <w:rsid w:val="00106407"/>
    <w:rsid w:val="00106A55"/>
    <w:rsid w:val="00111D68"/>
    <w:rsid w:val="00113E11"/>
    <w:rsid w:val="001172E2"/>
    <w:rsid w:val="00121E51"/>
    <w:rsid w:val="0012315B"/>
    <w:rsid w:val="0012735E"/>
    <w:rsid w:val="00130A29"/>
    <w:rsid w:val="0013135A"/>
    <w:rsid w:val="001316C7"/>
    <w:rsid w:val="00132E1E"/>
    <w:rsid w:val="001334E3"/>
    <w:rsid w:val="00133CBD"/>
    <w:rsid w:val="00137BA3"/>
    <w:rsid w:val="001404FC"/>
    <w:rsid w:val="00143448"/>
    <w:rsid w:val="001444C8"/>
    <w:rsid w:val="00144589"/>
    <w:rsid w:val="001544CD"/>
    <w:rsid w:val="00154987"/>
    <w:rsid w:val="00157078"/>
    <w:rsid w:val="00160F51"/>
    <w:rsid w:val="00161C86"/>
    <w:rsid w:val="00163531"/>
    <w:rsid w:val="00163D64"/>
    <w:rsid w:val="001644CA"/>
    <w:rsid w:val="00165583"/>
    <w:rsid w:val="001705DA"/>
    <w:rsid w:val="00172D56"/>
    <w:rsid w:val="001767BB"/>
    <w:rsid w:val="00177ACD"/>
    <w:rsid w:val="00182396"/>
    <w:rsid w:val="001847B7"/>
    <w:rsid w:val="001850A3"/>
    <w:rsid w:val="0018533C"/>
    <w:rsid w:val="00190BC1"/>
    <w:rsid w:val="0019553C"/>
    <w:rsid w:val="0019670F"/>
    <w:rsid w:val="001A0672"/>
    <w:rsid w:val="001A2A50"/>
    <w:rsid w:val="001A54F6"/>
    <w:rsid w:val="001A6846"/>
    <w:rsid w:val="001A7396"/>
    <w:rsid w:val="001A7CC8"/>
    <w:rsid w:val="001B0EE5"/>
    <w:rsid w:val="001B1624"/>
    <w:rsid w:val="001B26B8"/>
    <w:rsid w:val="001B5322"/>
    <w:rsid w:val="001C2B17"/>
    <w:rsid w:val="001C504C"/>
    <w:rsid w:val="001C6FCC"/>
    <w:rsid w:val="001D2C1F"/>
    <w:rsid w:val="001D44DC"/>
    <w:rsid w:val="001D6CD8"/>
    <w:rsid w:val="001E169D"/>
    <w:rsid w:val="001E393C"/>
    <w:rsid w:val="001E3A7D"/>
    <w:rsid w:val="001E4171"/>
    <w:rsid w:val="001E4E90"/>
    <w:rsid w:val="001F0051"/>
    <w:rsid w:val="001F5E16"/>
    <w:rsid w:val="001F6156"/>
    <w:rsid w:val="001F6BD8"/>
    <w:rsid w:val="002024B6"/>
    <w:rsid w:val="0020478E"/>
    <w:rsid w:val="00205D3B"/>
    <w:rsid w:val="00212402"/>
    <w:rsid w:val="00215806"/>
    <w:rsid w:val="00216178"/>
    <w:rsid w:val="00217933"/>
    <w:rsid w:val="00220A41"/>
    <w:rsid w:val="00222D5A"/>
    <w:rsid w:val="002266EC"/>
    <w:rsid w:val="00230A8A"/>
    <w:rsid w:val="00231D08"/>
    <w:rsid w:val="0024037B"/>
    <w:rsid w:val="002410CE"/>
    <w:rsid w:val="002422F6"/>
    <w:rsid w:val="002444A0"/>
    <w:rsid w:val="00244858"/>
    <w:rsid w:val="00252200"/>
    <w:rsid w:val="002566B1"/>
    <w:rsid w:val="00256CEF"/>
    <w:rsid w:val="002576A0"/>
    <w:rsid w:val="00257971"/>
    <w:rsid w:val="00265631"/>
    <w:rsid w:val="00267F45"/>
    <w:rsid w:val="00270BE8"/>
    <w:rsid w:val="00272597"/>
    <w:rsid w:val="00273393"/>
    <w:rsid w:val="0027565E"/>
    <w:rsid w:val="00277743"/>
    <w:rsid w:val="0028048F"/>
    <w:rsid w:val="002821D4"/>
    <w:rsid w:val="00283164"/>
    <w:rsid w:val="002844D1"/>
    <w:rsid w:val="00284A9E"/>
    <w:rsid w:val="0028559B"/>
    <w:rsid w:val="00285D56"/>
    <w:rsid w:val="00290B17"/>
    <w:rsid w:val="00290D42"/>
    <w:rsid w:val="002912D1"/>
    <w:rsid w:val="002924C5"/>
    <w:rsid w:val="00293A90"/>
    <w:rsid w:val="00293DD0"/>
    <w:rsid w:val="00294505"/>
    <w:rsid w:val="002946AB"/>
    <w:rsid w:val="00296BD2"/>
    <w:rsid w:val="002A0D11"/>
    <w:rsid w:val="002A16B3"/>
    <w:rsid w:val="002A4551"/>
    <w:rsid w:val="002B2358"/>
    <w:rsid w:val="002B2A8D"/>
    <w:rsid w:val="002B37B0"/>
    <w:rsid w:val="002B7895"/>
    <w:rsid w:val="002B7EC1"/>
    <w:rsid w:val="002C2134"/>
    <w:rsid w:val="002C4CF5"/>
    <w:rsid w:val="002C5C99"/>
    <w:rsid w:val="002D1707"/>
    <w:rsid w:val="002D5035"/>
    <w:rsid w:val="002D50C3"/>
    <w:rsid w:val="002D5F5E"/>
    <w:rsid w:val="002D7612"/>
    <w:rsid w:val="002E0ECC"/>
    <w:rsid w:val="002E111F"/>
    <w:rsid w:val="002F3805"/>
    <w:rsid w:val="002F4925"/>
    <w:rsid w:val="0030176E"/>
    <w:rsid w:val="00305B64"/>
    <w:rsid w:val="0030674B"/>
    <w:rsid w:val="0031063B"/>
    <w:rsid w:val="0031367E"/>
    <w:rsid w:val="00314EEC"/>
    <w:rsid w:val="0031636B"/>
    <w:rsid w:val="00316642"/>
    <w:rsid w:val="00320FD9"/>
    <w:rsid w:val="00322369"/>
    <w:rsid w:val="00322DCA"/>
    <w:rsid w:val="0032380A"/>
    <w:rsid w:val="003239AB"/>
    <w:rsid w:val="00325353"/>
    <w:rsid w:val="003259B8"/>
    <w:rsid w:val="00332717"/>
    <w:rsid w:val="00332CFF"/>
    <w:rsid w:val="00335250"/>
    <w:rsid w:val="00335905"/>
    <w:rsid w:val="00342DA4"/>
    <w:rsid w:val="00345224"/>
    <w:rsid w:val="00346CF4"/>
    <w:rsid w:val="00347429"/>
    <w:rsid w:val="003511B3"/>
    <w:rsid w:val="00353151"/>
    <w:rsid w:val="00355519"/>
    <w:rsid w:val="0035593E"/>
    <w:rsid w:val="003618F0"/>
    <w:rsid w:val="00363CEC"/>
    <w:rsid w:val="00364323"/>
    <w:rsid w:val="00366B88"/>
    <w:rsid w:val="00367BE2"/>
    <w:rsid w:val="00370E84"/>
    <w:rsid w:val="00371FB8"/>
    <w:rsid w:val="00372155"/>
    <w:rsid w:val="00376DC8"/>
    <w:rsid w:val="00382F36"/>
    <w:rsid w:val="003870B0"/>
    <w:rsid w:val="003872CC"/>
    <w:rsid w:val="0039043A"/>
    <w:rsid w:val="00390898"/>
    <w:rsid w:val="00391417"/>
    <w:rsid w:val="0039400C"/>
    <w:rsid w:val="003A661D"/>
    <w:rsid w:val="003A6E8D"/>
    <w:rsid w:val="003B13CF"/>
    <w:rsid w:val="003B1ADF"/>
    <w:rsid w:val="003B3C6B"/>
    <w:rsid w:val="003B45CB"/>
    <w:rsid w:val="003B6091"/>
    <w:rsid w:val="003B6B42"/>
    <w:rsid w:val="003B6F5B"/>
    <w:rsid w:val="003C107C"/>
    <w:rsid w:val="003C1388"/>
    <w:rsid w:val="003C2853"/>
    <w:rsid w:val="003C430F"/>
    <w:rsid w:val="003D36B6"/>
    <w:rsid w:val="003D5932"/>
    <w:rsid w:val="003D714B"/>
    <w:rsid w:val="003E246E"/>
    <w:rsid w:val="003E4EE6"/>
    <w:rsid w:val="003E6FA5"/>
    <w:rsid w:val="003F06A1"/>
    <w:rsid w:val="003F0B85"/>
    <w:rsid w:val="003F4F60"/>
    <w:rsid w:val="003F56B1"/>
    <w:rsid w:val="003F63A0"/>
    <w:rsid w:val="003F70F3"/>
    <w:rsid w:val="003F7D3D"/>
    <w:rsid w:val="003F7E3C"/>
    <w:rsid w:val="004008BD"/>
    <w:rsid w:val="00401839"/>
    <w:rsid w:val="00410DB2"/>
    <w:rsid w:val="004112D2"/>
    <w:rsid w:val="00413739"/>
    <w:rsid w:val="00413F8B"/>
    <w:rsid w:val="00414690"/>
    <w:rsid w:val="00417334"/>
    <w:rsid w:val="00420514"/>
    <w:rsid w:val="00422535"/>
    <w:rsid w:val="00423109"/>
    <w:rsid w:val="00426247"/>
    <w:rsid w:val="0042727B"/>
    <w:rsid w:val="004316BD"/>
    <w:rsid w:val="004324C0"/>
    <w:rsid w:val="004325C5"/>
    <w:rsid w:val="00433783"/>
    <w:rsid w:val="004363D0"/>
    <w:rsid w:val="004370F2"/>
    <w:rsid w:val="00440481"/>
    <w:rsid w:val="00440BE2"/>
    <w:rsid w:val="0044595C"/>
    <w:rsid w:val="00445DFA"/>
    <w:rsid w:val="00447BC3"/>
    <w:rsid w:val="00447E52"/>
    <w:rsid w:val="00451624"/>
    <w:rsid w:val="00455B44"/>
    <w:rsid w:val="0045692E"/>
    <w:rsid w:val="00460044"/>
    <w:rsid w:val="00471005"/>
    <w:rsid w:val="00477ACC"/>
    <w:rsid w:val="00481384"/>
    <w:rsid w:val="0048184F"/>
    <w:rsid w:val="004843D6"/>
    <w:rsid w:val="004858CC"/>
    <w:rsid w:val="00486325"/>
    <w:rsid w:val="004877D8"/>
    <w:rsid w:val="004933F4"/>
    <w:rsid w:val="00495DEA"/>
    <w:rsid w:val="004B2728"/>
    <w:rsid w:val="004C1F06"/>
    <w:rsid w:val="004C46B8"/>
    <w:rsid w:val="004C5552"/>
    <w:rsid w:val="004C788A"/>
    <w:rsid w:val="004D113A"/>
    <w:rsid w:val="004D7BAF"/>
    <w:rsid w:val="004E2CC3"/>
    <w:rsid w:val="004E5560"/>
    <w:rsid w:val="004E5F85"/>
    <w:rsid w:val="004E746D"/>
    <w:rsid w:val="004F0DF3"/>
    <w:rsid w:val="004F3D60"/>
    <w:rsid w:val="004F6DE9"/>
    <w:rsid w:val="0050761F"/>
    <w:rsid w:val="00507B31"/>
    <w:rsid w:val="005101C8"/>
    <w:rsid w:val="00511E99"/>
    <w:rsid w:val="00513DAC"/>
    <w:rsid w:val="00513ED3"/>
    <w:rsid w:val="00515867"/>
    <w:rsid w:val="005174C3"/>
    <w:rsid w:val="00517B54"/>
    <w:rsid w:val="0052036F"/>
    <w:rsid w:val="0052118E"/>
    <w:rsid w:val="00521D48"/>
    <w:rsid w:val="005271C6"/>
    <w:rsid w:val="005279F6"/>
    <w:rsid w:val="005300A6"/>
    <w:rsid w:val="00530D86"/>
    <w:rsid w:val="0053152A"/>
    <w:rsid w:val="005345E3"/>
    <w:rsid w:val="00534925"/>
    <w:rsid w:val="00535AEE"/>
    <w:rsid w:val="0053649D"/>
    <w:rsid w:val="00536E38"/>
    <w:rsid w:val="00540A83"/>
    <w:rsid w:val="005417F2"/>
    <w:rsid w:val="00541B91"/>
    <w:rsid w:val="00543E40"/>
    <w:rsid w:val="005442A6"/>
    <w:rsid w:val="00544AA7"/>
    <w:rsid w:val="0054760C"/>
    <w:rsid w:val="00551A73"/>
    <w:rsid w:val="005540ED"/>
    <w:rsid w:val="00565A84"/>
    <w:rsid w:val="00567A5C"/>
    <w:rsid w:val="005707F9"/>
    <w:rsid w:val="00575007"/>
    <w:rsid w:val="005755F2"/>
    <w:rsid w:val="0057745E"/>
    <w:rsid w:val="00580604"/>
    <w:rsid w:val="00580A4C"/>
    <w:rsid w:val="00580ED4"/>
    <w:rsid w:val="005836A6"/>
    <w:rsid w:val="00584AF5"/>
    <w:rsid w:val="0058566B"/>
    <w:rsid w:val="005858B0"/>
    <w:rsid w:val="005923FF"/>
    <w:rsid w:val="0059576D"/>
    <w:rsid w:val="0059708E"/>
    <w:rsid w:val="005A0A8F"/>
    <w:rsid w:val="005A0C7D"/>
    <w:rsid w:val="005A2C18"/>
    <w:rsid w:val="005A4E89"/>
    <w:rsid w:val="005B0FDF"/>
    <w:rsid w:val="005B3405"/>
    <w:rsid w:val="005B38C7"/>
    <w:rsid w:val="005C025E"/>
    <w:rsid w:val="005C1528"/>
    <w:rsid w:val="005C34F2"/>
    <w:rsid w:val="005C5928"/>
    <w:rsid w:val="005C6A61"/>
    <w:rsid w:val="005C6B76"/>
    <w:rsid w:val="005C7762"/>
    <w:rsid w:val="005D5C32"/>
    <w:rsid w:val="005D5E54"/>
    <w:rsid w:val="005E166B"/>
    <w:rsid w:val="005E2440"/>
    <w:rsid w:val="005E3EE1"/>
    <w:rsid w:val="005E49A2"/>
    <w:rsid w:val="005F0264"/>
    <w:rsid w:val="005F136A"/>
    <w:rsid w:val="005F32DA"/>
    <w:rsid w:val="005F4B65"/>
    <w:rsid w:val="005F5E96"/>
    <w:rsid w:val="005F62C2"/>
    <w:rsid w:val="005F6EE4"/>
    <w:rsid w:val="005F6FB1"/>
    <w:rsid w:val="006002E8"/>
    <w:rsid w:val="00600B32"/>
    <w:rsid w:val="0060154E"/>
    <w:rsid w:val="00601799"/>
    <w:rsid w:val="00602E2D"/>
    <w:rsid w:val="00620D95"/>
    <w:rsid w:val="00621F63"/>
    <w:rsid w:val="00622187"/>
    <w:rsid w:val="00624021"/>
    <w:rsid w:val="00624ABC"/>
    <w:rsid w:val="00624DB5"/>
    <w:rsid w:val="006256DC"/>
    <w:rsid w:val="00630378"/>
    <w:rsid w:val="0063038D"/>
    <w:rsid w:val="0063105D"/>
    <w:rsid w:val="00631844"/>
    <w:rsid w:val="00633998"/>
    <w:rsid w:val="00634C3A"/>
    <w:rsid w:val="0063514D"/>
    <w:rsid w:val="00636696"/>
    <w:rsid w:val="006400F2"/>
    <w:rsid w:val="00640CA9"/>
    <w:rsid w:val="006413F8"/>
    <w:rsid w:val="00641F0A"/>
    <w:rsid w:val="00650A0C"/>
    <w:rsid w:val="0065342D"/>
    <w:rsid w:val="00654886"/>
    <w:rsid w:val="00663038"/>
    <w:rsid w:val="00663157"/>
    <w:rsid w:val="00663FC0"/>
    <w:rsid w:val="00665CDA"/>
    <w:rsid w:val="0066602A"/>
    <w:rsid w:val="0066666D"/>
    <w:rsid w:val="006669FE"/>
    <w:rsid w:val="006722F8"/>
    <w:rsid w:val="0067550A"/>
    <w:rsid w:val="00675D3C"/>
    <w:rsid w:val="00676AE9"/>
    <w:rsid w:val="006814B3"/>
    <w:rsid w:val="00682CB0"/>
    <w:rsid w:val="00685408"/>
    <w:rsid w:val="006927FE"/>
    <w:rsid w:val="00693256"/>
    <w:rsid w:val="006B34F3"/>
    <w:rsid w:val="006B683B"/>
    <w:rsid w:val="006B7DA7"/>
    <w:rsid w:val="006C0D9F"/>
    <w:rsid w:val="006C62CE"/>
    <w:rsid w:val="006C7C48"/>
    <w:rsid w:val="006D01A0"/>
    <w:rsid w:val="006D0AE7"/>
    <w:rsid w:val="006D7B9D"/>
    <w:rsid w:val="006E237A"/>
    <w:rsid w:val="006E2858"/>
    <w:rsid w:val="006E3247"/>
    <w:rsid w:val="006E3D53"/>
    <w:rsid w:val="006F1BF5"/>
    <w:rsid w:val="006F2792"/>
    <w:rsid w:val="006F6084"/>
    <w:rsid w:val="006F79CB"/>
    <w:rsid w:val="0070416F"/>
    <w:rsid w:val="00705FF1"/>
    <w:rsid w:val="0071079B"/>
    <w:rsid w:val="007116F7"/>
    <w:rsid w:val="00713914"/>
    <w:rsid w:val="00713CCF"/>
    <w:rsid w:val="00714171"/>
    <w:rsid w:val="0071479C"/>
    <w:rsid w:val="0071766F"/>
    <w:rsid w:val="00720E41"/>
    <w:rsid w:val="00722D07"/>
    <w:rsid w:val="00722D25"/>
    <w:rsid w:val="007236E1"/>
    <w:rsid w:val="0072598D"/>
    <w:rsid w:val="00736B2D"/>
    <w:rsid w:val="0073744A"/>
    <w:rsid w:val="007378C2"/>
    <w:rsid w:val="007405BA"/>
    <w:rsid w:val="00740ECC"/>
    <w:rsid w:val="00750FD9"/>
    <w:rsid w:val="00752D6C"/>
    <w:rsid w:val="00752E6C"/>
    <w:rsid w:val="00753617"/>
    <w:rsid w:val="007601E3"/>
    <w:rsid w:val="0076069F"/>
    <w:rsid w:val="007641CC"/>
    <w:rsid w:val="00765795"/>
    <w:rsid w:val="007670BA"/>
    <w:rsid w:val="00771C6C"/>
    <w:rsid w:val="007728C6"/>
    <w:rsid w:val="00773F38"/>
    <w:rsid w:val="0077518F"/>
    <w:rsid w:val="00776DD9"/>
    <w:rsid w:val="00777CC0"/>
    <w:rsid w:val="0078188C"/>
    <w:rsid w:val="00783C7C"/>
    <w:rsid w:val="00786470"/>
    <w:rsid w:val="00790AC5"/>
    <w:rsid w:val="007957D1"/>
    <w:rsid w:val="00795E27"/>
    <w:rsid w:val="00797365"/>
    <w:rsid w:val="007A2A89"/>
    <w:rsid w:val="007A41E1"/>
    <w:rsid w:val="007A51FA"/>
    <w:rsid w:val="007A798E"/>
    <w:rsid w:val="007B1ECF"/>
    <w:rsid w:val="007B365D"/>
    <w:rsid w:val="007B67AE"/>
    <w:rsid w:val="007C2264"/>
    <w:rsid w:val="007C2F54"/>
    <w:rsid w:val="007C539F"/>
    <w:rsid w:val="007C7449"/>
    <w:rsid w:val="007D0557"/>
    <w:rsid w:val="007D086B"/>
    <w:rsid w:val="007D151E"/>
    <w:rsid w:val="007D1678"/>
    <w:rsid w:val="007D19F8"/>
    <w:rsid w:val="007D3D3E"/>
    <w:rsid w:val="007D62A0"/>
    <w:rsid w:val="007D644A"/>
    <w:rsid w:val="007D7D51"/>
    <w:rsid w:val="007E163E"/>
    <w:rsid w:val="007E2CCD"/>
    <w:rsid w:val="007E47F3"/>
    <w:rsid w:val="007E6EDF"/>
    <w:rsid w:val="007F2A0A"/>
    <w:rsid w:val="007F2E81"/>
    <w:rsid w:val="007F3A5D"/>
    <w:rsid w:val="007F6A6C"/>
    <w:rsid w:val="00800729"/>
    <w:rsid w:val="00802EE1"/>
    <w:rsid w:val="008043BE"/>
    <w:rsid w:val="00804CD3"/>
    <w:rsid w:val="008065E8"/>
    <w:rsid w:val="00807EBC"/>
    <w:rsid w:val="0081268C"/>
    <w:rsid w:val="008138CD"/>
    <w:rsid w:val="008168E4"/>
    <w:rsid w:val="00817400"/>
    <w:rsid w:val="00820F51"/>
    <w:rsid w:val="00822DC0"/>
    <w:rsid w:val="0082345D"/>
    <w:rsid w:val="00826131"/>
    <w:rsid w:val="008326ED"/>
    <w:rsid w:val="0083657E"/>
    <w:rsid w:val="008366FB"/>
    <w:rsid w:val="00840699"/>
    <w:rsid w:val="00844BC5"/>
    <w:rsid w:val="00846B48"/>
    <w:rsid w:val="00850451"/>
    <w:rsid w:val="00853C80"/>
    <w:rsid w:val="0085568F"/>
    <w:rsid w:val="008571B3"/>
    <w:rsid w:val="008637C6"/>
    <w:rsid w:val="008640DC"/>
    <w:rsid w:val="008654C8"/>
    <w:rsid w:val="00865DA6"/>
    <w:rsid w:val="0087111A"/>
    <w:rsid w:val="00871849"/>
    <w:rsid w:val="00872180"/>
    <w:rsid w:val="00873E00"/>
    <w:rsid w:val="00874716"/>
    <w:rsid w:val="008754A3"/>
    <w:rsid w:val="00881E24"/>
    <w:rsid w:val="0088353B"/>
    <w:rsid w:val="0088361C"/>
    <w:rsid w:val="00885428"/>
    <w:rsid w:val="008900EA"/>
    <w:rsid w:val="00892858"/>
    <w:rsid w:val="0089321B"/>
    <w:rsid w:val="00893DB8"/>
    <w:rsid w:val="00896035"/>
    <w:rsid w:val="0089635C"/>
    <w:rsid w:val="008A02C2"/>
    <w:rsid w:val="008A6340"/>
    <w:rsid w:val="008A6641"/>
    <w:rsid w:val="008A68C2"/>
    <w:rsid w:val="008A7D87"/>
    <w:rsid w:val="008B0860"/>
    <w:rsid w:val="008B0FC4"/>
    <w:rsid w:val="008B63E1"/>
    <w:rsid w:val="008B77EA"/>
    <w:rsid w:val="008B7810"/>
    <w:rsid w:val="008C05D5"/>
    <w:rsid w:val="008C2F51"/>
    <w:rsid w:val="008C3B1E"/>
    <w:rsid w:val="008C68ED"/>
    <w:rsid w:val="008C792B"/>
    <w:rsid w:val="008C7A5C"/>
    <w:rsid w:val="008C7B7F"/>
    <w:rsid w:val="008D24DE"/>
    <w:rsid w:val="008D2B59"/>
    <w:rsid w:val="008D38D2"/>
    <w:rsid w:val="008D3F73"/>
    <w:rsid w:val="008D6C3F"/>
    <w:rsid w:val="008E3C2A"/>
    <w:rsid w:val="008E4E75"/>
    <w:rsid w:val="008E6B6D"/>
    <w:rsid w:val="008F0838"/>
    <w:rsid w:val="008F4A5D"/>
    <w:rsid w:val="008F6E45"/>
    <w:rsid w:val="008F7286"/>
    <w:rsid w:val="00904098"/>
    <w:rsid w:val="009041A6"/>
    <w:rsid w:val="00905577"/>
    <w:rsid w:val="00906ADD"/>
    <w:rsid w:val="0091013B"/>
    <w:rsid w:val="00913661"/>
    <w:rsid w:val="009136FD"/>
    <w:rsid w:val="00913820"/>
    <w:rsid w:val="009162CE"/>
    <w:rsid w:val="009164CB"/>
    <w:rsid w:val="00916C82"/>
    <w:rsid w:val="009171F6"/>
    <w:rsid w:val="00921128"/>
    <w:rsid w:val="00923677"/>
    <w:rsid w:val="009248C4"/>
    <w:rsid w:val="0092616A"/>
    <w:rsid w:val="00932F23"/>
    <w:rsid w:val="00933584"/>
    <w:rsid w:val="00934211"/>
    <w:rsid w:val="009342C8"/>
    <w:rsid w:val="00934AA9"/>
    <w:rsid w:val="009356B3"/>
    <w:rsid w:val="00935AA1"/>
    <w:rsid w:val="00937436"/>
    <w:rsid w:val="00937D0B"/>
    <w:rsid w:val="00937D52"/>
    <w:rsid w:val="0094010B"/>
    <w:rsid w:val="0094347B"/>
    <w:rsid w:val="00945064"/>
    <w:rsid w:val="00951A5D"/>
    <w:rsid w:val="00952764"/>
    <w:rsid w:val="009529AE"/>
    <w:rsid w:val="00953400"/>
    <w:rsid w:val="00953596"/>
    <w:rsid w:val="009537C9"/>
    <w:rsid w:val="009546C2"/>
    <w:rsid w:val="00960E8B"/>
    <w:rsid w:val="0096143F"/>
    <w:rsid w:val="00961F3E"/>
    <w:rsid w:val="00975302"/>
    <w:rsid w:val="00981E0C"/>
    <w:rsid w:val="00983252"/>
    <w:rsid w:val="00983745"/>
    <w:rsid w:val="00983A51"/>
    <w:rsid w:val="00986B9B"/>
    <w:rsid w:val="0098751B"/>
    <w:rsid w:val="00987EED"/>
    <w:rsid w:val="00992CC6"/>
    <w:rsid w:val="00994B7E"/>
    <w:rsid w:val="009A021D"/>
    <w:rsid w:val="009A0C2C"/>
    <w:rsid w:val="009A0E7F"/>
    <w:rsid w:val="009A1DC5"/>
    <w:rsid w:val="009A64F7"/>
    <w:rsid w:val="009B0CFB"/>
    <w:rsid w:val="009B120F"/>
    <w:rsid w:val="009C0493"/>
    <w:rsid w:val="009C777E"/>
    <w:rsid w:val="009D0D5A"/>
    <w:rsid w:val="009E21F6"/>
    <w:rsid w:val="009E443C"/>
    <w:rsid w:val="009F5DCF"/>
    <w:rsid w:val="009F7F75"/>
    <w:rsid w:val="00A00105"/>
    <w:rsid w:val="00A009D3"/>
    <w:rsid w:val="00A023E1"/>
    <w:rsid w:val="00A07BC7"/>
    <w:rsid w:val="00A12558"/>
    <w:rsid w:val="00A12624"/>
    <w:rsid w:val="00A168A7"/>
    <w:rsid w:val="00A17EE2"/>
    <w:rsid w:val="00A24900"/>
    <w:rsid w:val="00A24E59"/>
    <w:rsid w:val="00A31AE6"/>
    <w:rsid w:val="00A33D2A"/>
    <w:rsid w:val="00A36A8C"/>
    <w:rsid w:val="00A43088"/>
    <w:rsid w:val="00A47E57"/>
    <w:rsid w:val="00A51D2F"/>
    <w:rsid w:val="00A5276B"/>
    <w:rsid w:val="00A57937"/>
    <w:rsid w:val="00A60BAA"/>
    <w:rsid w:val="00A61AD1"/>
    <w:rsid w:val="00A64C04"/>
    <w:rsid w:val="00A679E9"/>
    <w:rsid w:val="00A67E6E"/>
    <w:rsid w:val="00A711EC"/>
    <w:rsid w:val="00A72C07"/>
    <w:rsid w:val="00A73968"/>
    <w:rsid w:val="00A81E3E"/>
    <w:rsid w:val="00A81FC9"/>
    <w:rsid w:val="00A84D6E"/>
    <w:rsid w:val="00A85059"/>
    <w:rsid w:val="00A85238"/>
    <w:rsid w:val="00A86A06"/>
    <w:rsid w:val="00A905C4"/>
    <w:rsid w:val="00A945A0"/>
    <w:rsid w:val="00A9464F"/>
    <w:rsid w:val="00A950B2"/>
    <w:rsid w:val="00A95FE3"/>
    <w:rsid w:val="00A96A92"/>
    <w:rsid w:val="00A96CA0"/>
    <w:rsid w:val="00AA0EA9"/>
    <w:rsid w:val="00AA4B89"/>
    <w:rsid w:val="00AA6B7E"/>
    <w:rsid w:val="00AB0980"/>
    <w:rsid w:val="00AB0F65"/>
    <w:rsid w:val="00AB2D5F"/>
    <w:rsid w:val="00AB4596"/>
    <w:rsid w:val="00AB4974"/>
    <w:rsid w:val="00AB57B5"/>
    <w:rsid w:val="00AB61A5"/>
    <w:rsid w:val="00AC18E7"/>
    <w:rsid w:val="00AC1F24"/>
    <w:rsid w:val="00AC52FA"/>
    <w:rsid w:val="00AC6E34"/>
    <w:rsid w:val="00AD4CC5"/>
    <w:rsid w:val="00AE04B0"/>
    <w:rsid w:val="00AE11BF"/>
    <w:rsid w:val="00AE533C"/>
    <w:rsid w:val="00AE645A"/>
    <w:rsid w:val="00AE6BD0"/>
    <w:rsid w:val="00AE6EC5"/>
    <w:rsid w:val="00AE7EC3"/>
    <w:rsid w:val="00AF7373"/>
    <w:rsid w:val="00AF7EBD"/>
    <w:rsid w:val="00B02ADA"/>
    <w:rsid w:val="00B04125"/>
    <w:rsid w:val="00B05306"/>
    <w:rsid w:val="00B11190"/>
    <w:rsid w:val="00B11309"/>
    <w:rsid w:val="00B114C3"/>
    <w:rsid w:val="00B12617"/>
    <w:rsid w:val="00B13FC0"/>
    <w:rsid w:val="00B2051B"/>
    <w:rsid w:val="00B2182D"/>
    <w:rsid w:val="00B21FA7"/>
    <w:rsid w:val="00B23979"/>
    <w:rsid w:val="00B27D1B"/>
    <w:rsid w:val="00B330C0"/>
    <w:rsid w:val="00B33F45"/>
    <w:rsid w:val="00B348F7"/>
    <w:rsid w:val="00B35FD0"/>
    <w:rsid w:val="00B40977"/>
    <w:rsid w:val="00B40ED2"/>
    <w:rsid w:val="00B41659"/>
    <w:rsid w:val="00B436C7"/>
    <w:rsid w:val="00B44EE9"/>
    <w:rsid w:val="00B4579E"/>
    <w:rsid w:val="00B46A41"/>
    <w:rsid w:val="00B46CDB"/>
    <w:rsid w:val="00B52B80"/>
    <w:rsid w:val="00B52E05"/>
    <w:rsid w:val="00B57EFD"/>
    <w:rsid w:val="00B6034B"/>
    <w:rsid w:val="00B60E8A"/>
    <w:rsid w:val="00B674D7"/>
    <w:rsid w:val="00B712CE"/>
    <w:rsid w:val="00B72C4E"/>
    <w:rsid w:val="00B73B5E"/>
    <w:rsid w:val="00B76021"/>
    <w:rsid w:val="00B76C68"/>
    <w:rsid w:val="00B80E62"/>
    <w:rsid w:val="00B81C85"/>
    <w:rsid w:val="00B822E7"/>
    <w:rsid w:val="00B83F42"/>
    <w:rsid w:val="00B866F7"/>
    <w:rsid w:val="00B86E4D"/>
    <w:rsid w:val="00B9045D"/>
    <w:rsid w:val="00B905A5"/>
    <w:rsid w:val="00B9119B"/>
    <w:rsid w:val="00B92969"/>
    <w:rsid w:val="00B92C7A"/>
    <w:rsid w:val="00B93205"/>
    <w:rsid w:val="00B979B8"/>
    <w:rsid w:val="00BA2104"/>
    <w:rsid w:val="00BA318B"/>
    <w:rsid w:val="00BA77FE"/>
    <w:rsid w:val="00BB502E"/>
    <w:rsid w:val="00BB529C"/>
    <w:rsid w:val="00BB6CB9"/>
    <w:rsid w:val="00BB75C7"/>
    <w:rsid w:val="00BC1ACD"/>
    <w:rsid w:val="00BC3456"/>
    <w:rsid w:val="00BD16A1"/>
    <w:rsid w:val="00BD364A"/>
    <w:rsid w:val="00BD394D"/>
    <w:rsid w:val="00BD5E62"/>
    <w:rsid w:val="00BD6CE4"/>
    <w:rsid w:val="00BE244B"/>
    <w:rsid w:val="00BE2A9A"/>
    <w:rsid w:val="00BE3832"/>
    <w:rsid w:val="00BE449A"/>
    <w:rsid w:val="00BF1393"/>
    <w:rsid w:val="00BF2EB8"/>
    <w:rsid w:val="00BF5461"/>
    <w:rsid w:val="00BF58AC"/>
    <w:rsid w:val="00C00485"/>
    <w:rsid w:val="00C04BE9"/>
    <w:rsid w:val="00C07092"/>
    <w:rsid w:val="00C07FCB"/>
    <w:rsid w:val="00C10C0A"/>
    <w:rsid w:val="00C14DD9"/>
    <w:rsid w:val="00C15B68"/>
    <w:rsid w:val="00C210DB"/>
    <w:rsid w:val="00C22219"/>
    <w:rsid w:val="00C25A50"/>
    <w:rsid w:val="00C269BE"/>
    <w:rsid w:val="00C27935"/>
    <w:rsid w:val="00C314B1"/>
    <w:rsid w:val="00C328E9"/>
    <w:rsid w:val="00C36146"/>
    <w:rsid w:val="00C372EA"/>
    <w:rsid w:val="00C402BF"/>
    <w:rsid w:val="00C42F1F"/>
    <w:rsid w:val="00C44B7E"/>
    <w:rsid w:val="00C45459"/>
    <w:rsid w:val="00C45525"/>
    <w:rsid w:val="00C45873"/>
    <w:rsid w:val="00C4682C"/>
    <w:rsid w:val="00C5063A"/>
    <w:rsid w:val="00C53F79"/>
    <w:rsid w:val="00C54007"/>
    <w:rsid w:val="00C55507"/>
    <w:rsid w:val="00C55DE1"/>
    <w:rsid w:val="00C56840"/>
    <w:rsid w:val="00C56D55"/>
    <w:rsid w:val="00C65E72"/>
    <w:rsid w:val="00C75BF5"/>
    <w:rsid w:val="00C75E9E"/>
    <w:rsid w:val="00C77420"/>
    <w:rsid w:val="00C90925"/>
    <w:rsid w:val="00C90C3F"/>
    <w:rsid w:val="00C90E72"/>
    <w:rsid w:val="00C915A8"/>
    <w:rsid w:val="00C92B62"/>
    <w:rsid w:val="00C96287"/>
    <w:rsid w:val="00C9683B"/>
    <w:rsid w:val="00CB2739"/>
    <w:rsid w:val="00CB3E2D"/>
    <w:rsid w:val="00CB40A3"/>
    <w:rsid w:val="00CB58FE"/>
    <w:rsid w:val="00CB60D5"/>
    <w:rsid w:val="00CC1ED6"/>
    <w:rsid w:val="00CC6517"/>
    <w:rsid w:val="00CC6CA5"/>
    <w:rsid w:val="00CD1270"/>
    <w:rsid w:val="00CD3576"/>
    <w:rsid w:val="00CD50F6"/>
    <w:rsid w:val="00CD5EE5"/>
    <w:rsid w:val="00CD66B5"/>
    <w:rsid w:val="00CD748F"/>
    <w:rsid w:val="00CD7542"/>
    <w:rsid w:val="00CE002E"/>
    <w:rsid w:val="00CE0E64"/>
    <w:rsid w:val="00CE3705"/>
    <w:rsid w:val="00CE4DDA"/>
    <w:rsid w:val="00CE67F4"/>
    <w:rsid w:val="00CF2AF2"/>
    <w:rsid w:val="00D0259E"/>
    <w:rsid w:val="00D02C4F"/>
    <w:rsid w:val="00D02FDF"/>
    <w:rsid w:val="00D04479"/>
    <w:rsid w:val="00D07A5F"/>
    <w:rsid w:val="00D07C4D"/>
    <w:rsid w:val="00D10AE0"/>
    <w:rsid w:val="00D11F82"/>
    <w:rsid w:val="00D16050"/>
    <w:rsid w:val="00D21866"/>
    <w:rsid w:val="00D24B41"/>
    <w:rsid w:val="00D321E6"/>
    <w:rsid w:val="00D40795"/>
    <w:rsid w:val="00D4106F"/>
    <w:rsid w:val="00D452AB"/>
    <w:rsid w:val="00D5039B"/>
    <w:rsid w:val="00D55510"/>
    <w:rsid w:val="00D5764A"/>
    <w:rsid w:val="00D62468"/>
    <w:rsid w:val="00D624B7"/>
    <w:rsid w:val="00D626BA"/>
    <w:rsid w:val="00D62A87"/>
    <w:rsid w:val="00D64A96"/>
    <w:rsid w:val="00D65BD6"/>
    <w:rsid w:val="00D703CD"/>
    <w:rsid w:val="00D740EE"/>
    <w:rsid w:val="00D74E8F"/>
    <w:rsid w:val="00D77AF9"/>
    <w:rsid w:val="00D77C12"/>
    <w:rsid w:val="00D8279F"/>
    <w:rsid w:val="00D85220"/>
    <w:rsid w:val="00D85C1C"/>
    <w:rsid w:val="00D91FE0"/>
    <w:rsid w:val="00D95964"/>
    <w:rsid w:val="00D96100"/>
    <w:rsid w:val="00D96EB7"/>
    <w:rsid w:val="00DA381A"/>
    <w:rsid w:val="00DA3AC2"/>
    <w:rsid w:val="00DA3BE0"/>
    <w:rsid w:val="00DA666C"/>
    <w:rsid w:val="00DA6B3B"/>
    <w:rsid w:val="00DB1D0E"/>
    <w:rsid w:val="00DB239C"/>
    <w:rsid w:val="00DB525C"/>
    <w:rsid w:val="00DB595D"/>
    <w:rsid w:val="00DB5A8F"/>
    <w:rsid w:val="00DB5D4D"/>
    <w:rsid w:val="00DB6918"/>
    <w:rsid w:val="00DC065E"/>
    <w:rsid w:val="00DC0C4C"/>
    <w:rsid w:val="00DC73A7"/>
    <w:rsid w:val="00DD0020"/>
    <w:rsid w:val="00DD0A8F"/>
    <w:rsid w:val="00DD34A9"/>
    <w:rsid w:val="00DD4DBE"/>
    <w:rsid w:val="00DD5F90"/>
    <w:rsid w:val="00DD64FF"/>
    <w:rsid w:val="00DE094F"/>
    <w:rsid w:val="00DE26E0"/>
    <w:rsid w:val="00DE5D5C"/>
    <w:rsid w:val="00DF4761"/>
    <w:rsid w:val="00E0407A"/>
    <w:rsid w:val="00E06784"/>
    <w:rsid w:val="00E122FA"/>
    <w:rsid w:val="00E14C3D"/>
    <w:rsid w:val="00E14D35"/>
    <w:rsid w:val="00E15A1B"/>
    <w:rsid w:val="00E17209"/>
    <w:rsid w:val="00E17E1D"/>
    <w:rsid w:val="00E22ED3"/>
    <w:rsid w:val="00E244CC"/>
    <w:rsid w:val="00E25CDB"/>
    <w:rsid w:val="00E309EE"/>
    <w:rsid w:val="00E30BC4"/>
    <w:rsid w:val="00E34DB3"/>
    <w:rsid w:val="00E35049"/>
    <w:rsid w:val="00E36EA5"/>
    <w:rsid w:val="00E37A78"/>
    <w:rsid w:val="00E41058"/>
    <w:rsid w:val="00E47BBD"/>
    <w:rsid w:val="00E47ED0"/>
    <w:rsid w:val="00E50935"/>
    <w:rsid w:val="00E50E78"/>
    <w:rsid w:val="00E53D46"/>
    <w:rsid w:val="00E54993"/>
    <w:rsid w:val="00E56EFC"/>
    <w:rsid w:val="00E617BF"/>
    <w:rsid w:val="00E62FCF"/>
    <w:rsid w:val="00E65629"/>
    <w:rsid w:val="00E7099B"/>
    <w:rsid w:val="00E75173"/>
    <w:rsid w:val="00E7633E"/>
    <w:rsid w:val="00E77B3A"/>
    <w:rsid w:val="00E81CF3"/>
    <w:rsid w:val="00E81E83"/>
    <w:rsid w:val="00E8281C"/>
    <w:rsid w:val="00E83F11"/>
    <w:rsid w:val="00E860EB"/>
    <w:rsid w:val="00E86F90"/>
    <w:rsid w:val="00E939FD"/>
    <w:rsid w:val="00E9486D"/>
    <w:rsid w:val="00E94A99"/>
    <w:rsid w:val="00E97A32"/>
    <w:rsid w:val="00EA1DA7"/>
    <w:rsid w:val="00EA1FA1"/>
    <w:rsid w:val="00EA3E64"/>
    <w:rsid w:val="00EA470E"/>
    <w:rsid w:val="00EA4A28"/>
    <w:rsid w:val="00EA4B85"/>
    <w:rsid w:val="00EB38D4"/>
    <w:rsid w:val="00EB624D"/>
    <w:rsid w:val="00EB63D9"/>
    <w:rsid w:val="00EB6EB1"/>
    <w:rsid w:val="00EC293C"/>
    <w:rsid w:val="00EC57AF"/>
    <w:rsid w:val="00EC6A7C"/>
    <w:rsid w:val="00EC6B82"/>
    <w:rsid w:val="00EC7902"/>
    <w:rsid w:val="00ED6CCF"/>
    <w:rsid w:val="00EE2230"/>
    <w:rsid w:val="00EE3512"/>
    <w:rsid w:val="00EF24D5"/>
    <w:rsid w:val="00EF4022"/>
    <w:rsid w:val="00EF513A"/>
    <w:rsid w:val="00EF711F"/>
    <w:rsid w:val="00F10BB2"/>
    <w:rsid w:val="00F12442"/>
    <w:rsid w:val="00F12EB7"/>
    <w:rsid w:val="00F1356C"/>
    <w:rsid w:val="00F1514E"/>
    <w:rsid w:val="00F2169E"/>
    <w:rsid w:val="00F21ADC"/>
    <w:rsid w:val="00F2668E"/>
    <w:rsid w:val="00F36CDF"/>
    <w:rsid w:val="00F416CC"/>
    <w:rsid w:val="00F445FE"/>
    <w:rsid w:val="00F44B02"/>
    <w:rsid w:val="00F44E89"/>
    <w:rsid w:val="00F46187"/>
    <w:rsid w:val="00F53FA5"/>
    <w:rsid w:val="00F540C3"/>
    <w:rsid w:val="00F55369"/>
    <w:rsid w:val="00F56AED"/>
    <w:rsid w:val="00F575C5"/>
    <w:rsid w:val="00F6131F"/>
    <w:rsid w:val="00F6142E"/>
    <w:rsid w:val="00F624A0"/>
    <w:rsid w:val="00F6305B"/>
    <w:rsid w:val="00F72329"/>
    <w:rsid w:val="00F723BC"/>
    <w:rsid w:val="00F742E4"/>
    <w:rsid w:val="00F81F2D"/>
    <w:rsid w:val="00F84DED"/>
    <w:rsid w:val="00F851E8"/>
    <w:rsid w:val="00F8543C"/>
    <w:rsid w:val="00F859C0"/>
    <w:rsid w:val="00F90D1D"/>
    <w:rsid w:val="00F93B6C"/>
    <w:rsid w:val="00F9456C"/>
    <w:rsid w:val="00F954FD"/>
    <w:rsid w:val="00FA170F"/>
    <w:rsid w:val="00FA2782"/>
    <w:rsid w:val="00FA4A74"/>
    <w:rsid w:val="00FB1ACF"/>
    <w:rsid w:val="00FB2087"/>
    <w:rsid w:val="00FB7467"/>
    <w:rsid w:val="00FC0888"/>
    <w:rsid w:val="00FC0E2A"/>
    <w:rsid w:val="00FC1832"/>
    <w:rsid w:val="00FC1A11"/>
    <w:rsid w:val="00FC6992"/>
    <w:rsid w:val="00FD1C37"/>
    <w:rsid w:val="00FD2F63"/>
    <w:rsid w:val="00FD30EE"/>
    <w:rsid w:val="00FD48F1"/>
    <w:rsid w:val="00FD4D15"/>
    <w:rsid w:val="00FD5EBF"/>
    <w:rsid w:val="00FD7603"/>
    <w:rsid w:val="00FE0BAB"/>
    <w:rsid w:val="00FE47A7"/>
    <w:rsid w:val="00FE5114"/>
    <w:rsid w:val="00FE5EA0"/>
    <w:rsid w:val="00FE758C"/>
    <w:rsid w:val="00FE7E28"/>
    <w:rsid w:val="00FF3169"/>
    <w:rsid w:val="00FF32B2"/>
    <w:rsid w:val="00FF3BBD"/>
    <w:rsid w:val="00FF537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2558"/>
    <w:rPr>
      <w:sz w:val="24"/>
      <w:szCs w:val="24"/>
      <w:lang w:val="en-GB" w:eastAsia="en-GB"/>
    </w:rPr>
  </w:style>
  <w:style w:type="paragraph" w:styleId="Nagwek1">
    <w:name w:val="heading 1"/>
    <w:aliases w:val="Nagłówek analiza"/>
    <w:basedOn w:val="Normalny"/>
    <w:next w:val="Normalny"/>
    <w:link w:val="Nagwek1Znak"/>
    <w:uiPriority w:val="99"/>
    <w:qFormat/>
    <w:rsid w:val="000D2757"/>
    <w:pPr>
      <w:keepNext/>
      <w:keepLines/>
      <w:spacing w:before="240"/>
      <w:outlineLvl w:val="0"/>
    </w:pPr>
    <w:rPr>
      <w:rFonts w:ascii="Calibri" w:hAnsi="Calibri" w:cs="DokChampa"/>
      <w:b/>
      <w:smallCap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analiza Znak"/>
    <w:basedOn w:val="Domylnaczcionkaakapitu"/>
    <w:link w:val="Nagwek1"/>
    <w:uiPriority w:val="99"/>
    <w:rsid w:val="000D2757"/>
    <w:rPr>
      <w:rFonts w:ascii="Calibri" w:hAnsi="Calibri" w:cs="DokChampa"/>
      <w:b/>
      <w:smallCaps/>
      <w:sz w:val="32"/>
      <w:szCs w:val="32"/>
      <w:lang w:val="en-GB" w:eastAsia="en-GB" w:bidi="th-TH"/>
    </w:rPr>
  </w:style>
  <w:style w:type="paragraph" w:customStyle="1" w:styleId="Default">
    <w:name w:val="Default"/>
    <w:uiPriority w:val="99"/>
    <w:rsid w:val="00D96EB7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E37A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E37A78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E47BB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BA3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E6EDF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7E6EDF"/>
    <w:rPr>
      <w:rFonts w:cs="Times New Roman"/>
    </w:rPr>
  </w:style>
  <w:style w:type="character" w:customStyle="1" w:styleId="luchililuchiliselected">
    <w:name w:val="luc_hili luc_hili_selected"/>
    <w:basedOn w:val="Domylnaczcionkaakapitu"/>
    <w:uiPriority w:val="99"/>
    <w:rsid w:val="007E6EDF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7E6E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5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D15"/>
    <w:rPr>
      <w:rFonts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uiPriority w:val="99"/>
    <w:rsid w:val="00FE5E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16642"/>
    <w:pPr>
      <w:spacing w:after="200" w:line="360" w:lineRule="atLeast"/>
      <w:ind w:left="720"/>
      <w:jc w:val="both"/>
    </w:pPr>
    <w:rPr>
      <w:lang w:val="pl-PL" w:eastAsia="en-US"/>
    </w:rPr>
  </w:style>
  <w:style w:type="paragraph" w:customStyle="1" w:styleId="Standard">
    <w:name w:val="Standard"/>
    <w:uiPriority w:val="99"/>
    <w:rsid w:val="0008364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3940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F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2C"/>
    <w:rPr>
      <w:rFonts w:ascii="Tahoma" w:hAnsi="Tahoma" w:cs="Tahoma"/>
      <w:sz w:val="16"/>
      <w:szCs w:val="16"/>
      <w:lang w:val="en-GB" w:eastAsia="en-GB"/>
    </w:rPr>
  </w:style>
  <w:style w:type="paragraph" w:styleId="Bezodstpw">
    <w:name w:val="No Spacing"/>
    <w:link w:val="BezodstpwZnak"/>
    <w:uiPriority w:val="99"/>
    <w:qFormat/>
    <w:rsid w:val="00913661"/>
    <w:rPr>
      <w:rFonts w:ascii="Calibri" w:hAnsi="Calibri" w:cs="DokChamp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D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D15"/>
    <w:rPr>
      <w:rFonts w:cs="Times New Roman"/>
      <w:sz w:val="24"/>
      <w:szCs w:val="24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C3456"/>
    <w:rPr>
      <w:rFonts w:ascii="Calibri" w:eastAsia="Times New Roman" w:hAnsi="Calibri" w:cs="DokChampa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486325"/>
    <w:pPr>
      <w:spacing w:line="259" w:lineRule="auto"/>
      <w:outlineLvl w:val="9"/>
    </w:pPr>
    <w:rPr>
      <w:rFonts w:ascii="Cambria" w:hAnsi="Cambria"/>
      <w:b w:val="0"/>
      <w:smallCaps w:val="0"/>
      <w:color w:val="365F91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E7633E"/>
    <w:pPr>
      <w:tabs>
        <w:tab w:val="left" w:pos="440"/>
        <w:tab w:val="right" w:leader="dot" w:pos="9287"/>
      </w:tabs>
      <w:spacing w:after="100"/>
      <w:ind w:left="284" w:hanging="284"/>
    </w:pPr>
  </w:style>
  <w:style w:type="table" w:customStyle="1" w:styleId="Tabelasiatki1jasna1">
    <w:name w:val="Tabela siatki 1 — jasna1"/>
    <w:uiPriority w:val="99"/>
    <w:rsid w:val="0094347B"/>
    <w:rPr>
      <w:sz w:val="20"/>
      <w:szCs w:val="20"/>
      <w:lang w:bidi="lo-L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9D0D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2558"/>
    <w:rPr>
      <w:sz w:val="24"/>
      <w:szCs w:val="24"/>
      <w:lang w:val="en-GB" w:eastAsia="en-GB"/>
    </w:rPr>
  </w:style>
  <w:style w:type="paragraph" w:styleId="Nagwek1">
    <w:name w:val="heading 1"/>
    <w:aliases w:val="Nagłówek analiza"/>
    <w:basedOn w:val="Normalny"/>
    <w:next w:val="Normalny"/>
    <w:link w:val="Nagwek1Znak"/>
    <w:uiPriority w:val="99"/>
    <w:qFormat/>
    <w:rsid w:val="000D2757"/>
    <w:pPr>
      <w:keepNext/>
      <w:keepLines/>
      <w:spacing w:before="240"/>
      <w:outlineLvl w:val="0"/>
    </w:pPr>
    <w:rPr>
      <w:rFonts w:ascii="Calibri" w:hAnsi="Calibri" w:cs="DokChampa"/>
      <w:b/>
      <w:smallCap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analiza Znak"/>
    <w:basedOn w:val="Domylnaczcionkaakapitu"/>
    <w:link w:val="Nagwek1"/>
    <w:uiPriority w:val="99"/>
    <w:rsid w:val="000D2757"/>
    <w:rPr>
      <w:rFonts w:ascii="Calibri" w:hAnsi="Calibri" w:cs="DokChampa"/>
      <w:b/>
      <w:smallCaps/>
      <w:sz w:val="32"/>
      <w:szCs w:val="32"/>
      <w:lang w:val="en-GB" w:eastAsia="en-GB" w:bidi="th-TH"/>
    </w:rPr>
  </w:style>
  <w:style w:type="paragraph" w:customStyle="1" w:styleId="Default">
    <w:name w:val="Default"/>
    <w:uiPriority w:val="99"/>
    <w:rsid w:val="00D96EB7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E37A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E37A78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E47BB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BA3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E6EDF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7E6EDF"/>
    <w:rPr>
      <w:rFonts w:cs="Times New Roman"/>
    </w:rPr>
  </w:style>
  <w:style w:type="character" w:customStyle="1" w:styleId="luchililuchiliselected">
    <w:name w:val="luc_hili luc_hili_selected"/>
    <w:basedOn w:val="Domylnaczcionkaakapitu"/>
    <w:uiPriority w:val="99"/>
    <w:rsid w:val="007E6EDF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7E6E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5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D15"/>
    <w:rPr>
      <w:rFonts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uiPriority w:val="99"/>
    <w:rsid w:val="00FE5E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16642"/>
    <w:pPr>
      <w:spacing w:after="200" w:line="360" w:lineRule="atLeast"/>
      <w:ind w:left="720"/>
      <w:jc w:val="both"/>
    </w:pPr>
    <w:rPr>
      <w:lang w:val="pl-PL" w:eastAsia="en-US"/>
    </w:rPr>
  </w:style>
  <w:style w:type="paragraph" w:customStyle="1" w:styleId="Standard">
    <w:name w:val="Standard"/>
    <w:uiPriority w:val="99"/>
    <w:rsid w:val="0008364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3940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F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2C"/>
    <w:rPr>
      <w:rFonts w:ascii="Tahoma" w:hAnsi="Tahoma" w:cs="Tahoma"/>
      <w:sz w:val="16"/>
      <w:szCs w:val="16"/>
      <w:lang w:val="en-GB" w:eastAsia="en-GB"/>
    </w:rPr>
  </w:style>
  <w:style w:type="paragraph" w:styleId="Bezodstpw">
    <w:name w:val="No Spacing"/>
    <w:link w:val="BezodstpwZnak"/>
    <w:uiPriority w:val="99"/>
    <w:qFormat/>
    <w:rsid w:val="00913661"/>
    <w:rPr>
      <w:rFonts w:ascii="Calibri" w:hAnsi="Calibri" w:cs="DokChamp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D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D15"/>
    <w:rPr>
      <w:rFonts w:cs="Times New Roman"/>
      <w:sz w:val="24"/>
      <w:szCs w:val="24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C3456"/>
    <w:rPr>
      <w:rFonts w:ascii="Calibri" w:eastAsia="Times New Roman" w:hAnsi="Calibri" w:cs="DokChampa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486325"/>
    <w:pPr>
      <w:spacing w:line="259" w:lineRule="auto"/>
      <w:outlineLvl w:val="9"/>
    </w:pPr>
    <w:rPr>
      <w:rFonts w:ascii="Cambria" w:hAnsi="Cambria"/>
      <w:b w:val="0"/>
      <w:smallCaps w:val="0"/>
      <w:color w:val="365F91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E7633E"/>
    <w:pPr>
      <w:tabs>
        <w:tab w:val="left" w:pos="440"/>
        <w:tab w:val="right" w:leader="dot" w:pos="9287"/>
      </w:tabs>
      <w:spacing w:after="100"/>
      <w:ind w:left="284" w:hanging="284"/>
    </w:pPr>
  </w:style>
  <w:style w:type="table" w:customStyle="1" w:styleId="Tabelasiatki1jasna1">
    <w:name w:val="Tabela siatki 1 — jasna1"/>
    <w:uiPriority w:val="99"/>
    <w:rsid w:val="0094347B"/>
    <w:rPr>
      <w:sz w:val="20"/>
      <w:szCs w:val="20"/>
      <w:lang w:bidi="lo-L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9D0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un.pl/sites/default/files/sgo_torun_www_699.jpg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3D2F-E030-4FAE-B41B-500ACD47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3667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dokumentu “analiza</vt:lpstr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Piotrowicz</cp:lastModifiedBy>
  <cp:revision>2</cp:revision>
  <cp:lastPrinted>2021-04-28T06:19:00Z</cp:lastPrinted>
  <dcterms:created xsi:type="dcterms:W3CDTF">2021-05-13T12:05:00Z</dcterms:created>
  <dcterms:modified xsi:type="dcterms:W3CDTF">2021-05-13T12:05:00Z</dcterms:modified>
</cp:coreProperties>
</file>