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CB" w:rsidRDefault="00D948BF">
      <w:pPr>
        <w:jc w:val="center"/>
        <w:rPr>
          <w:b/>
          <w:i/>
        </w:rPr>
      </w:pPr>
      <w:r>
        <w:rPr>
          <w:noProof/>
          <w:lang w:val="pl-PL" w:eastAsia="pl-PL"/>
        </w:rPr>
        <w:drawing>
          <wp:inline distT="0" distB="0" distL="0" distR="0">
            <wp:extent cx="1333500" cy="16478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33500" cy="1647825"/>
                    </a:xfrm>
                    <a:prstGeom prst="rect">
                      <a:avLst/>
                    </a:prstGeom>
                    <a:solidFill>
                      <a:srgbClr val="FFFFFF"/>
                    </a:solidFill>
                    <a:ln w="9525">
                      <a:noFill/>
                      <a:miter lim="800000"/>
                      <a:headEnd/>
                      <a:tailEnd/>
                    </a:ln>
                  </pic:spPr>
                </pic:pic>
              </a:graphicData>
            </a:graphic>
          </wp:inline>
        </w:drawing>
      </w:r>
    </w:p>
    <w:p w:rsidR="00AE6BCB" w:rsidRDefault="00AE6BCB">
      <w:pPr>
        <w:jc w:val="center"/>
        <w:rPr>
          <w:b/>
          <w:i/>
        </w:rPr>
      </w:pPr>
    </w:p>
    <w:p w:rsidR="00AE6BCB" w:rsidRDefault="00AE6BCB">
      <w:pPr>
        <w:jc w:val="center"/>
        <w:rPr>
          <w:b/>
          <w:i/>
        </w:rPr>
      </w:pPr>
    </w:p>
    <w:p w:rsidR="00AE6BCB" w:rsidRDefault="00AE6BCB">
      <w:pPr>
        <w:jc w:val="center"/>
        <w:rPr>
          <w:b/>
          <w:i/>
        </w:rPr>
      </w:pPr>
    </w:p>
    <w:p w:rsidR="00AE6BCB" w:rsidRDefault="00AE6BCB">
      <w:pPr>
        <w:jc w:val="center"/>
        <w:rPr>
          <w:b/>
          <w:i/>
        </w:rPr>
      </w:pPr>
    </w:p>
    <w:p w:rsidR="00AE6BCB" w:rsidRPr="00120ADD" w:rsidRDefault="00AE6BCB">
      <w:pPr>
        <w:jc w:val="center"/>
        <w:rPr>
          <w:b/>
          <w:color w:val="C00000"/>
          <w:sz w:val="56"/>
          <w:szCs w:val="72"/>
          <w:lang w:val="pl-PL"/>
        </w:rPr>
      </w:pPr>
      <w:r w:rsidRPr="00120ADD">
        <w:rPr>
          <w:b/>
          <w:color w:val="C00000"/>
          <w:sz w:val="56"/>
          <w:szCs w:val="72"/>
          <w:lang w:val="pl-PL"/>
        </w:rPr>
        <w:t>RAPORT O STANIE</w:t>
      </w:r>
    </w:p>
    <w:p w:rsidR="00AE6BCB" w:rsidRPr="00120ADD" w:rsidRDefault="00AE6BCB">
      <w:pPr>
        <w:jc w:val="center"/>
        <w:rPr>
          <w:b/>
          <w:color w:val="C00000"/>
          <w:sz w:val="56"/>
          <w:szCs w:val="72"/>
          <w:lang w:val="pl-PL"/>
        </w:rPr>
      </w:pPr>
      <w:r w:rsidRPr="00120ADD">
        <w:rPr>
          <w:b/>
          <w:color w:val="C00000"/>
          <w:sz w:val="56"/>
          <w:szCs w:val="72"/>
          <w:lang w:val="pl-PL"/>
        </w:rPr>
        <w:t>GMINY MIASTA TORUŃ</w:t>
      </w:r>
    </w:p>
    <w:p w:rsidR="00AE6BCB" w:rsidRPr="00120ADD" w:rsidRDefault="00AE6BCB">
      <w:pPr>
        <w:jc w:val="center"/>
        <w:rPr>
          <w:b/>
          <w:i/>
          <w:color w:val="C00000"/>
          <w:sz w:val="16"/>
          <w:szCs w:val="16"/>
          <w:lang w:val="pl-PL"/>
        </w:rPr>
      </w:pPr>
      <w:r w:rsidRPr="00120ADD">
        <w:rPr>
          <w:b/>
          <w:color w:val="C00000"/>
          <w:sz w:val="56"/>
          <w:szCs w:val="72"/>
          <w:lang w:val="pl-PL"/>
        </w:rPr>
        <w:t>ZA ROK 2020</w:t>
      </w: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120ADD" w:rsidRDefault="00120ADD">
      <w:pPr>
        <w:jc w:val="center"/>
        <w:rPr>
          <w:b/>
          <w:i/>
          <w:sz w:val="16"/>
          <w:szCs w:val="16"/>
          <w:lang w:val="pl-PL"/>
        </w:rPr>
      </w:pPr>
    </w:p>
    <w:p w:rsidR="00120ADD" w:rsidRDefault="00120ADD">
      <w:pPr>
        <w:jc w:val="center"/>
        <w:rPr>
          <w:b/>
          <w:i/>
          <w:sz w:val="16"/>
          <w:szCs w:val="16"/>
          <w:lang w:val="pl-PL"/>
        </w:rPr>
      </w:pPr>
    </w:p>
    <w:p w:rsidR="00120ADD" w:rsidRDefault="00120ADD">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D948BF">
      <w:pPr>
        <w:jc w:val="center"/>
        <w:rPr>
          <w:b/>
          <w:i/>
          <w:sz w:val="16"/>
          <w:szCs w:val="16"/>
          <w:lang w:val="pl-PL"/>
        </w:rPr>
      </w:pPr>
      <w:r>
        <w:rPr>
          <w:b/>
          <w:i/>
          <w:noProof/>
          <w:sz w:val="16"/>
          <w:szCs w:val="16"/>
          <w:lang w:val="pl-PL" w:eastAsia="pl-PL"/>
        </w:rPr>
        <w:drawing>
          <wp:inline distT="0" distB="0" distL="0" distR="0">
            <wp:extent cx="5943600" cy="1981200"/>
            <wp:effectExtent l="19050" t="0" r="0" b="0"/>
            <wp:docPr id="1" name="Obraz 1" descr="inde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 2"/>
                    <pic:cNvPicPr>
                      <a:picLocks noChangeAspect="1" noChangeArrowheads="1"/>
                    </pic:cNvPicPr>
                  </pic:nvPicPr>
                  <pic:blipFill>
                    <a:blip r:embed="rId9" cstate="print">
                      <a:lum bright="60000" contrast="-70000"/>
                    </a:blip>
                    <a:srcRect/>
                    <a:stretch>
                      <a:fillRect/>
                    </a:stretch>
                  </pic:blipFill>
                  <pic:spPr bwMode="auto">
                    <a:xfrm>
                      <a:off x="0" y="0"/>
                      <a:ext cx="5943600" cy="1981200"/>
                    </a:xfrm>
                    <a:prstGeom prst="rect">
                      <a:avLst/>
                    </a:prstGeom>
                    <a:noFill/>
                    <a:ln w="9525">
                      <a:noFill/>
                      <a:miter lim="800000"/>
                      <a:headEnd/>
                      <a:tailEnd/>
                    </a:ln>
                    <a:effectLst/>
                  </pic:spPr>
                </pic:pic>
              </a:graphicData>
            </a:graphic>
          </wp:inline>
        </w:drawing>
      </w: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733D9D" w:rsidRDefault="00733D9D" w:rsidP="00120ADD">
      <w:pPr>
        <w:rPr>
          <w:b/>
          <w:i/>
          <w:sz w:val="16"/>
          <w:szCs w:val="16"/>
          <w:lang w:val="pl-PL"/>
        </w:rPr>
      </w:pPr>
    </w:p>
    <w:p w:rsidR="00733D9D" w:rsidRDefault="00733D9D" w:rsidP="004B29C5">
      <w:pPr>
        <w:rPr>
          <w:b/>
          <w:i/>
          <w:sz w:val="16"/>
          <w:szCs w:val="16"/>
          <w:lang w:val="pl-PL"/>
        </w:rPr>
      </w:pPr>
    </w:p>
    <w:p w:rsidR="00AE6BCB" w:rsidRDefault="00AE6BCB" w:rsidP="004B29C5">
      <w:pPr>
        <w:rPr>
          <w:b/>
          <w:i/>
          <w:sz w:val="16"/>
          <w:szCs w:val="16"/>
          <w:lang w:val="pl-PL"/>
        </w:rPr>
      </w:pPr>
    </w:p>
    <w:p w:rsidR="00AE6BCB" w:rsidRPr="00120ADD" w:rsidRDefault="00AE6BCB" w:rsidP="004B29C5">
      <w:pPr>
        <w:jc w:val="center"/>
        <w:rPr>
          <w:color w:val="C00000"/>
          <w:sz w:val="32"/>
          <w:szCs w:val="32"/>
          <w:lang w:val="pl-PL"/>
        </w:rPr>
      </w:pPr>
      <w:r w:rsidRPr="00120ADD">
        <w:rPr>
          <w:color w:val="C00000"/>
          <w:sz w:val="32"/>
          <w:szCs w:val="32"/>
          <w:lang w:val="pl-PL"/>
        </w:rPr>
        <w:t>TORUŃ</w:t>
      </w:r>
    </w:p>
    <w:p w:rsidR="00537A73" w:rsidRPr="00120ADD" w:rsidRDefault="00AE6BCB" w:rsidP="00537A73">
      <w:pPr>
        <w:jc w:val="center"/>
        <w:rPr>
          <w:color w:val="C00000"/>
          <w:sz w:val="32"/>
          <w:szCs w:val="32"/>
          <w:lang w:val="pl-PL"/>
        </w:rPr>
      </w:pPr>
      <w:r w:rsidRPr="00120ADD">
        <w:rPr>
          <w:color w:val="C00000"/>
          <w:sz w:val="32"/>
          <w:szCs w:val="32"/>
          <w:lang w:val="pl-PL"/>
        </w:rPr>
        <w:t>MAJ 2021</w:t>
      </w:r>
      <w:bookmarkStart w:id="0" w:name="__RefHeading__31888_2082197896"/>
      <w:bookmarkEnd w:id="0"/>
    </w:p>
    <w:p w:rsidR="002216FC" w:rsidRDefault="002216FC" w:rsidP="002216FC">
      <w:pPr>
        <w:pStyle w:val="Nagwek1"/>
        <w:numPr>
          <w:ilvl w:val="0"/>
          <w:numId w:val="0"/>
        </w:numPr>
        <w:spacing w:line="240" w:lineRule="auto"/>
        <w:ind w:left="432" w:hanging="432"/>
        <w:jc w:val="center"/>
        <w:rPr>
          <w:color w:val="0070C0"/>
        </w:rPr>
      </w:pPr>
    </w:p>
    <w:p w:rsidR="002216FC" w:rsidRPr="002216FC" w:rsidRDefault="00537A73" w:rsidP="002216FC">
      <w:pPr>
        <w:pStyle w:val="Nagwek1"/>
        <w:numPr>
          <w:ilvl w:val="0"/>
          <w:numId w:val="0"/>
        </w:numPr>
        <w:spacing w:line="240" w:lineRule="auto"/>
        <w:ind w:left="432" w:hanging="432"/>
        <w:jc w:val="center"/>
        <w:rPr>
          <w:color w:val="0070C0"/>
        </w:rPr>
      </w:pPr>
      <w:r>
        <w:rPr>
          <w:color w:val="0070C0"/>
        </w:rPr>
        <w:t>SPIS TREŚCI</w:t>
      </w:r>
    </w:p>
    <w:tbl>
      <w:tblPr>
        <w:tblW w:w="19137" w:type="dxa"/>
        <w:tblInd w:w="-318" w:type="dxa"/>
        <w:tblLayout w:type="fixed"/>
        <w:tblLook w:val="04A0"/>
      </w:tblPr>
      <w:tblGrid>
        <w:gridCol w:w="9640"/>
        <w:gridCol w:w="9497"/>
      </w:tblGrid>
      <w:tr w:rsidR="00DA6899" w:rsidRPr="00DA6899" w:rsidTr="002216FC">
        <w:tc>
          <w:tcPr>
            <w:tcW w:w="9640" w:type="dxa"/>
            <w:hideMark/>
          </w:tcPr>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I. WSTĘP ………………………………………………………………………………………….</w:t>
            </w:r>
          </w:p>
          <w:p w:rsidR="00DA6899" w:rsidRPr="00DA6899" w:rsidRDefault="00DA6899" w:rsidP="00DA6899">
            <w:pPr>
              <w:pStyle w:val="Tekstpodstawowy"/>
              <w:spacing w:after="0" w:line="240" w:lineRule="auto"/>
              <w:rPr>
                <w:rFonts w:ascii="Times New Roman" w:hAnsi="Times New Roman" w:cs="Times New Roman"/>
                <w:color w:val="0070C0"/>
                <w:sz w:val="24"/>
                <w:szCs w:val="24"/>
              </w:rPr>
            </w:pPr>
            <w:r w:rsidRPr="00DA6899">
              <w:rPr>
                <w:rFonts w:ascii="Times New Roman" w:hAnsi="Times New Roman" w:cs="Times New Roman"/>
                <w:color w:val="0070C0"/>
                <w:sz w:val="24"/>
                <w:szCs w:val="24"/>
              </w:rPr>
              <w:t>II. ZARZĄDZANIE I STRUKTURA ORAGNIZACYJNA……………………………………...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III. ROK 2020 – ROKIEM EDPIDEMII COVID-19…………………………………………….</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Bezpieczeństwo……………………………………………………………………………………</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Opieka zdrowotna…………………………………….....................................................................</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Opieka społeczna…………………………………………..............................................................</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Gospodarka komunalna……………………………………………………………………………</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Edukacja w dobie  nauki zdalnej……………………………………………………......................</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Sport i kultura……………………………………………………………………………………...</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Toruń dla przedsiębiorców………………………………………………………………………...</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Tarcza antykryzysowa……………………………………………………...……………………...</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Inwestycje w mieście…………………………………………………………...………………….</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Praca Urzędu Miasta Torunia ……………………………………………………………………..</w:t>
            </w:r>
          </w:p>
          <w:p w:rsidR="00DA6899" w:rsidRPr="00DA6899" w:rsidRDefault="00DA6899" w:rsidP="00DA6899">
            <w:pPr>
              <w:pStyle w:val="Nagwek1"/>
              <w:numPr>
                <w:ilvl w:val="0"/>
                <w:numId w:val="0"/>
              </w:numPr>
              <w:tabs>
                <w:tab w:val="left" w:pos="708"/>
              </w:tabs>
              <w:spacing w:line="240" w:lineRule="auto"/>
              <w:ind w:left="432" w:hanging="432"/>
              <w:rPr>
                <w:rFonts w:cs="Times New Roman"/>
                <w:szCs w:val="24"/>
              </w:rPr>
            </w:pPr>
            <w:r w:rsidRPr="00DA6899">
              <w:rPr>
                <w:rFonts w:cs="Times New Roman"/>
                <w:b w:val="0"/>
                <w:szCs w:val="24"/>
              </w:rPr>
              <w:t>Wybory Prezydenta RP w szczególnym okresie epidemii………………………….......................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Fundusze pomocowe dla jednostek samorządu terytorialnego……………………........................</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Narodowy Program Szczepień ……………………………………………………………………</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IV. FINANSE……………………………………………………………………………………...</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V. PARTYYPACJA SPOŁECZNA I BUDŻET OBYWATELSKI………………………………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Konsultacje społeczne……………………………………………………………………………..</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Budżet obywatelski………………………………………………………………………………...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Spotkania Prezydenta Miasta Torunia z mieszkańcami…………………………………………...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Współpraca GMT z organizacjami pozarządowymi………………………………………………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Inicjatywy lokalne…………………………………………………………………………………</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VI. DEMOGRAFIA……………………………………………………………………………….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VII. LOKALNY RYNEK PRACY, WSPIERANIE PRZEDSIĘBIORCZOŚCI, WSPÓŁPRACA Z UCZELNIAMI WYŻSZYMI………………………………………………………………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Bezrobocie na lokalnym rynku pracy……………………………………………………………...</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Program wspierania przedsiębiorczości…………………………………………………………...</w:t>
            </w:r>
          </w:p>
          <w:p w:rsidR="00DA6899" w:rsidRPr="00DA6899" w:rsidRDefault="00DA6899" w:rsidP="00DA6899">
            <w:pPr>
              <w:pStyle w:val="Nagwek1"/>
              <w:numPr>
                <w:ilvl w:val="0"/>
                <w:numId w:val="0"/>
              </w:numPr>
              <w:tabs>
                <w:tab w:val="left" w:pos="708"/>
              </w:tabs>
              <w:spacing w:line="240" w:lineRule="auto"/>
              <w:rPr>
                <w:rFonts w:cs="Times New Roman"/>
                <w:b w:val="0"/>
                <w:szCs w:val="24"/>
              </w:rPr>
            </w:pPr>
            <w:r w:rsidRPr="00DA6899">
              <w:rPr>
                <w:rFonts w:cs="Times New Roman"/>
                <w:b w:val="0"/>
                <w:szCs w:val="24"/>
              </w:rPr>
              <w:t>Współpraca z uczelniami wyższymi……………………………………………………………….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VIII. POLITYKA SPOŁECZNA, DZIAŁANIA NA RZECZ SENIORÓW I OSÓB NIEPEŁNOSPRAWNYCH ………………………………………………………………….</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Działania na rzecz osób z niepełnosprawnością…………………………………………..............</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Działania na rzecz seniorów i osób niesamodzielnych……………………………………………</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Działania na rzecz osób i rodzin posiadających na utrzymaniu conajmniej troje dzieci………….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Pr>
                <w:rFonts w:cs="Times New Roman"/>
                <w:b w:val="0"/>
                <w:szCs w:val="24"/>
              </w:rPr>
              <w:t>Opie</w:t>
            </w:r>
            <w:r w:rsidRPr="00DA6899">
              <w:rPr>
                <w:rFonts w:cs="Times New Roman"/>
                <w:b w:val="0"/>
                <w:szCs w:val="24"/>
              </w:rPr>
              <w:t>ka nad dziećmi w wieku do lat 3……………………………………………………...............</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Piecza zastępcza…………………………………………………………………………………...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IX. OCHRONA ZDROWIA………………………………………………………………………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 OŚWIATA I WYCHOWANIE………………………………………………………………...</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Toruńska oświata w liczbach………………………………………………………………………</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Realizacja strategii rozwoju edukacji……………………………………………………...............</w:t>
            </w:r>
          </w:p>
          <w:p w:rsid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Wychowanie przedszkol</w:t>
            </w:r>
            <w:r>
              <w:rPr>
                <w:rFonts w:cs="Times New Roman"/>
                <w:b w:val="0"/>
                <w:szCs w:val="24"/>
              </w:rPr>
              <w:t>ne ………………………………………………………………………..</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Funkcjonowanie placówek pracy pozaszkolnej…………………………………………………...</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Pozyskanie komputerów i innego sprzętu do nauki zdalnej……………………………………….</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Inwestycje w toruńskiej oświacie………………………………………………………………….</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Realizacja projektów ………...……………………………………………………………………</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Wyniki egzaminów zewnętrznych…………………………………………………………………</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Stypendia dla uczniów……………………………………………………………………………..</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XI. BEZPIECZEŃSTWO I PORZĄDEK PUBLICZNY………………………………………….</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lastRenderedPageBreak/>
              <w:t>XII. MIESZKALNICTWO………………………………………………………………………</w:t>
            </w:r>
            <w:r>
              <w:rPr>
                <w:rFonts w:cs="Times New Roman"/>
                <w:b w:val="0"/>
                <w:color w:val="0070C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Program “Mieszkanie plus” ……………………………………………………………………….</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Osiedle “Glinki”………………………………………………………………………………</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Program “Mieszkanie na start”………………………………………………………………...</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XIII. OCHRONA ŚRODOWISKA NATURALNEGO…………………………………………...</w:t>
            </w:r>
            <w:r>
              <w:rPr>
                <w:rFonts w:cs="Times New Roman"/>
                <w:b w:val="0"/>
                <w:color w:val="0070C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Tereny zieleni…………………………………………………………………………………</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XIV. KUTURA, OCHRONA DZIEDZICTWA KULTUROWEGO I TURYSTYKA…………</w:t>
            </w:r>
            <w:r>
              <w:rPr>
                <w:rFonts w:cs="Times New Roman"/>
                <w:b w:val="0"/>
                <w:color w:val="0070C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Muzeum Okręgowe w Toruniu……………………………………………………………………</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Teatr “Baj Pomorski”……………………………………………………………………………...</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Toruńska Orkiestra Symfoniczna………………………………………………………………….</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Centrum Sztuki Współczesnej……………………………………………………………………</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Centrum Kultury “Dwór Artusa”…………………………………………………………………</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Centrum Kultury “Zamek Krzyżacki”……………………………………………………………</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Toruńska Agenda Kulturalna………………………………………………………………………</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Centrum Nowoczesności “Młyn Wiedzy”………………………………………………………...</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Europejskie Centrym Filmowe Camerimage……………………………………………………...</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Strategia rozwoju kultury miasta Torunia…………………………………………………………</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Wydarzenia kulturalne……………………………………………………………………………</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Ochrona dziedzictwa kulturowego………………………………………………………………...</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Turystyka…………………………………………………………………………………………</w:t>
            </w:r>
            <w:r>
              <w:rPr>
                <w:rFonts w:cs="Times New Roman"/>
                <w:b w:val="0"/>
                <w:szCs w:val="24"/>
              </w:rPr>
              <w:t>…</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Pr>
                <w:rFonts w:cs="Times New Roman"/>
                <w:b w:val="0"/>
                <w:color w:val="0070C0"/>
                <w:szCs w:val="24"/>
              </w:rPr>
              <w:t xml:space="preserve">XV. </w:t>
            </w:r>
            <w:r w:rsidRPr="00DA6899">
              <w:rPr>
                <w:rFonts w:cs="Times New Roman"/>
                <w:b w:val="0"/>
                <w:color w:val="0070C0"/>
                <w:szCs w:val="24"/>
              </w:rPr>
              <w:t>PROMOCJA I WSPÓŁPRACA MIĘDZYNARODOWA…………………………………...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Najważniejsze działania i wydarzenia promocyjne ……………………………………………….</w:t>
            </w:r>
          </w:p>
          <w:p w:rsidR="00DA6899" w:rsidRPr="00DA6899" w:rsidRDefault="00DA6899" w:rsidP="00DA6899">
            <w:pPr>
              <w:pStyle w:val="Nagwek1"/>
              <w:numPr>
                <w:ilvl w:val="0"/>
                <w:numId w:val="0"/>
              </w:numPr>
              <w:tabs>
                <w:tab w:val="left" w:pos="708"/>
              </w:tabs>
              <w:spacing w:line="240" w:lineRule="auto"/>
              <w:rPr>
                <w:rFonts w:cs="Times New Roman"/>
                <w:b w:val="0"/>
                <w:szCs w:val="24"/>
              </w:rPr>
            </w:pPr>
            <w:r w:rsidRPr="00DA6899">
              <w:rPr>
                <w:rFonts w:cs="Times New Roman"/>
                <w:b w:val="0"/>
                <w:szCs w:val="24"/>
              </w:rPr>
              <w:t>100 rocznica powrotu Torunia do wolnej Polski…………………………………………………..</w:t>
            </w:r>
          </w:p>
          <w:p w:rsidR="00DA6899" w:rsidRPr="00DA6899" w:rsidRDefault="00DA6899" w:rsidP="00DA6899">
            <w:pPr>
              <w:pStyle w:val="Nagwek1"/>
              <w:numPr>
                <w:ilvl w:val="0"/>
                <w:numId w:val="0"/>
              </w:numPr>
              <w:tabs>
                <w:tab w:val="left" w:pos="708"/>
              </w:tabs>
              <w:spacing w:line="240" w:lineRule="auto"/>
              <w:rPr>
                <w:rFonts w:cs="Times New Roman"/>
                <w:b w:val="0"/>
                <w:szCs w:val="24"/>
              </w:rPr>
            </w:pPr>
            <w:r w:rsidRPr="00DA6899">
              <w:rPr>
                <w:rFonts w:cs="Times New Roman"/>
                <w:b w:val="0"/>
                <w:szCs w:val="24"/>
              </w:rPr>
              <w:t>Współpraca z miastami partnerskimi……………………………………………………………...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XVI. SPORT I REKREACJA……………………………………………………………………..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Miejska baza sportowa…………………………………………………………………………….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Rozwój sportu……………………………………………………………………………………...</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Upowszechnianie kultury fizycznej i rekreacji……………………………………………………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Stypendia i nagrody sportowe……………………………………………………………………..</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Sport szkolny………………………………………………………………………………………</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XVII. INFRASTRUKTURA TECHNICZNA…………………………………………………….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Infrastruktura drogowa…………………………………………………………………………….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Bezpieczeństwo pieszych i rowerzystów………………………………………………………….</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Gospodarka odpadami……………………………………………………………………………..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Sieć wodociągowa i kanalizacyjna………………………………………………………………...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Transport publiczny………………………………………………………………………………..</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Informatyzacja……………………………………………………………………………………..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XVIII. REWITALIZACJA I ROZWÓJ MIASTA………………………………………………...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Program rewitalizacji………………………………………………………………………………</w:t>
            </w:r>
          </w:p>
          <w:p w:rsidR="00DA6899" w:rsidRPr="00DA6899" w:rsidRDefault="00DA6899" w:rsidP="00DA6899">
            <w:pPr>
              <w:pStyle w:val="Nagwek1"/>
              <w:numPr>
                <w:ilvl w:val="0"/>
                <w:numId w:val="0"/>
              </w:numPr>
              <w:tabs>
                <w:tab w:val="left" w:pos="708"/>
              </w:tabs>
              <w:spacing w:line="240" w:lineRule="auto"/>
              <w:ind w:left="432" w:hanging="432"/>
              <w:rPr>
                <w:rFonts w:cs="Times New Roman"/>
                <w:b w:val="0"/>
                <w:szCs w:val="24"/>
              </w:rPr>
            </w:pPr>
            <w:r w:rsidRPr="00DA6899">
              <w:rPr>
                <w:rFonts w:cs="Times New Roman"/>
                <w:b w:val="0"/>
                <w:szCs w:val="24"/>
              </w:rPr>
              <w:t>Wdrażanie strategii rozwoju miasta torunia……………………………………………………….</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XIX. DZIAŁANIA W OBSZARZE CENTRUM MIASTA (TCM) ……………………………..</w:t>
            </w:r>
          </w:p>
          <w:p w:rsidR="00DA6899" w:rsidRPr="00DA6899" w:rsidRDefault="00DA6899" w:rsidP="00DA6899">
            <w:pPr>
              <w:pStyle w:val="Nagwek1"/>
              <w:numPr>
                <w:ilvl w:val="0"/>
                <w:numId w:val="0"/>
              </w:numPr>
              <w:tabs>
                <w:tab w:val="left" w:pos="708"/>
              </w:tabs>
              <w:spacing w:line="240" w:lineRule="auto"/>
              <w:ind w:left="432" w:hanging="432"/>
              <w:rPr>
                <w:rFonts w:cs="Times New Roman"/>
                <w:b w:val="0"/>
                <w:color w:val="0070C0"/>
                <w:szCs w:val="24"/>
              </w:rPr>
            </w:pPr>
            <w:r w:rsidRPr="00DA6899">
              <w:rPr>
                <w:rFonts w:cs="Times New Roman"/>
                <w:b w:val="0"/>
                <w:color w:val="0070C0"/>
                <w:szCs w:val="24"/>
              </w:rPr>
              <w:t>XX. REALIZACJA UCHWAŁ RMT podjętych w 2020 r. …………………….………………...</w:t>
            </w:r>
          </w:p>
          <w:p w:rsidR="00DA6899" w:rsidRPr="00DA6899" w:rsidRDefault="00DA6899" w:rsidP="00DA6899">
            <w:pPr>
              <w:pStyle w:val="Tekstpodstawowy"/>
              <w:spacing w:line="240" w:lineRule="auto"/>
              <w:rPr>
                <w:lang w:val="en-US"/>
              </w:rPr>
            </w:pPr>
            <w:r w:rsidRPr="00DA6899">
              <w:rPr>
                <w:rFonts w:ascii="Times New Roman" w:hAnsi="Times New Roman" w:cs="Times New Roman"/>
                <w:color w:val="0070C0"/>
                <w:sz w:val="24"/>
                <w:szCs w:val="24"/>
              </w:rPr>
              <w:t xml:space="preserve">XXI. WYKAZ DOKUMNETÓW STRATEGICZNYCH, PLANÓW I PROGRAMÓW </w:t>
            </w:r>
            <w:r w:rsidRPr="00DA6899">
              <w:rPr>
                <w:rFonts w:ascii="Times New Roman" w:hAnsi="Times New Roman" w:cs="Times New Roman"/>
                <w:color w:val="0070C0"/>
                <w:sz w:val="24"/>
                <w:szCs w:val="24"/>
              </w:rPr>
              <w:br/>
              <w:t xml:space="preserve">          OBOWIĄZUJĄCYCH W GMT……………………………………………………………</w:t>
            </w:r>
          </w:p>
        </w:tc>
        <w:tc>
          <w:tcPr>
            <w:tcW w:w="9497" w:type="dxa"/>
            <w:hideMark/>
          </w:tcPr>
          <w:p w:rsidR="00DA6899" w:rsidRDefault="00DA6899" w:rsidP="00DA6899">
            <w:pPr>
              <w:pStyle w:val="Nagwek1"/>
              <w:numPr>
                <w:ilvl w:val="0"/>
                <w:numId w:val="0"/>
              </w:numPr>
              <w:tabs>
                <w:tab w:val="left" w:pos="708"/>
              </w:tabs>
              <w:spacing w:line="240" w:lineRule="auto"/>
              <w:ind w:left="432" w:hanging="432"/>
              <w:jc w:val="both"/>
              <w:rPr>
                <w:rFonts w:cs="Times New Roman"/>
                <w:b w:val="0"/>
                <w:szCs w:val="24"/>
              </w:rPr>
            </w:pPr>
            <w:r>
              <w:rPr>
                <w:rFonts w:cs="Times New Roman"/>
                <w:b w:val="0"/>
                <w:szCs w:val="24"/>
              </w:rPr>
              <w:lastRenderedPageBreak/>
              <w:t xml:space="preserve"> 4</w:t>
            </w:r>
          </w:p>
          <w:p w:rsidR="00DA6899" w:rsidRPr="00DA6899" w:rsidRDefault="00DA6899" w:rsidP="00DA6899">
            <w:pPr>
              <w:pStyle w:val="Tekstpodstawowy"/>
              <w:spacing w:line="240" w:lineRule="auto"/>
              <w:rPr>
                <w:lang w:val="en-US"/>
              </w:rPr>
            </w:pPr>
            <w:r>
              <w:rPr>
                <w:rFonts w:ascii="Times New Roman" w:hAnsi="Times New Roman" w:cs="Times New Roman"/>
                <w:sz w:val="24"/>
                <w:szCs w:val="24"/>
                <w:lang w:val="en-US"/>
              </w:rPr>
              <w:t xml:space="preserve"> </w:t>
            </w:r>
            <w:r w:rsidRPr="00DA6899">
              <w:rPr>
                <w:rFonts w:ascii="Times New Roman" w:hAnsi="Times New Roman" w:cs="Times New Roman"/>
                <w:sz w:val="24"/>
                <w:szCs w:val="24"/>
                <w:lang w:val="en-US"/>
              </w:rPr>
              <w:t>4</w:t>
            </w:r>
            <w:r>
              <w:rPr>
                <w:lang w:val="en-US"/>
              </w:rPr>
              <w:br/>
            </w:r>
            <w:r>
              <w:rPr>
                <w:rFonts w:ascii="Times New Roman" w:hAnsi="Times New Roman" w:cs="Times New Roman"/>
                <w:sz w:val="24"/>
                <w:szCs w:val="24"/>
                <w:lang w:val="en-US"/>
              </w:rPr>
              <w:t xml:space="preserve"> </w:t>
            </w:r>
            <w:r w:rsidRPr="00DA6899">
              <w:rPr>
                <w:rFonts w:ascii="Times New Roman" w:hAnsi="Times New Roman" w:cs="Times New Roman"/>
                <w:sz w:val="24"/>
                <w:szCs w:val="24"/>
                <w:lang w:val="en-US"/>
              </w:rPr>
              <w:t>5</w:t>
            </w:r>
            <w:r w:rsidRPr="00DA6899">
              <w:rPr>
                <w:rFonts w:ascii="Times New Roman" w:hAnsi="Times New Roman" w:cs="Times New Roman"/>
                <w:sz w:val="24"/>
                <w:szCs w:val="24"/>
                <w:lang w:val="en-US"/>
              </w:rPr>
              <w:br/>
              <w:t xml:space="preserve"> 5</w:t>
            </w:r>
            <w:r w:rsidRPr="00DA6899">
              <w:rPr>
                <w:rFonts w:ascii="Times New Roman" w:hAnsi="Times New Roman" w:cs="Times New Roman"/>
                <w:sz w:val="24"/>
                <w:szCs w:val="24"/>
                <w:lang w:val="en-US"/>
              </w:rPr>
              <w:br/>
              <w:t xml:space="preserve"> 5</w:t>
            </w:r>
            <w:r w:rsidRPr="00DA6899">
              <w:rPr>
                <w:rFonts w:ascii="Times New Roman" w:hAnsi="Times New Roman" w:cs="Times New Roman"/>
                <w:sz w:val="24"/>
                <w:szCs w:val="24"/>
                <w:lang w:val="en-US"/>
              </w:rPr>
              <w:br/>
              <w:t xml:space="preserve"> 6</w:t>
            </w:r>
            <w:r w:rsidRPr="00DA6899">
              <w:rPr>
                <w:rFonts w:ascii="Times New Roman" w:hAnsi="Times New Roman" w:cs="Times New Roman"/>
                <w:sz w:val="24"/>
                <w:szCs w:val="24"/>
                <w:lang w:val="en-US"/>
              </w:rPr>
              <w:br/>
              <w:t xml:space="preserve"> 7</w:t>
            </w:r>
            <w:r w:rsidRPr="00DA6899">
              <w:rPr>
                <w:rFonts w:ascii="Times New Roman" w:hAnsi="Times New Roman" w:cs="Times New Roman"/>
                <w:sz w:val="24"/>
                <w:szCs w:val="24"/>
                <w:lang w:val="en-US"/>
              </w:rPr>
              <w:br/>
            </w:r>
            <w:r w:rsidR="00BD53BF">
              <w:rPr>
                <w:rFonts w:ascii="Times New Roman" w:hAnsi="Times New Roman" w:cs="Times New Roman"/>
                <w:sz w:val="24"/>
                <w:szCs w:val="24"/>
                <w:lang w:val="en-US"/>
              </w:rPr>
              <w:t xml:space="preserve"> 8</w:t>
            </w:r>
            <w:r w:rsidR="00BD53BF">
              <w:rPr>
                <w:rFonts w:ascii="Times New Roman" w:hAnsi="Times New Roman" w:cs="Times New Roman"/>
                <w:sz w:val="24"/>
                <w:szCs w:val="24"/>
                <w:lang w:val="en-US"/>
              </w:rPr>
              <w:br/>
              <w:t xml:space="preserve"> 8</w:t>
            </w:r>
            <w:r w:rsidR="00BD53BF">
              <w:rPr>
                <w:rFonts w:ascii="Times New Roman" w:hAnsi="Times New Roman" w:cs="Times New Roman"/>
                <w:sz w:val="24"/>
                <w:szCs w:val="24"/>
                <w:lang w:val="en-US"/>
              </w:rPr>
              <w:br/>
              <w:t xml:space="preserve"> 9</w:t>
            </w:r>
            <w:r w:rsidR="00BD53BF">
              <w:rPr>
                <w:rFonts w:ascii="Times New Roman" w:hAnsi="Times New Roman" w:cs="Times New Roman"/>
                <w:sz w:val="24"/>
                <w:szCs w:val="24"/>
                <w:lang w:val="en-US"/>
              </w:rPr>
              <w:br/>
              <w:t>10</w:t>
            </w:r>
            <w:r w:rsidR="00BD53BF">
              <w:rPr>
                <w:rFonts w:ascii="Times New Roman" w:hAnsi="Times New Roman" w:cs="Times New Roman"/>
                <w:sz w:val="24"/>
                <w:szCs w:val="24"/>
                <w:lang w:val="en-US"/>
              </w:rPr>
              <w:br/>
              <w:t>10</w:t>
            </w:r>
            <w:r w:rsidR="00BD53BF">
              <w:rPr>
                <w:rFonts w:ascii="Times New Roman" w:hAnsi="Times New Roman" w:cs="Times New Roman"/>
                <w:sz w:val="24"/>
                <w:szCs w:val="24"/>
                <w:lang w:val="en-US"/>
              </w:rPr>
              <w:br/>
              <w:t>10</w:t>
            </w:r>
            <w:r w:rsidR="00BD53BF">
              <w:rPr>
                <w:rFonts w:ascii="Times New Roman" w:hAnsi="Times New Roman" w:cs="Times New Roman"/>
                <w:sz w:val="24"/>
                <w:szCs w:val="24"/>
                <w:lang w:val="en-US"/>
              </w:rPr>
              <w:br/>
              <w:t>11</w:t>
            </w:r>
            <w:r w:rsidR="00BD53BF">
              <w:rPr>
                <w:rFonts w:ascii="Times New Roman" w:hAnsi="Times New Roman" w:cs="Times New Roman"/>
                <w:sz w:val="24"/>
                <w:szCs w:val="24"/>
                <w:lang w:val="en-US"/>
              </w:rPr>
              <w:br/>
              <w:t>11</w:t>
            </w:r>
            <w:r w:rsidR="00BD53BF">
              <w:rPr>
                <w:rFonts w:ascii="Times New Roman" w:hAnsi="Times New Roman" w:cs="Times New Roman"/>
                <w:sz w:val="24"/>
                <w:szCs w:val="24"/>
                <w:lang w:val="en-US"/>
              </w:rPr>
              <w:br/>
              <w:t>11</w:t>
            </w:r>
            <w:r w:rsidR="00BD53BF">
              <w:rPr>
                <w:rFonts w:ascii="Times New Roman" w:hAnsi="Times New Roman" w:cs="Times New Roman"/>
                <w:sz w:val="24"/>
                <w:szCs w:val="24"/>
                <w:lang w:val="en-US"/>
              </w:rPr>
              <w:br/>
              <w:t>12</w:t>
            </w:r>
            <w:r w:rsidR="00BD53BF">
              <w:rPr>
                <w:rFonts w:ascii="Times New Roman" w:hAnsi="Times New Roman" w:cs="Times New Roman"/>
                <w:sz w:val="24"/>
                <w:szCs w:val="24"/>
                <w:lang w:val="en-US"/>
              </w:rPr>
              <w:br/>
              <w:t>20</w:t>
            </w:r>
            <w:r w:rsidR="00BD53BF">
              <w:rPr>
                <w:rFonts w:ascii="Times New Roman" w:hAnsi="Times New Roman" w:cs="Times New Roman"/>
                <w:sz w:val="24"/>
                <w:szCs w:val="24"/>
                <w:lang w:val="en-US"/>
              </w:rPr>
              <w:br/>
              <w:t>20</w:t>
            </w:r>
            <w:r w:rsidR="00BD53BF">
              <w:rPr>
                <w:rFonts w:ascii="Times New Roman" w:hAnsi="Times New Roman" w:cs="Times New Roman"/>
                <w:sz w:val="24"/>
                <w:szCs w:val="24"/>
                <w:lang w:val="en-US"/>
              </w:rPr>
              <w:br/>
              <w:t>20</w:t>
            </w:r>
            <w:r w:rsidR="00BD53BF">
              <w:rPr>
                <w:rFonts w:ascii="Times New Roman" w:hAnsi="Times New Roman" w:cs="Times New Roman"/>
                <w:sz w:val="24"/>
                <w:szCs w:val="24"/>
                <w:lang w:val="en-US"/>
              </w:rPr>
              <w:br/>
              <w:t>20</w:t>
            </w:r>
            <w:r w:rsidR="00BD53BF">
              <w:rPr>
                <w:rFonts w:ascii="Times New Roman" w:hAnsi="Times New Roman" w:cs="Times New Roman"/>
                <w:sz w:val="24"/>
                <w:szCs w:val="24"/>
                <w:lang w:val="en-US"/>
              </w:rPr>
              <w:br/>
              <w:t>21</w:t>
            </w:r>
            <w:r w:rsidR="00BD53BF">
              <w:rPr>
                <w:rFonts w:ascii="Times New Roman" w:hAnsi="Times New Roman" w:cs="Times New Roman"/>
                <w:sz w:val="24"/>
                <w:szCs w:val="24"/>
                <w:lang w:val="en-US"/>
              </w:rPr>
              <w:br/>
              <w:t>23</w:t>
            </w:r>
            <w:r w:rsidR="00BD53BF">
              <w:rPr>
                <w:rFonts w:ascii="Times New Roman" w:hAnsi="Times New Roman" w:cs="Times New Roman"/>
                <w:sz w:val="24"/>
                <w:szCs w:val="24"/>
                <w:lang w:val="en-US"/>
              </w:rPr>
              <w:br/>
              <w:t>23</w:t>
            </w:r>
            <w:r w:rsidR="00BD53BF">
              <w:rPr>
                <w:rFonts w:ascii="Times New Roman" w:hAnsi="Times New Roman" w:cs="Times New Roman"/>
                <w:sz w:val="24"/>
                <w:szCs w:val="24"/>
                <w:lang w:val="en-US"/>
              </w:rPr>
              <w:br/>
            </w:r>
            <w:r w:rsidR="00BD53BF">
              <w:rPr>
                <w:rFonts w:ascii="Times New Roman" w:hAnsi="Times New Roman" w:cs="Times New Roman"/>
                <w:sz w:val="24"/>
                <w:szCs w:val="24"/>
                <w:lang w:val="en-US"/>
              </w:rPr>
              <w:br/>
              <w:t>23</w:t>
            </w:r>
            <w:r w:rsidR="00BD53BF">
              <w:rPr>
                <w:rFonts w:ascii="Times New Roman" w:hAnsi="Times New Roman" w:cs="Times New Roman"/>
                <w:sz w:val="24"/>
                <w:szCs w:val="24"/>
                <w:lang w:val="en-US"/>
              </w:rPr>
              <w:br/>
              <w:t>23</w:t>
            </w:r>
            <w:r w:rsidR="00BD53BF">
              <w:rPr>
                <w:rFonts w:ascii="Times New Roman" w:hAnsi="Times New Roman" w:cs="Times New Roman"/>
                <w:sz w:val="24"/>
                <w:szCs w:val="24"/>
                <w:lang w:val="en-US"/>
              </w:rPr>
              <w:br/>
              <w:t>24</w:t>
            </w:r>
            <w:r w:rsidRPr="00DA6899">
              <w:rPr>
                <w:rFonts w:ascii="Times New Roman" w:hAnsi="Times New Roman" w:cs="Times New Roman"/>
                <w:sz w:val="24"/>
                <w:szCs w:val="24"/>
                <w:lang w:val="en-US"/>
              </w:rPr>
              <w:br/>
            </w:r>
            <w:r w:rsidR="00BD53BF">
              <w:rPr>
                <w:rFonts w:ascii="Times New Roman" w:hAnsi="Times New Roman" w:cs="Times New Roman"/>
                <w:sz w:val="24"/>
                <w:szCs w:val="24"/>
                <w:lang w:val="en-US"/>
              </w:rPr>
              <w:t>26</w:t>
            </w:r>
            <w:r w:rsidR="00BD53BF">
              <w:rPr>
                <w:rFonts w:ascii="Times New Roman" w:hAnsi="Times New Roman" w:cs="Times New Roman"/>
                <w:sz w:val="24"/>
                <w:szCs w:val="24"/>
                <w:lang w:val="en-US"/>
              </w:rPr>
              <w:br/>
            </w:r>
            <w:r w:rsidR="00BD53BF">
              <w:rPr>
                <w:rFonts w:ascii="Times New Roman" w:hAnsi="Times New Roman" w:cs="Times New Roman"/>
                <w:sz w:val="24"/>
                <w:szCs w:val="24"/>
                <w:lang w:val="en-US"/>
              </w:rPr>
              <w:br/>
              <w:t>27</w:t>
            </w:r>
            <w:r w:rsidR="00BD53BF">
              <w:rPr>
                <w:rFonts w:ascii="Times New Roman" w:hAnsi="Times New Roman" w:cs="Times New Roman"/>
                <w:sz w:val="24"/>
                <w:szCs w:val="24"/>
                <w:lang w:val="en-US"/>
              </w:rPr>
              <w:br/>
              <w:t>28</w:t>
            </w:r>
            <w:r w:rsidR="00BD53BF">
              <w:rPr>
                <w:rFonts w:ascii="Times New Roman" w:hAnsi="Times New Roman" w:cs="Times New Roman"/>
                <w:sz w:val="24"/>
                <w:szCs w:val="24"/>
                <w:lang w:val="en-US"/>
              </w:rPr>
              <w:br/>
              <w:t>30</w:t>
            </w:r>
            <w:r w:rsidR="00BD53BF">
              <w:rPr>
                <w:rFonts w:ascii="Times New Roman" w:hAnsi="Times New Roman" w:cs="Times New Roman"/>
                <w:sz w:val="24"/>
                <w:szCs w:val="24"/>
                <w:lang w:val="en-US"/>
              </w:rPr>
              <w:br/>
              <w:t>31</w:t>
            </w:r>
            <w:r w:rsidR="00BD53BF">
              <w:rPr>
                <w:rFonts w:ascii="Times New Roman" w:hAnsi="Times New Roman" w:cs="Times New Roman"/>
                <w:sz w:val="24"/>
                <w:szCs w:val="24"/>
                <w:lang w:val="en-US"/>
              </w:rPr>
              <w:br/>
              <w:t>32</w:t>
            </w:r>
            <w:r w:rsidR="00BD53BF">
              <w:rPr>
                <w:rFonts w:ascii="Times New Roman" w:hAnsi="Times New Roman" w:cs="Times New Roman"/>
                <w:sz w:val="24"/>
                <w:szCs w:val="24"/>
                <w:lang w:val="en-US"/>
              </w:rPr>
              <w:br/>
              <w:t>32</w:t>
            </w:r>
            <w:r w:rsidR="00BD53BF">
              <w:rPr>
                <w:rFonts w:ascii="Times New Roman" w:hAnsi="Times New Roman" w:cs="Times New Roman"/>
                <w:sz w:val="24"/>
                <w:szCs w:val="24"/>
                <w:lang w:val="en-US"/>
              </w:rPr>
              <w:br/>
              <w:t>33</w:t>
            </w:r>
            <w:r w:rsidR="00BD53BF">
              <w:rPr>
                <w:rFonts w:ascii="Times New Roman" w:hAnsi="Times New Roman" w:cs="Times New Roman"/>
                <w:sz w:val="24"/>
                <w:szCs w:val="24"/>
                <w:lang w:val="en-US"/>
              </w:rPr>
              <w:br/>
              <w:t>35</w:t>
            </w:r>
            <w:r w:rsidR="00BD53BF">
              <w:rPr>
                <w:rFonts w:ascii="Times New Roman" w:hAnsi="Times New Roman" w:cs="Times New Roman"/>
                <w:sz w:val="24"/>
                <w:szCs w:val="24"/>
                <w:lang w:val="en-US"/>
              </w:rPr>
              <w:br/>
              <w:t>35</w:t>
            </w:r>
            <w:r w:rsidR="00BD53BF">
              <w:rPr>
                <w:rFonts w:ascii="Times New Roman" w:hAnsi="Times New Roman" w:cs="Times New Roman"/>
                <w:sz w:val="24"/>
                <w:szCs w:val="24"/>
                <w:lang w:val="en-US"/>
              </w:rPr>
              <w:br/>
              <w:t>36</w:t>
            </w:r>
            <w:r w:rsidR="00BD53BF">
              <w:rPr>
                <w:rFonts w:ascii="Times New Roman" w:hAnsi="Times New Roman" w:cs="Times New Roman"/>
                <w:sz w:val="24"/>
                <w:szCs w:val="24"/>
                <w:lang w:val="en-US"/>
              </w:rPr>
              <w:br/>
              <w:t>36</w:t>
            </w:r>
            <w:r w:rsidR="00BD53BF">
              <w:rPr>
                <w:rFonts w:ascii="Times New Roman" w:hAnsi="Times New Roman" w:cs="Times New Roman"/>
                <w:sz w:val="24"/>
                <w:szCs w:val="24"/>
                <w:lang w:val="en-US"/>
              </w:rPr>
              <w:br/>
              <w:t>36</w:t>
            </w:r>
            <w:r w:rsidR="00BD53BF">
              <w:rPr>
                <w:rFonts w:ascii="Times New Roman" w:hAnsi="Times New Roman" w:cs="Times New Roman"/>
                <w:sz w:val="24"/>
                <w:szCs w:val="24"/>
                <w:lang w:val="en-US"/>
              </w:rPr>
              <w:br/>
              <w:t>37</w:t>
            </w:r>
            <w:r w:rsidR="00BD53BF">
              <w:rPr>
                <w:rFonts w:ascii="Times New Roman" w:hAnsi="Times New Roman" w:cs="Times New Roman"/>
                <w:sz w:val="24"/>
                <w:szCs w:val="24"/>
                <w:lang w:val="en-US"/>
              </w:rPr>
              <w:br/>
              <w:t>37</w:t>
            </w:r>
            <w:r w:rsidR="00BD53BF">
              <w:rPr>
                <w:rFonts w:ascii="Times New Roman" w:hAnsi="Times New Roman" w:cs="Times New Roman"/>
                <w:sz w:val="24"/>
                <w:szCs w:val="24"/>
                <w:lang w:val="en-US"/>
              </w:rPr>
              <w:br/>
              <w:t>37</w:t>
            </w:r>
            <w:r w:rsidR="00BD53BF">
              <w:rPr>
                <w:rFonts w:ascii="Times New Roman" w:hAnsi="Times New Roman" w:cs="Times New Roman"/>
                <w:sz w:val="24"/>
                <w:szCs w:val="24"/>
                <w:lang w:val="en-US"/>
              </w:rPr>
              <w:br/>
              <w:t>38</w:t>
            </w:r>
            <w:r w:rsidR="00BD53BF">
              <w:rPr>
                <w:rFonts w:ascii="Times New Roman" w:hAnsi="Times New Roman" w:cs="Times New Roman"/>
                <w:sz w:val="24"/>
                <w:szCs w:val="24"/>
                <w:lang w:val="en-US"/>
              </w:rPr>
              <w:br/>
              <w:t>38</w:t>
            </w:r>
            <w:r w:rsidR="00BD53BF">
              <w:rPr>
                <w:rFonts w:ascii="Times New Roman" w:hAnsi="Times New Roman" w:cs="Times New Roman"/>
                <w:sz w:val="24"/>
                <w:szCs w:val="24"/>
                <w:lang w:val="en-US"/>
              </w:rPr>
              <w:br/>
              <w:t>39</w:t>
            </w:r>
            <w:r w:rsidR="00145DB4">
              <w:rPr>
                <w:rFonts w:ascii="Times New Roman" w:hAnsi="Times New Roman" w:cs="Times New Roman"/>
                <w:sz w:val="24"/>
                <w:szCs w:val="24"/>
                <w:lang w:val="en-US"/>
              </w:rPr>
              <w:br/>
            </w:r>
            <w:r w:rsidR="00145DB4">
              <w:rPr>
                <w:rFonts w:ascii="Times New Roman" w:hAnsi="Times New Roman" w:cs="Times New Roman"/>
                <w:sz w:val="24"/>
                <w:szCs w:val="24"/>
                <w:lang w:val="en-US"/>
              </w:rPr>
              <w:lastRenderedPageBreak/>
              <w:t>40</w:t>
            </w:r>
            <w:r w:rsidR="00145DB4">
              <w:rPr>
                <w:rFonts w:ascii="Times New Roman" w:hAnsi="Times New Roman" w:cs="Times New Roman"/>
                <w:sz w:val="24"/>
                <w:szCs w:val="24"/>
                <w:lang w:val="en-US"/>
              </w:rPr>
              <w:br/>
              <w:t>40</w:t>
            </w:r>
            <w:r w:rsidR="00145DB4">
              <w:rPr>
                <w:rFonts w:ascii="Times New Roman" w:hAnsi="Times New Roman" w:cs="Times New Roman"/>
                <w:sz w:val="24"/>
                <w:szCs w:val="24"/>
                <w:lang w:val="en-US"/>
              </w:rPr>
              <w:br/>
              <w:t>40</w:t>
            </w:r>
            <w:r w:rsidR="00145DB4">
              <w:rPr>
                <w:rFonts w:ascii="Times New Roman" w:hAnsi="Times New Roman" w:cs="Times New Roman"/>
                <w:sz w:val="24"/>
                <w:szCs w:val="24"/>
                <w:lang w:val="en-US"/>
              </w:rPr>
              <w:br/>
              <w:t>40</w:t>
            </w:r>
            <w:r w:rsidR="00145DB4">
              <w:rPr>
                <w:rFonts w:ascii="Times New Roman" w:hAnsi="Times New Roman" w:cs="Times New Roman"/>
                <w:sz w:val="24"/>
                <w:szCs w:val="24"/>
                <w:lang w:val="en-US"/>
              </w:rPr>
              <w:br/>
              <w:t>41</w:t>
            </w:r>
            <w:r w:rsidR="00145DB4">
              <w:rPr>
                <w:rFonts w:ascii="Times New Roman" w:hAnsi="Times New Roman" w:cs="Times New Roman"/>
                <w:sz w:val="24"/>
                <w:szCs w:val="24"/>
                <w:lang w:val="en-US"/>
              </w:rPr>
              <w:br/>
              <w:t>42</w:t>
            </w:r>
            <w:r w:rsidR="00145DB4">
              <w:rPr>
                <w:rFonts w:ascii="Times New Roman" w:hAnsi="Times New Roman" w:cs="Times New Roman"/>
                <w:sz w:val="24"/>
                <w:szCs w:val="24"/>
                <w:lang w:val="en-US"/>
              </w:rPr>
              <w:br/>
              <w:t>43</w:t>
            </w:r>
            <w:r w:rsidR="00145DB4">
              <w:rPr>
                <w:rFonts w:ascii="Times New Roman" w:hAnsi="Times New Roman" w:cs="Times New Roman"/>
                <w:sz w:val="24"/>
                <w:szCs w:val="24"/>
                <w:lang w:val="en-US"/>
              </w:rPr>
              <w:br/>
              <w:t>43</w:t>
            </w:r>
            <w:r w:rsidR="00145DB4">
              <w:rPr>
                <w:rFonts w:ascii="Times New Roman" w:hAnsi="Times New Roman" w:cs="Times New Roman"/>
                <w:sz w:val="24"/>
                <w:szCs w:val="24"/>
                <w:lang w:val="en-US"/>
              </w:rPr>
              <w:br/>
              <w:t>43</w:t>
            </w:r>
            <w:r w:rsidR="00145DB4">
              <w:rPr>
                <w:rFonts w:ascii="Times New Roman" w:hAnsi="Times New Roman" w:cs="Times New Roman"/>
                <w:sz w:val="24"/>
                <w:szCs w:val="24"/>
                <w:lang w:val="en-US"/>
              </w:rPr>
              <w:br/>
              <w:t>44</w:t>
            </w:r>
            <w:r w:rsidR="00145DB4">
              <w:rPr>
                <w:rFonts w:ascii="Times New Roman" w:hAnsi="Times New Roman" w:cs="Times New Roman"/>
                <w:sz w:val="24"/>
                <w:szCs w:val="24"/>
                <w:lang w:val="en-US"/>
              </w:rPr>
              <w:br/>
              <w:t>44</w:t>
            </w:r>
            <w:r w:rsidR="00145DB4">
              <w:rPr>
                <w:rFonts w:ascii="Times New Roman" w:hAnsi="Times New Roman" w:cs="Times New Roman"/>
                <w:sz w:val="24"/>
                <w:szCs w:val="24"/>
                <w:lang w:val="en-US"/>
              </w:rPr>
              <w:br/>
              <w:t>44</w:t>
            </w:r>
            <w:r w:rsidR="00145DB4">
              <w:rPr>
                <w:rFonts w:ascii="Times New Roman" w:hAnsi="Times New Roman" w:cs="Times New Roman"/>
                <w:sz w:val="24"/>
                <w:szCs w:val="24"/>
                <w:lang w:val="en-US"/>
              </w:rPr>
              <w:br/>
              <w:t>45</w:t>
            </w:r>
            <w:r w:rsidR="00145DB4">
              <w:rPr>
                <w:rFonts w:ascii="Times New Roman" w:hAnsi="Times New Roman" w:cs="Times New Roman"/>
                <w:sz w:val="24"/>
                <w:szCs w:val="24"/>
                <w:lang w:val="en-US"/>
              </w:rPr>
              <w:br/>
              <w:t>45</w:t>
            </w:r>
            <w:r w:rsidR="00145DB4">
              <w:rPr>
                <w:rFonts w:ascii="Times New Roman" w:hAnsi="Times New Roman" w:cs="Times New Roman"/>
                <w:sz w:val="24"/>
                <w:szCs w:val="24"/>
                <w:lang w:val="en-US"/>
              </w:rPr>
              <w:br/>
              <w:t>45</w:t>
            </w:r>
            <w:r w:rsidR="00145DB4">
              <w:rPr>
                <w:rFonts w:ascii="Times New Roman" w:hAnsi="Times New Roman" w:cs="Times New Roman"/>
                <w:sz w:val="24"/>
                <w:szCs w:val="24"/>
                <w:lang w:val="en-US"/>
              </w:rPr>
              <w:br/>
              <w:t>45</w:t>
            </w:r>
            <w:r w:rsidR="00145DB4">
              <w:rPr>
                <w:rFonts w:ascii="Times New Roman" w:hAnsi="Times New Roman" w:cs="Times New Roman"/>
                <w:sz w:val="24"/>
                <w:szCs w:val="24"/>
                <w:lang w:val="en-US"/>
              </w:rPr>
              <w:br/>
              <w:t>46</w:t>
            </w:r>
            <w:r w:rsidR="00145DB4">
              <w:rPr>
                <w:rFonts w:ascii="Times New Roman" w:hAnsi="Times New Roman" w:cs="Times New Roman"/>
                <w:sz w:val="24"/>
                <w:szCs w:val="24"/>
                <w:lang w:val="en-US"/>
              </w:rPr>
              <w:br/>
              <w:t>46</w:t>
            </w:r>
            <w:r w:rsidR="00145DB4">
              <w:rPr>
                <w:rFonts w:ascii="Times New Roman" w:hAnsi="Times New Roman" w:cs="Times New Roman"/>
                <w:sz w:val="24"/>
                <w:szCs w:val="24"/>
                <w:lang w:val="en-US"/>
              </w:rPr>
              <w:br/>
              <w:t>46</w:t>
            </w:r>
            <w:r w:rsidR="00145DB4">
              <w:rPr>
                <w:rFonts w:ascii="Times New Roman" w:hAnsi="Times New Roman" w:cs="Times New Roman"/>
                <w:sz w:val="24"/>
                <w:szCs w:val="24"/>
                <w:lang w:val="en-US"/>
              </w:rPr>
              <w:br/>
              <w:t>47</w:t>
            </w:r>
            <w:r w:rsidR="00145DB4">
              <w:rPr>
                <w:rFonts w:ascii="Times New Roman" w:hAnsi="Times New Roman" w:cs="Times New Roman"/>
                <w:sz w:val="24"/>
                <w:szCs w:val="24"/>
                <w:lang w:val="en-US"/>
              </w:rPr>
              <w:br/>
              <w:t>48</w:t>
            </w:r>
            <w:r w:rsidR="00145DB4">
              <w:rPr>
                <w:rFonts w:ascii="Times New Roman" w:hAnsi="Times New Roman" w:cs="Times New Roman"/>
                <w:sz w:val="24"/>
                <w:szCs w:val="24"/>
                <w:lang w:val="en-US"/>
              </w:rPr>
              <w:br/>
              <w:t>48</w:t>
            </w:r>
            <w:r w:rsidR="00145DB4">
              <w:rPr>
                <w:rFonts w:ascii="Times New Roman" w:hAnsi="Times New Roman" w:cs="Times New Roman"/>
                <w:sz w:val="24"/>
                <w:szCs w:val="24"/>
                <w:lang w:val="en-US"/>
              </w:rPr>
              <w:br/>
              <w:t>49</w:t>
            </w:r>
            <w:r w:rsidR="00145DB4">
              <w:rPr>
                <w:rFonts w:ascii="Times New Roman" w:hAnsi="Times New Roman" w:cs="Times New Roman"/>
                <w:sz w:val="24"/>
                <w:szCs w:val="24"/>
                <w:lang w:val="en-US"/>
              </w:rPr>
              <w:br/>
              <w:t>49</w:t>
            </w:r>
            <w:r w:rsidR="00145DB4">
              <w:rPr>
                <w:rFonts w:ascii="Times New Roman" w:hAnsi="Times New Roman" w:cs="Times New Roman"/>
                <w:sz w:val="24"/>
                <w:szCs w:val="24"/>
                <w:lang w:val="en-US"/>
              </w:rPr>
              <w:br/>
              <w:t>50</w:t>
            </w:r>
            <w:r w:rsidR="00145DB4">
              <w:rPr>
                <w:rFonts w:ascii="Times New Roman" w:hAnsi="Times New Roman" w:cs="Times New Roman"/>
                <w:sz w:val="24"/>
                <w:szCs w:val="24"/>
                <w:lang w:val="en-US"/>
              </w:rPr>
              <w:br/>
              <w:t>50</w:t>
            </w:r>
            <w:r w:rsidR="00145DB4">
              <w:rPr>
                <w:rFonts w:ascii="Times New Roman" w:hAnsi="Times New Roman" w:cs="Times New Roman"/>
                <w:sz w:val="24"/>
                <w:szCs w:val="24"/>
                <w:lang w:val="en-US"/>
              </w:rPr>
              <w:br/>
              <w:t>51</w:t>
            </w:r>
            <w:r w:rsidR="00145DB4">
              <w:rPr>
                <w:rFonts w:ascii="Times New Roman" w:hAnsi="Times New Roman" w:cs="Times New Roman"/>
                <w:sz w:val="24"/>
                <w:szCs w:val="24"/>
                <w:lang w:val="en-US"/>
              </w:rPr>
              <w:br/>
              <w:t>51</w:t>
            </w:r>
            <w:r w:rsidR="00145DB4">
              <w:rPr>
                <w:rFonts w:ascii="Times New Roman" w:hAnsi="Times New Roman" w:cs="Times New Roman"/>
                <w:sz w:val="24"/>
                <w:szCs w:val="24"/>
                <w:lang w:val="en-US"/>
              </w:rPr>
              <w:br/>
              <w:t>52</w:t>
            </w:r>
            <w:r w:rsidR="00145DB4">
              <w:rPr>
                <w:rFonts w:ascii="Times New Roman" w:hAnsi="Times New Roman" w:cs="Times New Roman"/>
                <w:sz w:val="24"/>
                <w:szCs w:val="24"/>
                <w:lang w:val="en-US"/>
              </w:rPr>
              <w:br/>
              <w:t>52</w:t>
            </w:r>
            <w:r w:rsidR="00145DB4">
              <w:rPr>
                <w:rFonts w:ascii="Times New Roman" w:hAnsi="Times New Roman" w:cs="Times New Roman"/>
                <w:sz w:val="24"/>
                <w:szCs w:val="24"/>
                <w:lang w:val="en-US"/>
              </w:rPr>
              <w:br/>
              <w:t>53</w:t>
            </w:r>
            <w:r w:rsidR="00145DB4">
              <w:rPr>
                <w:rFonts w:ascii="Times New Roman" w:hAnsi="Times New Roman" w:cs="Times New Roman"/>
                <w:sz w:val="24"/>
                <w:szCs w:val="24"/>
                <w:lang w:val="en-US"/>
              </w:rPr>
              <w:br/>
              <w:t>53</w:t>
            </w:r>
            <w:r w:rsidR="00145DB4">
              <w:rPr>
                <w:rFonts w:ascii="Times New Roman" w:hAnsi="Times New Roman" w:cs="Times New Roman"/>
                <w:sz w:val="24"/>
                <w:szCs w:val="24"/>
                <w:lang w:val="en-US"/>
              </w:rPr>
              <w:br/>
              <w:t>53</w:t>
            </w:r>
            <w:r w:rsidR="00145DB4">
              <w:rPr>
                <w:rFonts w:ascii="Times New Roman" w:hAnsi="Times New Roman" w:cs="Times New Roman"/>
                <w:sz w:val="24"/>
                <w:szCs w:val="24"/>
                <w:lang w:val="en-US"/>
              </w:rPr>
              <w:br/>
              <w:t>54</w:t>
            </w:r>
            <w:r w:rsidR="00145DB4">
              <w:rPr>
                <w:rFonts w:ascii="Times New Roman" w:hAnsi="Times New Roman" w:cs="Times New Roman"/>
                <w:sz w:val="24"/>
                <w:szCs w:val="24"/>
                <w:lang w:val="en-US"/>
              </w:rPr>
              <w:br/>
              <w:t>54</w:t>
            </w:r>
            <w:r w:rsidR="00145DB4">
              <w:rPr>
                <w:rFonts w:ascii="Times New Roman" w:hAnsi="Times New Roman" w:cs="Times New Roman"/>
                <w:sz w:val="24"/>
                <w:szCs w:val="24"/>
                <w:lang w:val="en-US"/>
              </w:rPr>
              <w:br/>
              <w:t>55</w:t>
            </w:r>
            <w:r w:rsidR="00145DB4">
              <w:rPr>
                <w:rFonts w:ascii="Times New Roman" w:hAnsi="Times New Roman" w:cs="Times New Roman"/>
                <w:sz w:val="24"/>
                <w:szCs w:val="24"/>
                <w:lang w:val="en-US"/>
              </w:rPr>
              <w:br/>
              <w:t>56</w:t>
            </w:r>
            <w:r w:rsidR="00145DB4">
              <w:rPr>
                <w:rFonts w:ascii="Times New Roman" w:hAnsi="Times New Roman" w:cs="Times New Roman"/>
                <w:sz w:val="24"/>
                <w:szCs w:val="24"/>
                <w:lang w:val="en-US"/>
              </w:rPr>
              <w:br/>
              <w:t>56</w:t>
            </w:r>
            <w:r w:rsidR="00145DB4">
              <w:rPr>
                <w:rFonts w:ascii="Times New Roman" w:hAnsi="Times New Roman" w:cs="Times New Roman"/>
                <w:sz w:val="24"/>
                <w:szCs w:val="24"/>
                <w:lang w:val="en-US"/>
              </w:rPr>
              <w:br/>
              <w:t>56</w:t>
            </w:r>
            <w:r w:rsidR="00145DB4">
              <w:rPr>
                <w:rFonts w:ascii="Times New Roman" w:hAnsi="Times New Roman" w:cs="Times New Roman"/>
                <w:sz w:val="24"/>
                <w:szCs w:val="24"/>
                <w:lang w:val="en-US"/>
              </w:rPr>
              <w:br/>
              <w:t>57</w:t>
            </w:r>
            <w:r w:rsidR="00145DB4">
              <w:rPr>
                <w:rFonts w:ascii="Times New Roman" w:hAnsi="Times New Roman" w:cs="Times New Roman"/>
                <w:sz w:val="24"/>
                <w:szCs w:val="24"/>
                <w:lang w:val="en-US"/>
              </w:rPr>
              <w:br/>
              <w:t>58</w:t>
            </w:r>
            <w:r w:rsidR="00145DB4">
              <w:rPr>
                <w:rFonts w:ascii="Times New Roman" w:hAnsi="Times New Roman" w:cs="Times New Roman"/>
                <w:sz w:val="24"/>
                <w:szCs w:val="24"/>
                <w:lang w:val="en-US"/>
              </w:rPr>
              <w:br/>
              <w:t>60</w:t>
            </w:r>
            <w:r w:rsidR="00145DB4">
              <w:rPr>
                <w:rFonts w:ascii="Times New Roman" w:hAnsi="Times New Roman" w:cs="Times New Roman"/>
                <w:sz w:val="24"/>
                <w:szCs w:val="24"/>
                <w:lang w:val="en-US"/>
              </w:rPr>
              <w:br/>
            </w:r>
            <w:r w:rsidR="00145DB4">
              <w:rPr>
                <w:rFonts w:ascii="Times New Roman" w:hAnsi="Times New Roman" w:cs="Times New Roman"/>
                <w:sz w:val="24"/>
                <w:szCs w:val="24"/>
                <w:lang w:val="en-US"/>
              </w:rPr>
              <w:br/>
              <w:t>70</w:t>
            </w:r>
            <w:r w:rsidRPr="00DA6899">
              <w:rPr>
                <w:rFonts w:ascii="Times New Roman" w:hAnsi="Times New Roman" w:cs="Times New Roman"/>
                <w:sz w:val="24"/>
                <w:szCs w:val="24"/>
                <w:lang w:val="en-US"/>
              </w:rPr>
              <w:br/>
            </w:r>
          </w:p>
        </w:tc>
      </w:tr>
    </w:tbl>
    <w:p w:rsidR="00AE6BCB" w:rsidRDefault="00BB006D" w:rsidP="00537A73">
      <w:pPr>
        <w:pStyle w:val="Nagwek1"/>
        <w:numPr>
          <w:ilvl w:val="0"/>
          <w:numId w:val="0"/>
        </w:numPr>
        <w:spacing w:line="276" w:lineRule="auto"/>
        <w:rPr>
          <w:szCs w:val="24"/>
          <w:lang w:val="pl-PL"/>
        </w:rPr>
      </w:pPr>
      <w:bookmarkStart w:id="1" w:name="__RefHeading__31890_2082197896"/>
      <w:bookmarkStart w:id="2" w:name="_Toc69477673"/>
      <w:bookmarkStart w:id="3" w:name="_Toc69372221"/>
      <w:bookmarkEnd w:id="1"/>
      <w:r>
        <w:rPr>
          <w:color w:val="0070C0"/>
          <w:lang w:val="pl-PL"/>
        </w:rPr>
        <w:lastRenderedPageBreak/>
        <w:br/>
      </w:r>
      <w:r>
        <w:rPr>
          <w:color w:val="0070C0"/>
          <w:lang w:val="pl-PL"/>
        </w:rPr>
        <w:br/>
      </w:r>
      <w:r>
        <w:rPr>
          <w:color w:val="0070C0"/>
          <w:lang w:val="pl-PL"/>
        </w:rPr>
        <w:br/>
      </w:r>
      <w:r w:rsidR="00CF196C">
        <w:rPr>
          <w:color w:val="0070C0"/>
          <w:lang w:val="pl-PL"/>
        </w:rPr>
        <w:lastRenderedPageBreak/>
        <w:t xml:space="preserve">I. </w:t>
      </w:r>
      <w:r w:rsidR="00AE6BCB">
        <w:rPr>
          <w:color w:val="0070C0"/>
          <w:lang w:val="pl-PL"/>
        </w:rPr>
        <w:t>WSTĘP</w:t>
      </w:r>
      <w:bookmarkEnd w:id="2"/>
      <w:bookmarkEnd w:id="3"/>
      <w:r w:rsidR="00AE6BCB">
        <w:rPr>
          <w:color w:val="0070C0"/>
          <w:lang w:val="pl-PL"/>
        </w:rPr>
        <w:t xml:space="preserve"> </w:t>
      </w:r>
    </w:p>
    <w:p w:rsidR="00AE6BCB" w:rsidRDefault="00AE6BCB">
      <w:pPr>
        <w:pStyle w:val="ListParagraph"/>
        <w:ind w:left="0" w:firstLine="425"/>
        <w:jc w:val="both"/>
        <w:rPr>
          <w:lang w:val="pl-PL"/>
        </w:rPr>
      </w:pPr>
      <w:r>
        <w:rPr>
          <w:lang w:val="pl-PL"/>
        </w:rPr>
        <w:t>Obowiązek przygotowania „Raportu o stanie gminy za 2020 rok” wynika z art. 28 aa ustawy o samorządzie gminnym. Rada Miasta Torunia, uchwałą nr 57/19 z dnia 7 lutego 2019 r. w sprawie szczegółowych wymogów dotyczących raportu o stanie gminy</w:t>
      </w:r>
      <w:r>
        <w:rPr>
          <w:i/>
          <w:lang w:val="pl-PL"/>
        </w:rPr>
        <w:t>,</w:t>
      </w:r>
      <w:r>
        <w:rPr>
          <w:lang w:val="pl-PL"/>
        </w:rPr>
        <w:t xml:space="preserve"> wyznaczyła obszary działalności Gminy Miasta Toruń, z których w szczególności powinien być składany doroczny raport o stanie gminy:</w:t>
      </w:r>
    </w:p>
    <w:p w:rsidR="00AE6BCB" w:rsidRDefault="00AE6BCB">
      <w:pPr>
        <w:pStyle w:val="ListParagraph"/>
        <w:numPr>
          <w:ilvl w:val="0"/>
          <w:numId w:val="2"/>
        </w:numPr>
        <w:jc w:val="both"/>
        <w:rPr>
          <w:lang w:val="pl-PL"/>
        </w:rPr>
      </w:pPr>
      <w:r>
        <w:rPr>
          <w:lang w:val="pl-PL"/>
        </w:rPr>
        <w:t>zarządzanie i struktura organizacyjna,</w:t>
      </w:r>
    </w:p>
    <w:p w:rsidR="00AE6BCB" w:rsidRDefault="00AE6BCB">
      <w:pPr>
        <w:pStyle w:val="ListParagraph"/>
        <w:numPr>
          <w:ilvl w:val="0"/>
          <w:numId w:val="2"/>
        </w:numPr>
        <w:jc w:val="both"/>
        <w:rPr>
          <w:lang w:val="pl-PL"/>
        </w:rPr>
      </w:pPr>
      <w:r>
        <w:rPr>
          <w:lang w:val="pl-PL"/>
        </w:rPr>
        <w:t>finanse,</w:t>
      </w:r>
    </w:p>
    <w:p w:rsidR="00AE6BCB" w:rsidRDefault="00AE6BCB">
      <w:pPr>
        <w:pStyle w:val="ListParagraph"/>
        <w:numPr>
          <w:ilvl w:val="0"/>
          <w:numId w:val="2"/>
        </w:numPr>
        <w:jc w:val="both"/>
        <w:rPr>
          <w:lang w:val="pl-PL"/>
        </w:rPr>
      </w:pPr>
      <w:r>
        <w:rPr>
          <w:lang w:val="pl-PL"/>
        </w:rPr>
        <w:t>partycypacja społeczna i budżet obywatelski,</w:t>
      </w:r>
    </w:p>
    <w:p w:rsidR="00AE6BCB" w:rsidRDefault="00AE6BCB">
      <w:pPr>
        <w:pStyle w:val="ListParagraph"/>
        <w:numPr>
          <w:ilvl w:val="0"/>
          <w:numId w:val="2"/>
        </w:numPr>
        <w:jc w:val="both"/>
        <w:rPr>
          <w:lang w:val="pl-PL"/>
        </w:rPr>
      </w:pPr>
      <w:r>
        <w:rPr>
          <w:lang w:val="pl-PL"/>
        </w:rPr>
        <w:t>demografia,</w:t>
      </w:r>
    </w:p>
    <w:p w:rsidR="00AE6BCB" w:rsidRDefault="00AE6BCB">
      <w:pPr>
        <w:pStyle w:val="ListParagraph"/>
        <w:numPr>
          <w:ilvl w:val="0"/>
          <w:numId w:val="2"/>
        </w:numPr>
        <w:jc w:val="both"/>
        <w:rPr>
          <w:lang w:val="pl-PL"/>
        </w:rPr>
      </w:pPr>
      <w:r>
        <w:rPr>
          <w:lang w:val="pl-PL"/>
        </w:rPr>
        <w:t>lokalny rynek pracy, współpraca z uczelniami wyższymi,</w:t>
      </w:r>
    </w:p>
    <w:p w:rsidR="00AE6BCB" w:rsidRDefault="00AE6BCB">
      <w:pPr>
        <w:pStyle w:val="ListParagraph"/>
        <w:numPr>
          <w:ilvl w:val="0"/>
          <w:numId w:val="2"/>
        </w:numPr>
        <w:jc w:val="both"/>
        <w:rPr>
          <w:lang w:val="pl-PL"/>
        </w:rPr>
      </w:pPr>
      <w:r>
        <w:rPr>
          <w:lang w:val="pl-PL"/>
        </w:rPr>
        <w:t>polityka społeczna i działania na rzecz rodziny, seniorów i osób niepełnosprawnych,</w:t>
      </w:r>
    </w:p>
    <w:p w:rsidR="00AE6BCB" w:rsidRDefault="00AE6BCB">
      <w:pPr>
        <w:pStyle w:val="ListParagraph"/>
        <w:numPr>
          <w:ilvl w:val="0"/>
          <w:numId w:val="2"/>
        </w:numPr>
        <w:jc w:val="both"/>
        <w:rPr>
          <w:lang w:val="pl-PL"/>
        </w:rPr>
      </w:pPr>
      <w:r>
        <w:rPr>
          <w:lang w:val="pl-PL"/>
        </w:rPr>
        <w:t>ochrona zdrowia,</w:t>
      </w:r>
    </w:p>
    <w:p w:rsidR="00AE6BCB" w:rsidRDefault="00AE6BCB">
      <w:pPr>
        <w:pStyle w:val="ListParagraph"/>
        <w:numPr>
          <w:ilvl w:val="0"/>
          <w:numId w:val="2"/>
        </w:numPr>
        <w:jc w:val="both"/>
        <w:rPr>
          <w:lang w:val="pl-PL"/>
        </w:rPr>
      </w:pPr>
      <w:r>
        <w:rPr>
          <w:lang w:val="pl-PL"/>
        </w:rPr>
        <w:t>oświata i wychowanie,</w:t>
      </w:r>
    </w:p>
    <w:p w:rsidR="00AE6BCB" w:rsidRDefault="00AE6BCB">
      <w:pPr>
        <w:pStyle w:val="ListParagraph"/>
        <w:numPr>
          <w:ilvl w:val="0"/>
          <w:numId w:val="2"/>
        </w:numPr>
        <w:jc w:val="both"/>
        <w:rPr>
          <w:lang w:val="pl-PL"/>
        </w:rPr>
      </w:pPr>
      <w:r>
        <w:rPr>
          <w:lang w:val="pl-PL"/>
        </w:rPr>
        <w:t>bezpieczeństwo i porządek publiczny,</w:t>
      </w:r>
    </w:p>
    <w:p w:rsidR="00AE6BCB" w:rsidRDefault="00AE6BCB">
      <w:pPr>
        <w:pStyle w:val="ListParagraph"/>
        <w:numPr>
          <w:ilvl w:val="0"/>
          <w:numId w:val="2"/>
        </w:numPr>
        <w:jc w:val="both"/>
        <w:rPr>
          <w:lang w:val="pl-PL"/>
        </w:rPr>
      </w:pPr>
      <w:r>
        <w:rPr>
          <w:lang w:val="pl-PL"/>
        </w:rPr>
        <w:t>mieszkalnictwo,</w:t>
      </w:r>
    </w:p>
    <w:p w:rsidR="00AE6BCB" w:rsidRDefault="00AE6BCB">
      <w:pPr>
        <w:pStyle w:val="ListParagraph"/>
        <w:numPr>
          <w:ilvl w:val="0"/>
          <w:numId w:val="2"/>
        </w:numPr>
        <w:jc w:val="both"/>
        <w:rPr>
          <w:lang w:val="pl-PL"/>
        </w:rPr>
      </w:pPr>
      <w:r>
        <w:rPr>
          <w:lang w:val="pl-PL"/>
        </w:rPr>
        <w:t>ochrona środowiska naturalnego,</w:t>
      </w:r>
    </w:p>
    <w:p w:rsidR="00AE6BCB" w:rsidRDefault="00AE6BCB">
      <w:pPr>
        <w:pStyle w:val="ListParagraph"/>
        <w:numPr>
          <w:ilvl w:val="0"/>
          <w:numId w:val="2"/>
        </w:numPr>
        <w:jc w:val="both"/>
        <w:rPr>
          <w:lang w:val="pl-PL"/>
        </w:rPr>
      </w:pPr>
      <w:r>
        <w:rPr>
          <w:lang w:val="pl-PL"/>
        </w:rPr>
        <w:t>kultura, ochrona dziedzictwa kulturowego i turystyka,</w:t>
      </w:r>
    </w:p>
    <w:p w:rsidR="00AE6BCB" w:rsidRDefault="00AE6BCB">
      <w:pPr>
        <w:pStyle w:val="ListParagraph"/>
        <w:numPr>
          <w:ilvl w:val="0"/>
          <w:numId w:val="2"/>
        </w:numPr>
        <w:jc w:val="both"/>
        <w:rPr>
          <w:lang w:val="pl-PL"/>
        </w:rPr>
      </w:pPr>
      <w:r>
        <w:rPr>
          <w:lang w:val="pl-PL"/>
        </w:rPr>
        <w:t>sport i rekreacja,</w:t>
      </w:r>
    </w:p>
    <w:p w:rsidR="00AE6BCB" w:rsidRDefault="00AE6BCB">
      <w:pPr>
        <w:pStyle w:val="ListParagraph"/>
        <w:numPr>
          <w:ilvl w:val="0"/>
          <w:numId w:val="2"/>
        </w:numPr>
        <w:jc w:val="both"/>
        <w:rPr>
          <w:lang w:val="pl-PL"/>
        </w:rPr>
      </w:pPr>
      <w:r>
        <w:rPr>
          <w:lang w:val="pl-PL"/>
        </w:rPr>
        <w:t>infrastruktura techniczna.</w:t>
      </w:r>
    </w:p>
    <w:p w:rsidR="00AE6BCB" w:rsidRDefault="00AE6BCB">
      <w:pPr>
        <w:pStyle w:val="ListParagraph"/>
        <w:ind w:left="0" w:firstLine="425"/>
        <w:jc w:val="both"/>
        <w:rPr>
          <w:lang w:val="pl-PL"/>
        </w:rPr>
      </w:pPr>
      <w:r>
        <w:rPr>
          <w:lang w:val="pl-PL"/>
        </w:rPr>
        <w:t>Niniejsze opracowanie stanowi syntetyczną informację o działaniach jakie Gminy Miasta Toruń realizowała w 2020 roku w najważniejszych obszarach funkcjonowania miasta.</w:t>
      </w:r>
    </w:p>
    <w:p w:rsidR="00AE6BCB" w:rsidRDefault="00AE6BCB">
      <w:pPr>
        <w:pStyle w:val="ListParagraph"/>
        <w:ind w:left="0" w:firstLine="425"/>
        <w:jc w:val="both"/>
        <w:rPr>
          <w:lang w:val="pl-PL"/>
        </w:rPr>
      </w:pPr>
    </w:p>
    <w:p w:rsidR="00AE6BCB" w:rsidRDefault="00CF196C" w:rsidP="00CF196C">
      <w:pPr>
        <w:pStyle w:val="Nagwek1"/>
        <w:numPr>
          <w:ilvl w:val="0"/>
          <w:numId w:val="0"/>
        </w:numPr>
        <w:spacing w:line="276" w:lineRule="auto"/>
        <w:ind w:left="432" w:hanging="432"/>
        <w:rPr>
          <w:lang w:val="pl-PL"/>
        </w:rPr>
      </w:pPr>
      <w:bookmarkStart w:id="4" w:name="__RefHeading__31892_2082197896"/>
      <w:bookmarkStart w:id="5" w:name="_Toc69477674"/>
      <w:bookmarkStart w:id="6" w:name="_Toc69372222"/>
      <w:bookmarkEnd w:id="4"/>
      <w:r>
        <w:rPr>
          <w:color w:val="0070C0"/>
          <w:lang w:val="pl-PL"/>
        </w:rPr>
        <w:t xml:space="preserve">II. </w:t>
      </w:r>
      <w:r w:rsidR="00F155F0">
        <w:rPr>
          <w:color w:val="0070C0"/>
          <w:lang w:val="pl-PL"/>
        </w:rPr>
        <w:t xml:space="preserve">ZARZĄDZANIE I STRUKTURA </w:t>
      </w:r>
      <w:r w:rsidR="00AE6BCB">
        <w:rPr>
          <w:color w:val="0070C0"/>
          <w:lang w:val="pl-PL"/>
        </w:rPr>
        <w:t>ORGANIZACYJNA</w:t>
      </w:r>
      <w:bookmarkEnd w:id="5"/>
      <w:bookmarkEnd w:id="6"/>
    </w:p>
    <w:p w:rsidR="00AE6BCB" w:rsidRDefault="00AE6BCB" w:rsidP="003E4FE0">
      <w:pPr>
        <w:pStyle w:val="NormalWeb"/>
        <w:spacing w:before="0" w:after="0" w:line="240" w:lineRule="auto"/>
        <w:ind w:firstLine="357"/>
        <w:jc w:val="both"/>
        <w:rPr>
          <w:lang w:val="pl-PL"/>
        </w:rPr>
      </w:pPr>
      <w:r>
        <w:rPr>
          <w:lang w:val="pl-PL"/>
        </w:rPr>
        <w:t xml:space="preserve">Organami Gminy Miasta Toruń jest Rada Miasta Torunia, składająca się z 25 radnych oraz Prezydent Miasta Torunia. Rada, będąca organem stanowiącym, pełni funkcję uchwałodawczą oraz kontrolną. Kontroluje działalność prezydenta, gminnych jednostek organizacyjnych oraz jednostek pomocniczych gminy, poprzez powołaną w tym celu Komisję Rewizyjną. Rozpatruje również skargi na działania prezydenta oraz kierowników gminnych jednostek organizacyjnych, a także wnioski oraz petycje składane przez mieszkańców miasta (Komisja Skarg, Wniosków i Petycji). Ponadto, Rada  na kadencję 2018-2023 powołała </w:t>
      </w:r>
      <w:r w:rsidR="00CF196C">
        <w:rPr>
          <w:lang w:val="pl-PL"/>
        </w:rPr>
        <w:br/>
      </w:r>
      <w:r>
        <w:rPr>
          <w:lang w:val="pl-PL"/>
        </w:rPr>
        <w:t xml:space="preserve">7 innych Komisji, którym zostały przypisane konkretne zakresy zadań, tj. Komisja Rozwoju Miasta; Komisja Kultury, Turystyki i Promocji; Komisja Oświaty i Sportu; Komisja Bezpieczeństwa i Porządku Publicznego; Komisja Zdrowia i Rodziny; Komisja Gospodarki Komunalnej oraz Komisja Budżetu. </w:t>
      </w:r>
    </w:p>
    <w:p w:rsidR="009C7C02" w:rsidRDefault="00AE6BCB" w:rsidP="003E4FE0">
      <w:pPr>
        <w:pStyle w:val="NormalWeb"/>
        <w:spacing w:before="0" w:after="0" w:line="240" w:lineRule="auto"/>
        <w:ind w:firstLine="357"/>
        <w:jc w:val="both"/>
        <w:rPr>
          <w:color w:val="FF0000"/>
          <w:lang w:val="pl-PL"/>
        </w:rPr>
      </w:pPr>
      <w:r>
        <w:rPr>
          <w:lang w:val="pl-PL"/>
        </w:rPr>
        <w:t xml:space="preserve">Prezydent, stanowiący władzę wykonawczą, reprezentuje miasto na zewnątrz, jest odpowiedzialny za realizację uchwał Rady Miasta oraz zadań przypisanych dla miasta, zgodnie ze statutem Gminy oraz przepisami prawa. Działalność Prezydenta wspomagana jest przez trzech Zastępców, Skarbnika Miasta oraz Sekretarza Miasta. </w:t>
      </w:r>
    </w:p>
    <w:p w:rsidR="00AE6BCB" w:rsidRDefault="00AE6BCB" w:rsidP="00722EC6">
      <w:pPr>
        <w:pStyle w:val="NormalWeb"/>
        <w:spacing w:before="0" w:after="0" w:line="240" w:lineRule="auto"/>
        <w:ind w:firstLine="357"/>
        <w:jc w:val="both"/>
        <w:rPr>
          <w:lang w:val="pl-PL"/>
        </w:rPr>
      </w:pPr>
      <w:r>
        <w:rPr>
          <w:lang w:val="pl-PL"/>
        </w:rPr>
        <w:t xml:space="preserve">Według stanu na 31 grudnia 2020 r. zadania Gminy realizowane były przez: 89 jednostek budżetowych, 2 zakłady budżetowe, 8 instytucji kultury, 3 samodzielne publiczne zakłady opieki zdrowotnej, 4 jednostki powiatowej administracji zespolonej (wykaz jednostek – załącznik nr 3 do Regulaminu Organizacyjnego UMT, Zarządzenie PMT nr 378/2013 z dnia 30 października 2013r. z późn. zm.). Ponadto, Gmina posiada 100% udziałów w 7 spółkach prawa handlowego (Miejskie Przedsiębiorstwo Oczyszczania Sp. z o.o., Miejski Zakład Komunikacji w Toruniu Sp. z o.o., Toruńskie Wodociągi Sp. o.o., Toruńskie Towarzystwo Budownictwa Społecznego Sp. z o.o., CK Jordanki Sp. z o.o., Urbitor Sp. z o.o., Toruńska Infrastruktura Sportowa Sp. z o.o.) oraz jest kapitałowo zaangażowana w 5 spółkach (Toruński Fundusz Poręczeń Kredytowych Sp. z o.o., Toruńska Agencja Rozwoju </w:t>
      </w:r>
      <w:r>
        <w:rPr>
          <w:lang w:val="pl-PL"/>
        </w:rPr>
        <w:lastRenderedPageBreak/>
        <w:t xml:space="preserve">Regionalnego S.A., PGE Toruń S.A., Port Lotniczy Bydgoszcz S.A. oraz KS Toruń Hokejowa S.A.). </w:t>
      </w:r>
    </w:p>
    <w:p w:rsidR="00AE6BCB" w:rsidRDefault="00AE6BCB" w:rsidP="009C7C02">
      <w:pPr>
        <w:pStyle w:val="NormalWeb"/>
        <w:spacing w:before="0" w:after="0" w:line="240" w:lineRule="auto"/>
        <w:ind w:firstLine="357"/>
        <w:jc w:val="both"/>
        <w:rPr>
          <w:lang w:val="pl-PL"/>
        </w:rPr>
      </w:pPr>
    </w:p>
    <w:p w:rsidR="00AE6BCB" w:rsidRPr="00722EC6" w:rsidRDefault="00CF196C" w:rsidP="00CF196C">
      <w:pPr>
        <w:pStyle w:val="ListParagraph"/>
        <w:spacing w:line="240" w:lineRule="auto"/>
        <w:ind w:left="0"/>
        <w:jc w:val="both"/>
      </w:pPr>
      <w:r>
        <w:rPr>
          <w:b/>
          <w:color w:val="0070C0"/>
        </w:rPr>
        <w:t xml:space="preserve">III. </w:t>
      </w:r>
      <w:r w:rsidR="00AE6BCB" w:rsidRPr="00722EC6">
        <w:rPr>
          <w:b/>
          <w:color w:val="0070C0"/>
        </w:rPr>
        <w:t xml:space="preserve">ROK 2020 – ROKIEM EPIDEMII COVID-19 </w:t>
      </w:r>
    </w:p>
    <w:p w:rsidR="005E0D1B" w:rsidRDefault="005E0D1B" w:rsidP="009C7C02">
      <w:pPr>
        <w:spacing w:line="240" w:lineRule="auto"/>
        <w:jc w:val="both"/>
        <w:rPr>
          <w:b/>
          <w:bCs/>
        </w:rPr>
      </w:pPr>
      <w:r>
        <w:rPr>
          <w:b/>
        </w:rPr>
        <w:t>Najważniejsze daty</w:t>
      </w:r>
    </w:p>
    <w:p w:rsidR="00AE6BCB" w:rsidRPr="005E0D1B" w:rsidRDefault="00AE6BCB" w:rsidP="00912BD8">
      <w:pPr>
        <w:numPr>
          <w:ilvl w:val="0"/>
          <w:numId w:val="58"/>
        </w:numPr>
        <w:spacing w:line="240" w:lineRule="auto"/>
        <w:jc w:val="both"/>
        <w:rPr>
          <w:b/>
          <w:bCs/>
        </w:rPr>
      </w:pPr>
      <w:r w:rsidRPr="00722EC6">
        <w:rPr>
          <w:b/>
          <w:bCs/>
        </w:rPr>
        <w:t xml:space="preserve">4 marca 2020 r. </w:t>
      </w:r>
      <w:r w:rsidRPr="00722EC6">
        <w:t>– pierwszy przypadek zakażenia w Polsce;</w:t>
      </w:r>
    </w:p>
    <w:p w:rsidR="00AE6BCB" w:rsidRPr="005E0D1B" w:rsidRDefault="00AE6BCB" w:rsidP="00912BD8">
      <w:pPr>
        <w:numPr>
          <w:ilvl w:val="0"/>
          <w:numId w:val="58"/>
        </w:numPr>
        <w:spacing w:line="240" w:lineRule="auto"/>
        <w:jc w:val="both"/>
        <w:rPr>
          <w:b/>
          <w:bCs/>
        </w:rPr>
      </w:pPr>
      <w:r w:rsidRPr="005E0D1B">
        <w:rPr>
          <w:b/>
          <w:bCs/>
        </w:rPr>
        <w:t xml:space="preserve">12 marca 2020 r. </w:t>
      </w:r>
      <w:r w:rsidRPr="00722EC6">
        <w:t>– Wojewoda Kujawsko-Pomorski wydał zarządzenie w sprawie zawieszenia organizowania imprez artystycznych i rozrywkowych na terenie województwa;</w:t>
      </w:r>
    </w:p>
    <w:p w:rsidR="00AE6BCB" w:rsidRPr="005E0D1B" w:rsidRDefault="00AE6BCB" w:rsidP="00912BD8">
      <w:pPr>
        <w:numPr>
          <w:ilvl w:val="0"/>
          <w:numId w:val="58"/>
        </w:numPr>
        <w:spacing w:line="240" w:lineRule="auto"/>
        <w:jc w:val="both"/>
        <w:rPr>
          <w:b/>
          <w:bCs/>
        </w:rPr>
      </w:pPr>
      <w:r w:rsidRPr="005E0D1B">
        <w:rPr>
          <w:b/>
          <w:bCs/>
        </w:rPr>
        <w:t xml:space="preserve">14 marca 2020 r. </w:t>
      </w:r>
      <w:r w:rsidRPr="00722EC6">
        <w:t>– ogłoszenie w Polsce stanu zagrożenia epidemicznego, zwołanie pierwszego posiedzenia Zespołu Zarządzania Kryzysowego w Urzędzie Miasta Torunia;</w:t>
      </w:r>
    </w:p>
    <w:p w:rsidR="00AE6BCB" w:rsidRPr="005E0D1B" w:rsidRDefault="00AE6BCB" w:rsidP="00912BD8">
      <w:pPr>
        <w:numPr>
          <w:ilvl w:val="0"/>
          <w:numId w:val="58"/>
        </w:numPr>
        <w:spacing w:line="240" w:lineRule="auto"/>
        <w:jc w:val="both"/>
        <w:rPr>
          <w:b/>
          <w:bCs/>
        </w:rPr>
      </w:pPr>
      <w:r w:rsidRPr="005E0D1B">
        <w:rPr>
          <w:b/>
          <w:bCs/>
        </w:rPr>
        <w:t xml:space="preserve">20 marca 2020 r. </w:t>
      </w:r>
      <w:r w:rsidRPr="00722EC6">
        <w:t>– og</w:t>
      </w:r>
      <w:r w:rsidR="009C7C02" w:rsidRPr="00722EC6">
        <w:t>łoszenie stanu epidemii w kraju</w:t>
      </w:r>
      <w:r w:rsidRPr="00722EC6">
        <w:t>;</w:t>
      </w:r>
    </w:p>
    <w:p w:rsidR="00AE6BCB" w:rsidRPr="005E0D1B" w:rsidRDefault="00AE6BCB" w:rsidP="00912BD8">
      <w:pPr>
        <w:numPr>
          <w:ilvl w:val="0"/>
          <w:numId w:val="58"/>
        </w:numPr>
        <w:spacing w:line="240" w:lineRule="auto"/>
        <w:jc w:val="both"/>
        <w:rPr>
          <w:b/>
          <w:bCs/>
        </w:rPr>
      </w:pPr>
      <w:r w:rsidRPr="005E0D1B">
        <w:rPr>
          <w:b/>
          <w:bCs/>
        </w:rPr>
        <w:t xml:space="preserve">23 marca 2020 r. </w:t>
      </w:r>
      <w:r w:rsidRPr="00722EC6">
        <w:t>– pierwszy potwierdzony przypadek zakażenia w Toruniu;</w:t>
      </w:r>
    </w:p>
    <w:p w:rsidR="00AE6BCB" w:rsidRPr="005E0D1B" w:rsidRDefault="00AE6BCB" w:rsidP="00912BD8">
      <w:pPr>
        <w:numPr>
          <w:ilvl w:val="0"/>
          <w:numId w:val="58"/>
        </w:numPr>
        <w:spacing w:line="240" w:lineRule="auto"/>
        <w:jc w:val="both"/>
        <w:rPr>
          <w:b/>
          <w:bCs/>
        </w:rPr>
      </w:pPr>
      <w:r w:rsidRPr="005E0D1B">
        <w:rPr>
          <w:b/>
          <w:bCs/>
        </w:rPr>
        <w:t xml:space="preserve">3 kwietnia 2020 r. </w:t>
      </w:r>
      <w:r w:rsidRPr="00722EC6">
        <w:t>– pierwszy zgon z powodu zachorowania na COVID-19 w Toruniu.</w:t>
      </w:r>
    </w:p>
    <w:p w:rsidR="004458EE" w:rsidRPr="004458EE" w:rsidRDefault="004458EE" w:rsidP="004458EE">
      <w:pPr>
        <w:spacing w:line="240" w:lineRule="auto"/>
        <w:jc w:val="both"/>
      </w:pPr>
    </w:p>
    <w:p w:rsidR="00AE6BCB" w:rsidRPr="005E0D1B" w:rsidRDefault="005E0D1B" w:rsidP="004458EE">
      <w:pPr>
        <w:pStyle w:val="Nagwek1"/>
        <w:numPr>
          <w:ilvl w:val="0"/>
          <w:numId w:val="0"/>
        </w:numPr>
        <w:spacing w:line="240" w:lineRule="auto"/>
        <w:jc w:val="both"/>
        <w:rPr>
          <w:i/>
          <w:color w:val="0070C0"/>
          <w:szCs w:val="24"/>
        </w:rPr>
      </w:pPr>
      <w:bookmarkStart w:id="7" w:name="__RefHeading__31894_2082197896"/>
      <w:bookmarkEnd w:id="7"/>
      <w:r w:rsidRPr="005E0D1B">
        <w:rPr>
          <w:i/>
          <w:color w:val="0070C0"/>
        </w:rPr>
        <w:t>Bezpieczeństwo</w:t>
      </w:r>
    </w:p>
    <w:p w:rsidR="00AE6BCB" w:rsidRDefault="00AE6BCB" w:rsidP="00912BD8">
      <w:pPr>
        <w:numPr>
          <w:ilvl w:val="0"/>
          <w:numId w:val="62"/>
        </w:numPr>
        <w:spacing w:line="240" w:lineRule="auto"/>
        <w:jc w:val="both"/>
      </w:pPr>
      <w:r w:rsidRPr="00722EC6">
        <w:t xml:space="preserve">Gmina rozpoczęła przygotowania do zbliżającego się stanu epidemii od opracowania planu ciągłości działania miasta na podstawie „Planu Zarządzania Kryzysowego GMT </w:t>
      </w:r>
      <w:r w:rsidR="005E0D1B">
        <w:br/>
      </w:r>
      <w:r w:rsidRPr="00722EC6">
        <w:t>i PT”. Obejmuje on m.in. katalog zagrożeń, procedurę reagowania kryzysowego i opis działań podejmowanych w celu zapewnienia działania instytucji istotnych dla funkcjonowania miasta;</w:t>
      </w:r>
    </w:p>
    <w:p w:rsidR="00AE6BCB" w:rsidRDefault="00AE6BCB" w:rsidP="00912BD8">
      <w:pPr>
        <w:numPr>
          <w:ilvl w:val="0"/>
          <w:numId w:val="62"/>
        </w:numPr>
        <w:spacing w:line="240" w:lineRule="auto"/>
        <w:jc w:val="both"/>
      </w:pPr>
      <w:r w:rsidRPr="00722EC6">
        <w:t xml:space="preserve">12 marca 2020 r. Wojewoda Kujawsko-Pomorski zobowiązał GMT do zorganizowania miejsc do kwarantanny zbiorowej. Na ten cel wyznaczono Międzynarodowe Centrum Spotkań Młodzieży, a 1 kwietnia 2020 r. aktywowano drugie miejsce do kwarantanny zbiorowej – Hotelik w Centrum. Wyłączono je z listy miejsc do kwarantanny zbiorowej w dniu 12 czerwca 2020 r. a w dniu 28 lutego 2021 r. Wojewoda Kujawsko-Pomorski zadecydował o zakończeniu działania miejsca do kwarantanny zbiorowej w MCSM </w:t>
      </w:r>
      <w:r w:rsidR="005E0D1B">
        <w:br/>
      </w:r>
      <w:r w:rsidRPr="00722EC6">
        <w:t>w Toruniu. Koszt pobytu w kwarantannie zbiorowej pokrywał Urząd Wojewódzki na podstawie comiesięcznej faktury;</w:t>
      </w:r>
    </w:p>
    <w:p w:rsidR="00AE6BCB" w:rsidRDefault="00AE6BCB" w:rsidP="00912BD8">
      <w:pPr>
        <w:numPr>
          <w:ilvl w:val="0"/>
          <w:numId w:val="62"/>
        </w:numPr>
        <w:spacing w:line="240" w:lineRule="auto"/>
        <w:jc w:val="both"/>
      </w:pPr>
      <w:r w:rsidRPr="00722EC6">
        <w:t>pełną gotowość do działania w stanie epidemii zgłosiły wszystkie służby porządkowe – Policja, Str</w:t>
      </w:r>
      <w:r w:rsidR="006A70BA">
        <w:t>aż Miejska, Straż Pożarna, które</w:t>
      </w:r>
      <w:r w:rsidRPr="00722EC6">
        <w:t xml:space="preserve"> </w:t>
      </w:r>
      <w:r w:rsidR="006A70BA">
        <w:t>wykonywały</w:t>
      </w:r>
      <w:r w:rsidRPr="00722EC6">
        <w:t xml:space="preserve"> zadania przy zabezpieczeniu jednostek W</w:t>
      </w:r>
      <w:r w:rsidR="006A70BA">
        <w:t xml:space="preserve">ojewódzkiego </w:t>
      </w:r>
      <w:r w:rsidRPr="00722EC6">
        <w:t>S</w:t>
      </w:r>
      <w:r w:rsidR="006A70BA">
        <w:t xml:space="preserve">zpitala </w:t>
      </w:r>
      <w:r w:rsidRPr="00722EC6">
        <w:t>Z</w:t>
      </w:r>
      <w:r w:rsidR="006A70BA">
        <w:t>espolonego</w:t>
      </w:r>
      <w:r w:rsidRPr="00722EC6">
        <w:t xml:space="preserve"> przy ul. Św. Józefa, ul. Krasińskiego </w:t>
      </w:r>
      <w:r w:rsidR="006A70BA">
        <w:br/>
      </w:r>
      <w:r w:rsidRPr="00722EC6">
        <w:t>i ul. Konstytucji 3 Maja. Bardzo ważną rolę odegrały także Wojska Obr</w:t>
      </w:r>
      <w:r w:rsidR="006A70BA">
        <w:t>ony Terytorialnej, które zajmowały</w:t>
      </w:r>
      <w:r w:rsidRPr="00722EC6">
        <w:t xml:space="preserve"> się zarówno organizacją jak i zabezpieczaniem strategicznych miejsc w mieście (np. punkt pobrań przy Motoarenie);</w:t>
      </w:r>
    </w:p>
    <w:p w:rsidR="00AE6BCB" w:rsidRDefault="00AE6BCB" w:rsidP="00912BD8">
      <w:pPr>
        <w:numPr>
          <w:ilvl w:val="0"/>
          <w:numId w:val="62"/>
        </w:numPr>
        <w:spacing w:line="240" w:lineRule="auto"/>
        <w:jc w:val="both"/>
      </w:pPr>
      <w:r w:rsidRPr="00722EC6">
        <w:t>Urząd Miasta koordynował i nadzorował działania Państwowej Straży Pożarnej przy budowie namiotów do triażu przy szpitalach (izb przyjęć, w których dokonywano wstępnej selekcji chorych);</w:t>
      </w:r>
    </w:p>
    <w:p w:rsidR="00AE6BCB" w:rsidRDefault="00AE6BCB" w:rsidP="00912BD8">
      <w:pPr>
        <w:numPr>
          <w:ilvl w:val="0"/>
          <w:numId w:val="62"/>
        </w:numPr>
        <w:spacing w:line="240" w:lineRule="auto"/>
        <w:jc w:val="both"/>
      </w:pPr>
      <w:r w:rsidRPr="00722EC6">
        <w:t>od momentu wejścia w życie obowiązku zakrywania ust i nosa w przestrzeni publicznej Straż Miejska we współpracy z Policją dokonują kontroli wypełniania tego obowiązku przez mieszkańców;</w:t>
      </w:r>
    </w:p>
    <w:p w:rsidR="00AE6BCB" w:rsidRDefault="00AE6BCB" w:rsidP="00912BD8">
      <w:pPr>
        <w:numPr>
          <w:ilvl w:val="0"/>
          <w:numId w:val="62"/>
        </w:numPr>
        <w:spacing w:line="240" w:lineRule="auto"/>
        <w:jc w:val="both"/>
      </w:pPr>
      <w:r w:rsidRPr="00722EC6">
        <w:t xml:space="preserve">w zakresie bezpieczeństwa bardzo istotny aspekt stanowiło monitorowanie </w:t>
      </w:r>
      <w:r w:rsidR="004B215F">
        <w:br/>
      </w:r>
      <w:r w:rsidRPr="00722EC6">
        <w:t xml:space="preserve">i zabezpieczanie odbywających się na terenie miasta zgromadzeń publicznych – szczególnie w okresie wyborów, ale także podczas jesiennej fali strajków związanych </w:t>
      </w:r>
      <w:r w:rsidR="005E0D1B">
        <w:br/>
      </w:r>
      <w:r w:rsidRPr="00722EC6">
        <w:t>z wyrokiem Trybunału Konstytucyjnego w sprawie aborcji.</w:t>
      </w:r>
    </w:p>
    <w:p w:rsidR="004458EE" w:rsidRPr="00722EC6" w:rsidRDefault="004458EE" w:rsidP="004458EE">
      <w:pPr>
        <w:spacing w:line="240" w:lineRule="auto"/>
        <w:jc w:val="both"/>
      </w:pPr>
    </w:p>
    <w:p w:rsidR="004B215F" w:rsidRPr="004B215F" w:rsidRDefault="00AE6BCB" w:rsidP="00C556DC">
      <w:pPr>
        <w:pStyle w:val="Nagwek1"/>
        <w:numPr>
          <w:ilvl w:val="0"/>
          <w:numId w:val="0"/>
        </w:numPr>
        <w:spacing w:line="240" w:lineRule="auto"/>
        <w:ind w:left="432" w:hanging="432"/>
        <w:jc w:val="both"/>
        <w:rPr>
          <w:i/>
          <w:color w:val="0070C0"/>
        </w:rPr>
      </w:pPr>
      <w:bookmarkStart w:id="8" w:name="__RefHeading__31896_2082197896"/>
      <w:bookmarkEnd w:id="8"/>
      <w:r w:rsidRPr="005E0D1B">
        <w:rPr>
          <w:i/>
          <w:color w:val="0070C0"/>
        </w:rPr>
        <w:t>Opi</w:t>
      </w:r>
      <w:r w:rsidR="005E0D1B" w:rsidRPr="005E0D1B">
        <w:rPr>
          <w:i/>
          <w:color w:val="0070C0"/>
        </w:rPr>
        <w:t>eka zdrowotna</w:t>
      </w:r>
    </w:p>
    <w:p w:rsidR="00AE6BCB" w:rsidRDefault="00AE6BCB" w:rsidP="00912BD8">
      <w:pPr>
        <w:numPr>
          <w:ilvl w:val="0"/>
          <w:numId w:val="64"/>
        </w:numPr>
        <w:spacing w:line="240" w:lineRule="auto"/>
        <w:jc w:val="both"/>
      </w:pPr>
      <w:r w:rsidRPr="00722EC6">
        <w:t xml:space="preserve">najważniejszym zadaniem było zabezpieczenie ciągłości działania placówek opieki zdrowotnej. W tym celu, pozostając w stałym kontakcie z władzami </w:t>
      </w:r>
      <w:r w:rsidR="006A70BA">
        <w:t>województwa</w:t>
      </w:r>
      <w:r w:rsidRPr="00722EC6">
        <w:t xml:space="preserve"> oraz </w:t>
      </w:r>
      <w:r w:rsidRPr="00722EC6">
        <w:lastRenderedPageBreak/>
        <w:t>Ministerstwem Zdrowia</w:t>
      </w:r>
      <w:r w:rsidR="006A70BA">
        <w:t>,</w:t>
      </w:r>
      <w:r w:rsidRPr="00722EC6">
        <w:t xml:space="preserve"> przystąpiono do programów testowania pracowników ZOZ </w:t>
      </w:r>
      <w:r w:rsidR="006A70BA">
        <w:br/>
      </w:r>
      <w:r w:rsidRPr="00722EC6">
        <w:t>i jednostek pomocy społecznej. W pierwszej fazie epidemii Szpital Miejski podpisał umowę z Instytutem Genetyki Sądowej w Bydgoszczy</w:t>
      </w:r>
      <w:r w:rsidR="006A70BA">
        <w:t>,</w:t>
      </w:r>
      <w:r w:rsidRPr="00722EC6">
        <w:t xml:space="preserve"> do którego transportowano wymazy w celu badania. W tym transporcie pomagali także pracownicy innych jednostek organizacyjnych Gminy oraz Urzędu Miasta Torunia. Od 1 kwietnia 2020 r. </w:t>
      </w:r>
      <w:r w:rsidR="006A70BA">
        <w:br/>
      </w:r>
      <w:r w:rsidRPr="00722EC6">
        <w:t>w jednostkach rozpoczęto program badań przesiewowych, wdrażany z różną częstotliw</w:t>
      </w:r>
      <w:r w:rsidR="009C7C02" w:rsidRPr="00722EC6">
        <w:t xml:space="preserve">ością w zależności od jednostki, </w:t>
      </w:r>
    </w:p>
    <w:p w:rsidR="00AE6BCB" w:rsidRDefault="00AE6BCB" w:rsidP="00912BD8">
      <w:pPr>
        <w:numPr>
          <w:ilvl w:val="0"/>
          <w:numId w:val="64"/>
        </w:numPr>
        <w:spacing w:line="240" w:lineRule="auto"/>
        <w:jc w:val="both"/>
      </w:pPr>
      <w:r w:rsidRPr="00722EC6">
        <w:t xml:space="preserve">na początku pandemii koronawirusa jednym z największych wyzwań było pozyskanie odpowiedniej liczby środków ochrony osobistej dla zakładów opieki zdrowotnej </w:t>
      </w:r>
      <w:r w:rsidR="004B215F">
        <w:br/>
      </w:r>
      <w:r w:rsidRPr="00722EC6">
        <w:t xml:space="preserve">i jednostek pomocy społecznej. Najważniejszym źródłem były rezerwy środków zorganizowanych przez Urząd Wojewódzki, Regionalny Ośrodek Pomocy Społecznej </w:t>
      </w:r>
      <w:r w:rsidR="004B215F">
        <w:br/>
      </w:r>
      <w:r w:rsidR="006A70BA">
        <w:t>i Urząd Marszałkowski. Część</w:t>
      </w:r>
      <w:r w:rsidRPr="00722EC6">
        <w:t xml:space="preserve"> </w:t>
      </w:r>
      <w:r w:rsidR="006A70BA">
        <w:t>środków</w:t>
      </w:r>
      <w:r w:rsidRPr="00722EC6">
        <w:t xml:space="preserve"> ochron</w:t>
      </w:r>
      <w:r w:rsidR="006A70BA">
        <w:t>y osobistej zakupiono z budżetu</w:t>
      </w:r>
      <w:r w:rsidRPr="00722EC6">
        <w:t xml:space="preserve"> Gminy Miasta Toruń, wiele z nich otrzymaliśmy także z rąk darczyńców. Stworzyliśmy rezerwę pozwalającą na zabezpieczenie pracowników wszystkich jednostek opieki zdrowotnej, pomocy społecznej i pozostałych jednostek organizacyjnych GMT oraz Urzędu Miasta Torunia. Miasto zachęcało także mieszkańców do szycia maseczek, znaleziono także podmioty świadczące takie usługi;</w:t>
      </w:r>
    </w:p>
    <w:p w:rsidR="00AE6BCB" w:rsidRDefault="00AE6BCB" w:rsidP="00912BD8">
      <w:pPr>
        <w:numPr>
          <w:ilvl w:val="0"/>
          <w:numId w:val="63"/>
        </w:numPr>
        <w:spacing w:line="240" w:lineRule="auto"/>
        <w:jc w:val="both"/>
      </w:pPr>
      <w:r w:rsidRPr="00722EC6">
        <w:t>Urząd Miasta Torunia przekazał środki ochron</w:t>
      </w:r>
      <w:r w:rsidR="009C7C02" w:rsidRPr="00722EC6">
        <w:t>y indywidualnej</w:t>
      </w:r>
      <w:r w:rsidRPr="00722EC6">
        <w:t xml:space="preserve"> także do Wojewódzkiego Szpitala Zakaźnego</w:t>
      </w:r>
      <w:r w:rsidR="006A70BA">
        <w:t>,</w:t>
      </w:r>
      <w:r w:rsidRPr="00722EC6">
        <w:t xml:space="preserve"> gdzie zmagano się z falą zakażeń;</w:t>
      </w:r>
    </w:p>
    <w:p w:rsidR="00AE6BCB" w:rsidRDefault="00AE6BCB" w:rsidP="00912BD8">
      <w:pPr>
        <w:numPr>
          <w:ilvl w:val="0"/>
          <w:numId w:val="61"/>
        </w:numPr>
        <w:spacing w:line="240" w:lineRule="auto"/>
        <w:jc w:val="both"/>
      </w:pPr>
      <w:r w:rsidRPr="00722EC6">
        <w:t>z</w:t>
      </w:r>
      <w:r w:rsidR="005E0D1B">
        <w:t>akłady opieki zdrowotnej musiał</w:t>
      </w:r>
      <w:r w:rsidRPr="00722EC6">
        <w:t xml:space="preserve">y dostosować się do panujących warunków epidemicznych aby przyjmować pacjentów w najbezpieczniejszy sposób. Opracowano </w:t>
      </w:r>
      <w:r w:rsidR="005D3E6C">
        <w:br/>
      </w:r>
      <w:r w:rsidRPr="00722EC6">
        <w:t>i wdrożono procedury sanitarne w każdej jednostce;</w:t>
      </w:r>
    </w:p>
    <w:p w:rsidR="00AE6BCB" w:rsidRDefault="00AE6BCB" w:rsidP="00912BD8">
      <w:pPr>
        <w:numPr>
          <w:ilvl w:val="0"/>
          <w:numId w:val="61"/>
        </w:numPr>
        <w:spacing w:line="240" w:lineRule="auto"/>
        <w:jc w:val="both"/>
      </w:pPr>
      <w:r w:rsidRPr="00722EC6">
        <w:t>toruńskie stowarzyszenia i jednostki miejskie rozpoczęły program świadczeń pomocy psychologicznej dla mieszkańców poprzez telefony zaufania i teleporady;</w:t>
      </w:r>
    </w:p>
    <w:p w:rsidR="00AE6BCB" w:rsidRDefault="00AE6BCB" w:rsidP="00912BD8">
      <w:pPr>
        <w:numPr>
          <w:ilvl w:val="0"/>
          <w:numId w:val="60"/>
        </w:numPr>
        <w:spacing w:line="240" w:lineRule="auto"/>
        <w:jc w:val="both"/>
      </w:pPr>
      <w:r w:rsidRPr="00722EC6">
        <w:t xml:space="preserve">Gmina Miasta Toruń zakupiła dla mieszkańców 180 tys. maseczek, których dystrybucja trwała w dniach 16 kwietnia – 20 maja 2020 r. Maseczki dostarczano do skrzynek pocztowych mieszkańców poprzez zarządców nieruchomości i wolontariuszy. Dystrybuowano je do mieszkańców zgodnie z danymi zawartymi w deklaracjach </w:t>
      </w:r>
      <w:r w:rsidR="004B215F">
        <w:br/>
      </w:r>
      <w:r w:rsidRPr="00722EC6">
        <w:t>o wysokości opłat za gospodarowanie odpadami komunalnymi. Na terenie miasta stanęły także maseczkomaty, w których można kupić maseczki;</w:t>
      </w:r>
    </w:p>
    <w:p w:rsidR="009C7C02" w:rsidRDefault="00AE6BCB" w:rsidP="00912BD8">
      <w:pPr>
        <w:numPr>
          <w:ilvl w:val="0"/>
          <w:numId w:val="59"/>
        </w:numPr>
        <w:spacing w:line="240" w:lineRule="auto"/>
        <w:jc w:val="both"/>
      </w:pPr>
      <w:r w:rsidRPr="00722EC6">
        <w:t xml:space="preserve">4 maja </w:t>
      </w:r>
      <w:r w:rsidR="009C7C02" w:rsidRPr="00722EC6">
        <w:t xml:space="preserve">2020 r. </w:t>
      </w:r>
      <w:r w:rsidRPr="00722EC6">
        <w:t>w Toruniu powstał pierwszy punkt pobrań zorg</w:t>
      </w:r>
      <w:r w:rsidR="006A70BA">
        <w:t xml:space="preserve">anizowany przez firmę Vitalabo </w:t>
      </w:r>
      <w:r w:rsidRPr="00722EC6">
        <w:t xml:space="preserve">przy Centrum Targowym Park. W szczytowym okresie w Toruniu działało </w:t>
      </w:r>
      <w:r w:rsidR="006A70BA">
        <w:br/>
      </w:r>
      <w:r w:rsidRPr="00722EC6">
        <w:t>8 punktów pobrań</w:t>
      </w:r>
      <w:r w:rsidR="009C7C02" w:rsidRPr="00722EC6">
        <w:t>,</w:t>
      </w:r>
      <w:r w:rsidRPr="00722EC6">
        <w:t xml:space="preserve"> w których można było wykonać refundowane, zlecone skierowaniem lekarskim badanie pod kątem koronawirusa, m.in. Miejska Przychodnia Specjalistyczna zorganizowała punkty wymazowe przy Motoarenie oraz w budynku przychodni</w:t>
      </w:r>
      <w:r w:rsidR="009C7C02" w:rsidRPr="00722EC6">
        <w:t>;</w:t>
      </w:r>
    </w:p>
    <w:p w:rsidR="005D3E6C" w:rsidRDefault="00AE6BCB" w:rsidP="00912BD8">
      <w:pPr>
        <w:numPr>
          <w:ilvl w:val="0"/>
          <w:numId w:val="59"/>
        </w:numPr>
        <w:spacing w:line="240" w:lineRule="auto"/>
        <w:jc w:val="both"/>
      </w:pPr>
      <w:r w:rsidRPr="00722EC6">
        <w:t>Wojewoda Kujawsko-Pomorski zobowiązał Specjalistyczny Szpital Miejski do zabezpieczenia od 23 października 2020 r. łóżek dedykowanych chorym z podejrzeniem zakażenia koronawirusem. Początkowo były to 4 łóżka obserwacyjne a z czasem ich liczba urosła do 18. 13 z nich przeznaczono pacjentom z potwierdzonym zakażeniem koronawirusem (w tym 3 łóżka respiratorowe)</w:t>
      </w:r>
      <w:r w:rsidR="005D3E6C">
        <w:t>;</w:t>
      </w:r>
    </w:p>
    <w:p w:rsidR="00AE6BCB" w:rsidRDefault="00AE6BCB" w:rsidP="00912BD8">
      <w:pPr>
        <w:numPr>
          <w:ilvl w:val="0"/>
          <w:numId w:val="59"/>
        </w:numPr>
        <w:spacing w:line="240" w:lineRule="auto"/>
        <w:jc w:val="both"/>
      </w:pPr>
      <w:r w:rsidRPr="00722EC6">
        <w:t xml:space="preserve">zgodnie z poleceniem Wojewody Kujawsko-Pomorskiego wyznaczyliśmy budynek, który </w:t>
      </w:r>
      <w:r w:rsidR="00255DC6" w:rsidRPr="00722EC6">
        <w:t>w razie k</w:t>
      </w:r>
      <w:r w:rsidR="005E0D1B">
        <w:t>o</w:t>
      </w:r>
      <w:r w:rsidR="00255DC6" w:rsidRPr="00722EC6">
        <w:t xml:space="preserve">nieczności </w:t>
      </w:r>
      <w:r w:rsidRPr="00722EC6">
        <w:t xml:space="preserve">mógłby pełnić rolę </w:t>
      </w:r>
      <w:r w:rsidR="00255DC6" w:rsidRPr="00722EC6">
        <w:t xml:space="preserve">szpitala tymczasowego – </w:t>
      </w:r>
      <w:r w:rsidRPr="00722EC6">
        <w:t>C</w:t>
      </w:r>
      <w:r w:rsidR="005D3E6C">
        <w:t xml:space="preserve">entrum </w:t>
      </w:r>
      <w:r w:rsidRPr="00722EC6">
        <w:t>T</w:t>
      </w:r>
      <w:r w:rsidR="005D3E6C">
        <w:t>argowe</w:t>
      </w:r>
      <w:r w:rsidRPr="00722EC6">
        <w:t xml:space="preserve"> Park przy ul. Bydgo</w:t>
      </w:r>
      <w:r w:rsidR="00255DC6" w:rsidRPr="00722EC6">
        <w:t>skiej.</w:t>
      </w:r>
    </w:p>
    <w:p w:rsidR="004458EE" w:rsidRPr="00722EC6" w:rsidRDefault="004458EE" w:rsidP="004458EE">
      <w:pPr>
        <w:spacing w:line="240" w:lineRule="auto"/>
        <w:jc w:val="both"/>
      </w:pPr>
    </w:p>
    <w:p w:rsidR="00AE6BCB" w:rsidRPr="005E0D1B" w:rsidRDefault="005E0D1B" w:rsidP="00C556DC">
      <w:pPr>
        <w:pStyle w:val="Nagwek1"/>
        <w:numPr>
          <w:ilvl w:val="0"/>
          <w:numId w:val="0"/>
        </w:numPr>
        <w:spacing w:line="240" w:lineRule="auto"/>
        <w:ind w:left="432" w:hanging="432"/>
        <w:jc w:val="both"/>
        <w:rPr>
          <w:i/>
          <w:color w:val="0070C0"/>
          <w:szCs w:val="24"/>
        </w:rPr>
      </w:pPr>
      <w:bookmarkStart w:id="9" w:name="__RefHeading__31898_2082197896"/>
      <w:bookmarkEnd w:id="9"/>
      <w:r w:rsidRPr="005E0D1B">
        <w:rPr>
          <w:i/>
          <w:color w:val="0070C0"/>
          <w:szCs w:val="24"/>
        </w:rPr>
        <w:t>Opieka społeczna</w:t>
      </w:r>
    </w:p>
    <w:p w:rsidR="00AE6BCB" w:rsidRDefault="00AE6BCB" w:rsidP="00912BD8">
      <w:pPr>
        <w:numPr>
          <w:ilvl w:val="0"/>
          <w:numId w:val="65"/>
        </w:numPr>
        <w:spacing w:line="240" w:lineRule="auto"/>
        <w:jc w:val="both"/>
      </w:pPr>
      <w:r w:rsidRPr="00722EC6">
        <w:t>osoby pozostające w samoizolacji lub kwarantannie mogły liczyć na wsparcie wolontariuszy, pracowników Polskiego Czerwonego Krzyża, Polskiego Komitetu Pomocy Społecznej, Fundacji Agencji Służby Społecznej a pomoc tę koordynował Miejski Ośrodek Pomocy Rodzinie;</w:t>
      </w:r>
    </w:p>
    <w:p w:rsidR="00AE6BCB" w:rsidRDefault="00AE6BCB" w:rsidP="00912BD8">
      <w:pPr>
        <w:numPr>
          <w:ilvl w:val="0"/>
          <w:numId w:val="65"/>
        </w:numPr>
        <w:spacing w:line="240" w:lineRule="auto"/>
        <w:jc w:val="both"/>
      </w:pPr>
      <w:r w:rsidRPr="00722EC6">
        <w:lastRenderedPageBreak/>
        <w:t xml:space="preserve">do miejsca zamieszkania osób pozostających w samoizolacji trafiały posiłki </w:t>
      </w:r>
      <w:r w:rsidR="004B215F">
        <w:br/>
      </w:r>
      <w:r w:rsidRPr="00722EC6">
        <w:t>a wolontariusze dostarczali także zakupy. Posiłki przygotowywały Fundacja Pro Omnis oraz Caritas Diecezji Toruńskiej. Do końca roku 2020 dostarczono ponad 5</w:t>
      </w:r>
      <w:r w:rsidR="006A70BA">
        <w:t>.</w:t>
      </w:r>
      <w:r w:rsidRPr="00722EC6">
        <w:t xml:space="preserve">300 paczek żywnościowych, przygotowano ponad 20 tys. obiadów dla prawie 800 osób </w:t>
      </w:r>
      <w:r w:rsidR="004B215F">
        <w:br/>
      </w:r>
      <w:r w:rsidRPr="00722EC6">
        <w:t xml:space="preserve">a wolontariusze 400 razy służyli pomocą z zakupami; </w:t>
      </w:r>
    </w:p>
    <w:p w:rsidR="00AE6BCB" w:rsidRDefault="00AE6BCB" w:rsidP="00912BD8">
      <w:pPr>
        <w:numPr>
          <w:ilvl w:val="0"/>
          <w:numId w:val="65"/>
        </w:numPr>
        <w:spacing w:line="240" w:lineRule="auto"/>
        <w:jc w:val="both"/>
      </w:pPr>
      <w:r w:rsidRPr="00722EC6">
        <w:t>Miejski Ośrodek Pomocy Rodzinie od początku epidemii koordynował działania związane z zabezpieczeniem Domu Pomocy Społecznej, placówek opiekuńczo-wychowawczych, Rodzinnych Domów Dziecka, mieszkań chronionych, Schroniska dla Bezdomnych Mężczyzn oraz noclegowni;</w:t>
      </w:r>
    </w:p>
    <w:p w:rsidR="00AE6BCB" w:rsidRDefault="00255DC6" w:rsidP="00912BD8">
      <w:pPr>
        <w:numPr>
          <w:ilvl w:val="0"/>
          <w:numId w:val="65"/>
        </w:numPr>
        <w:spacing w:line="240" w:lineRule="auto"/>
        <w:jc w:val="both"/>
      </w:pPr>
      <w:r w:rsidRPr="00722EC6">
        <w:t>wdrożono</w:t>
      </w:r>
      <w:r w:rsidR="00AE6BCB" w:rsidRPr="00722EC6">
        <w:t xml:space="preserve"> całodobowy telefon Ośrodka Interwencji</w:t>
      </w:r>
      <w:r w:rsidRPr="00722EC6">
        <w:t xml:space="preserve"> Kryzysowej, celem udzielania</w:t>
      </w:r>
      <w:r w:rsidR="00AE6BCB" w:rsidRPr="00722EC6">
        <w:t xml:space="preserve"> </w:t>
      </w:r>
      <w:r w:rsidRPr="00722EC6">
        <w:t>porad specjalistycznych</w:t>
      </w:r>
      <w:r w:rsidR="00AE6BCB" w:rsidRPr="00722EC6">
        <w:t xml:space="preserve"> dla osób przebywając</w:t>
      </w:r>
      <w:r w:rsidRPr="00722EC6">
        <w:t>ych w kwarantannie oraz informowania</w:t>
      </w:r>
      <w:r w:rsidR="00AE6BCB" w:rsidRPr="00722EC6">
        <w:t xml:space="preserve"> </w:t>
      </w:r>
      <w:r w:rsidRPr="00722EC6">
        <w:t xml:space="preserve">na temat </w:t>
      </w:r>
      <w:r w:rsidR="00AE6BCB" w:rsidRPr="00722EC6">
        <w:t>funkcjonowania służby zdrowia, miejsc kwarantanny czy postępowania w aktualnej sytuacji epidemicznej;</w:t>
      </w:r>
    </w:p>
    <w:p w:rsidR="00AE6BCB" w:rsidRDefault="00255DC6" w:rsidP="00912BD8">
      <w:pPr>
        <w:numPr>
          <w:ilvl w:val="0"/>
          <w:numId w:val="65"/>
        </w:numPr>
        <w:spacing w:line="240" w:lineRule="auto"/>
        <w:jc w:val="both"/>
      </w:pPr>
      <w:r w:rsidRPr="00722EC6">
        <w:t>MOPR koordynował</w:t>
      </w:r>
      <w:r w:rsidR="00AE6BCB" w:rsidRPr="00722EC6">
        <w:t xml:space="preserve"> także działania związane z programem „Wspie</w:t>
      </w:r>
      <w:r w:rsidR="006A70BA">
        <w:t>raj Seniora” dla osób pow. 70 roku życia.</w:t>
      </w:r>
      <w:r w:rsidR="00AE6BCB" w:rsidRPr="00722EC6">
        <w:t xml:space="preserve"> Od początku programu tj. 23 października 2020 r. do końca roku zrealizowano 120 zgłoszeń. W tym działaniu MOPR korzysta</w:t>
      </w:r>
      <w:r w:rsidRPr="00722EC6">
        <w:t>ł</w:t>
      </w:r>
      <w:r w:rsidR="00AE6BCB" w:rsidRPr="00722EC6">
        <w:t xml:space="preserve"> m.in. ze wsparcia wolontariuszy;</w:t>
      </w:r>
    </w:p>
    <w:p w:rsidR="00AE6BCB" w:rsidRDefault="00AE6BCB" w:rsidP="00912BD8">
      <w:pPr>
        <w:numPr>
          <w:ilvl w:val="0"/>
          <w:numId w:val="65"/>
        </w:numPr>
        <w:spacing w:line="240" w:lineRule="auto"/>
        <w:jc w:val="both"/>
      </w:pPr>
      <w:r w:rsidRPr="00722EC6">
        <w:t>wolontariusze odegrali istotną rolę w organizacji pomocy społeczne</w:t>
      </w:r>
      <w:r w:rsidR="006A70BA">
        <w:t>j. Warto dodać, że do końca 2020 r.</w:t>
      </w:r>
      <w:r w:rsidRPr="00722EC6">
        <w:t xml:space="preserve"> pracę w wolontariacie (dostarczanie zakupów, opieka nad zwierzętami domowymi) świadczyło niemal 420 wolontariuszy a 10 organizacji pozarządowych włączyło się w pomoc w zakresie opieki społecznej;</w:t>
      </w:r>
    </w:p>
    <w:p w:rsidR="00255DC6" w:rsidRDefault="00AE6BCB" w:rsidP="00912BD8">
      <w:pPr>
        <w:numPr>
          <w:ilvl w:val="0"/>
          <w:numId w:val="65"/>
        </w:numPr>
        <w:spacing w:line="240" w:lineRule="auto"/>
        <w:jc w:val="both"/>
      </w:pPr>
      <w:r w:rsidRPr="00722EC6">
        <w:t>21 października 2020 r. zawieszono działanie środowiskowych domów pomocy, dziennych domów i klubów seniora, klubów samopomocy dla osób z zaburzeniami psychicznymi, centrów integracji społecznej i warsztatów terapii zajęciowej. Pracownicy gminnego Dziennego Domu Pomocy Społecznej wspomagali swoich podopiecznych</w:t>
      </w:r>
      <w:r w:rsidR="00255DC6" w:rsidRPr="00722EC6">
        <w:t>, utrzymując systematyczny</w:t>
      </w:r>
      <w:r w:rsidRPr="00722EC6">
        <w:t xml:space="preserve"> </w:t>
      </w:r>
      <w:r w:rsidR="00255DC6" w:rsidRPr="00722EC6">
        <w:t>kontakt</w:t>
      </w:r>
      <w:r w:rsidRPr="00722EC6">
        <w:t xml:space="preserve"> z nimi, część została oddelegowana</w:t>
      </w:r>
      <w:r w:rsidR="004B215F">
        <w:t xml:space="preserve"> do pracy w innych jednostkach;</w:t>
      </w:r>
    </w:p>
    <w:p w:rsidR="00AE6BCB" w:rsidRPr="00722EC6" w:rsidRDefault="00255DC6" w:rsidP="00912BD8">
      <w:pPr>
        <w:numPr>
          <w:ilvl w:val="0"/>
          <w:numId w:val="65"/>
        </w:numPr>
        <w:spacing w:line="240" w:lineRule="auto"/>
        <w:jc w:val="both"/>
      </w:pPr>
      <w:r w:rsidRPr="00722EC6">
        <w:t xml:space="preserve">na przełomie 2020 i 2021 r. </w:t>
      </w:r>
      <w:r w:rsidR="00AE6BCB" w:rsidRPr="00722EC6">
        <w:t xml:space="preserve">toruńskie stołówki - nieczynne ze względu na częściową naukę zdalną – przygotowywały posiłki (zupy) dla osób potrzebujących – „Zupobusy” zlokalizowane w trzech miejscach w mieście, które wydawały dziennie ok. 30 posiłków. </w:t>
      </w:r>
      <w:r w:rsidR="005D3E6C">
        <w:br/>
      </w:r>
      <w:r w:rsidR="00AE6BCB" w:rsidRPr="00722EC6">
        <w:t>W sumie wydano ponad 1</w:t>
      </w:r>
      <w:r w:rsidR="006A70BA">
        <w:t>.</w:t>
      </w:r>
      <w:r w:rsidR="00AE6BCB" w:rsidRPr="00722EC6">
        <w:t>850 posiłków.</w:t>
      </w:r>
    </w:p>
    <w:p w:rsidR="00AE6BCB" w:rsidRPr="00722EC6" w:rsidRDefault="00AE6BCB" w:rsidP="009C7C02">
      <w:pPr>
        <w:pStyle w:val="ListParagraph"/>
        <w:spacing w:line="240" w:lineRule="auto"/>
        <w:ind w:left="644"/>
        <w:jc w:val="both"/>
      </w:pPr>
    </w:p>
    <w:p w:rsidR="00AE6BCB" w:rsidRDefault="005E0D1B" w:rsidP="00C556DC">
      <w:pPr>
        <w:pStyle w:val="Nagwek1"/>
        <w:numPr>
          <w:ilvl w:val="0"/>
          <w:numId w:val="0"/>
        </w:numPr>
        <w:spacing w:line="240" w:lineRule="auto"/>
        <w:ind w:left="432" w:hanging="432"/>
        <w:jc w:val="both"/>
        <w:rPr>
          <w:i/>
          <w:color w:val="0070C0"/>
        </w:rPr>
      </w:pPr>
      <w:bookmarkStart w:id="10" w:name="__RefHeading__31900_2082197896"/>
      <w:bookmarkEnd w:id="10"/>
      <w:r w:rsidRPr="005E0D1B">
        <w:rPr>
          <w:i/>
          <w:color w:val="0070C0"/>
        </w:rPr>
        <w:t>Gospodarka komunalna</w:t>
      </w:r>
    </w:p>
    <w:p w:rsidR="00B6640F" w:rsidRPr="00B6640F" w:rsidRDefault="00AE6BCB" w:rsidP="00912BD8">
      <w:pPr>
        <w:pStyle w:val="Tekstpodstawowy"/>
        <w:numPr>
          <w:ilvl w:val="0"/>
          <w:numId w:val="66"/>
        </w:numPr>
        <w:spacing w:after="0" w:line="240" w:lineRule="auto"/>
        <w:jc w:val="both"/>
        <w:rPr>
          <w:rFonts w:ascii="Times New Roman" w:hAnsi="Times New Roman" w:cs="Times New Roman"/>
          <w:sz w:val="24"/>
          <w:szCs w:val="24"/>
          <w:lang w:val="en-US"/>
        </w:rPr>
      </w:pPr>
      <w:r w:rsidRPr="00B6640F">
        <w:rPr>
          <w:rFonts w:ascii="Times New Roman" w:hAnsi="Times New Roman" w:cs="Times New Roman"/>
          <w:sz w:val="24"/>
          <w:szCs w:val="24"/>
        </w:rPr>
        <w:t>w pierwszej fazie epidemii najważniejszym zadaniem w tej sferze było zabezpieczenie dostaw wody, mediów, kanalizacji, transportu publicznego i odbioru odpadów;</w:t>
      </w:r>
    </w:p>
    <w:p w:rsidR="00AE6BCB" w:rsidRPr="00B6640F" w:rsidRDefault="00AE6BCB" w:rsidP="00912BD8">
      <w:pPr>
        <w:pStyle w:val="Tekstpodstawowy"/>
        <w:numPr>
          <w:ilvl w:val="0"/>
          <w:numId w:val="66"/>
        </w:numPr>
        <w:spacing w:after="0" w:line="240" w:lineRule="auto"/>
        <w:jc w:val="both"/>
        <w:rPr>
          <w:rFonts w:ascii="Times New Roman" w:hAnsi="Times New Roman" w:cs="Times New Roman"/>
          <w:sz w:val="24"/>
          <w:szCs w:val="24"/>
          <w:lang w:val="en-US"/>
        </w:rPr>
      </w:pPr>
      <w:r w:rsidRPr="00B6640F">
        <w:rPr>
          <w:rFonts w:ascii="Times New Roman" w:hAnsi="Times New Roman" w:cs="Times New Roman"/>
          <w:sz w:val="24"/>
          <w:szCs w:val="24"/>
        </w:rPr>
        <w:t>9 kwietnia 2020 r. rozpoczęto systematyczną dezynfekcję powierzchni publicznych metodą zamgławiania roztworem podchlorynu sodu. Poddawane jej były przystanki autobusowe, tereny przy szpitalach i przychodniach, dworce autobusowe i kolejowe, przejścia podziemne i popularne ciągi piesze, co stanowiło ok. 33 tys.</w:t>
      </w:r>
      <w:r w:rsidR="00255DC6" w:rsidRPr="00B6640F">
        <w:rPr>
          <w:rFonts w:ascii="Times New Roman" w:hAnsi="Times New Roman" w:cs="Times New Roman"/>
          <w:sz w:val="24"/>
          <w:szCs w:val="24"/>
        </w:rPr>
        <w:t xml:space="preserve"> m2</w:t>
      </w:r>
      <w:r w:rsidR="00B6640F">
        <w:rPr>
          <w:rFonts w:ascii="Times New Roman" w:hAnsi="Times New Roman" w:cs="Times New Roman"/>
          <w:sz w:val="24"/>
          <w:szCs w:val="24"/>
        </w:rPr>
        <w:t xml:space="preserve"> powierzchni. </w:t>
      </w:r>
      <w:r w:rsidR="00B6640F">
        <w:rPr>
          <w:rFonts w:ascii="Times New Roman" w:hAnsi="Times New Roman" w:cs="Times New Roman"/>
          <w:sz w:val="24"/>
          <w:szCs w:val="24"/>
        </w:rPr>
        <w:br/>
      </w:r>
      <w:r w:rsidRPr="00B6640F">
        <w:rPr>
          <w:rFonts w:ascii="Times New Roman" w:hAnsi="Times New Roman" w:cs="Times New Roman"/>
          <w:sz w:val="24"/>
          <w:szCs w:val="24"/>
        </w:rPr>
        <w:t xml:space="preserve">Z biegiem czasu ograniczano jej zakres, a od </w:t>
      </w:r>
      <w:r w:rsidR="006A70BA">
        <w:rPr>
          <w:rFonts w:ascii="Times New Roman" w:hAnsi="Times New Roman" w:cs="Times New Roman"/>
          <w:sz w:val="24"/>
          <w:szCs w:val="24"/>
        </w:rPr>
        <w:t>końca grudnia</w:t>
      </w:r>
      <w:r w:rsidRPr="00B6640F">
        <w:rPr>
          <w:rFonts w:ascii="Times New Roman" w:hAnsi="Times New Roman" w:cs="Times New Roman"/>
          <w:sz w:val="24"/>
          <w:szCs w:val="24"/>
        </w:rPr>
        <w:t xml:space="preserve"> 2020 r. dezynfekcja nie jest prowadzona w przestrzeni publicznej</w:t>
      </w:r>
      <w:r w:rsidR="006A70BA">
        <w:rPr>
          <w:rFonts w:ascii="Times New Roman" w:hAnsi="Times New Roman" w:cs="Times New Roman"/>
          <w:sz w:val="24"/>
          <w:szCs w:val="24"/>
        </w:rPr>
        <w:t>,</w:t>
      </w:r>
      <w:r w:rsidRPr="00B6640F">
        <w:rPr>
          <w:rFonts w:ascii="Times New Roman" w:hAnsi="Times New Roman" w:cs="Times New Roman"/>
          <w:sz w:val="24"/>
          <w:szCs w:val="24"/>
        </w:rPr>
        <w:t xml:space="preserve"> ze względu na niewielki wpływ na rozwój sytuacji epidemiologicznej;</w:t>
      </w:r>
    </w:p>
    <w:p w:rsidR="00AE6BCB" w:rsidRPr="00B6640F" w:rsidRDefault="00AE6BCB" w:rsidP="00912BD8">
      <w:pPr>
        <w:pStyle w:val="Tekstpodstawowy"/>
        <w:numPr>
          <w:ilvl w:val="0"/>
          <w:numId w:val="66"/>
        </w:numPr>
        <w:spacing w:after="0" w:line="240" w:lineRule="auto"/>
        <w:jc w:val="both"/>
        <w:rPr>
          <w:rFonts w:ascii="Times New Roman" w:hAnsi="Times New Roman" w:cs="Times New Roman"/>
          <w:sz w:val="24"/>
          <w:szCs w:val="24"/>
          <w:lang w:val="en-US"/>
        </w:rPr>
      </w:pPr>
      <w:r w:rsidRPr="00B6640F">
        <w:rPr>
          <w:rFonts w:ascii="Times New Roman" w:hAnsi="Times New Roman" w:cs="Times New Roman"/>
          <w:sz w:val="24"/>
          <w:szCs w:val="24"/>
        </w:rPr>
        <w:t xml:space="preserve">wskutek kolejnych obostrzeń </w:t>
      </w:r>
      <w:r w:rsidR="00BA13D0" w:rsidRPr="00B6640F">
        <w:rPr>
          <w:rFonts w:ascii="Times New Roman" w:hAnsi="Times New Roman" w:cs="Times New Roman"/>
          <w:sz w:val="24"/>
          <w:szCs w:val="24"/>
        </w:rPr>
        <w:t>obowiązywały</w:t>
      </w:r>
      <w:r w:rsidRPr="00B6640F">
        <w:rPr>
          <w:rFonts w:ascii="Times New Roman" w:hAnsi="Times New Roman" w:cs="Times New Roman"/>
          <w:sz w:val="24"/>
          <w:szCs w:val="24"/>
        </w:rPr>
        <w:t xml:space="preserve"> różne limity liczby pasażerów w komunikacji miejskiej. Wprowadzono pomiary liczby pasażerów, </w:t>
      </w:r>
      <w:r w:rsidR="006A70BA">
        <w:rPr>
          <w:rFonts w:ascii="Times New Roman" w:hAnsi="Times New Roman" w:cs="Times New Roman"/>
          <w:sz w:val="24"/>
          <w:szCs w:val="24"/>
        </w:rPr>
        <w:t>systematycznie dostosowywano</w:t>
      </w:r>
      <w:r w:rsidRPr="00B6640F">
        <w:rPr>
          <w:rFonts w:ascii="Times New Roman" w:hAnsi="Times New Roman" w:cs="Times New Roman"/>
          <w:sz w:val="24"/>
          <w:szCs w:val="24"/>
        </w:rPr>
        <w:t xml:space="preserve"> liczbę i częstotliwość kursów pojazdów komunikacji publicznej do panujących warunków i obostrzeń – szczególnie w okresie szkolnym. W samych poja</w:t>
      </w:r>
      <w:r w:rsidR="00BA13D0" w:rsidRPr="00B6640F">
        <w:rPr>
          <w:rFonts w:ascii="Times New Roman" w:hAnsi="Times New Roman" w:cs="Times New Roman"/>
          <w:sz w:val="24"/>
          <w:szCs w:val="24"/>
        </w:rPr>
        <w:t>zdach komunikacji zachowywane były</w:t>
      </w:r>
      <w:r w:rsidRPr="00B6640F">
        <w:rPr>
          <w:rFonts w:ascii="Times New Roman" w:hAnsi="Times New Roman" w:cs="Times New Roman"/>
          <w:sz w:val="24"/>
          <w:szCs w:val="24"/>
        </w:rPr>
        <w:t xml:space="preserve"> środki ostrożności w postaci częstej dezynfekcji i zamgławiania. </w:t>
      </w:r>
      <w:r w:rsidR="006A70BA">
        <w:rPr>
          <w:rFonts w:ascii="Times New Roman" w:hAnsi="Times New Roman" w:cs="Times New Roman"/>
          <w:sz w:val="24"/>
          <w:szCs w:val="24"/>
        </w:rPr>
        <w:br/>
      </w:r>
      <w:r w:rsidRPr="00B6640F">
        <w:rPr>
          <w:rFonts w:ascii="Times New Roman" w:hAnsi="Times New Roman" w:cs="Times New Roman"/>
          <w:sz w:val="24"/>
          <w:szCs w:val="24"/>
        </w:rPr>
        <w:t>W początkowej fazie epidemii podjęto decyzję o wyłączeniu z użycia biletomatów i tzw. ciepłych guzików, a w trosce o bezpieczeństwo zaprzestano</w:t>
      </w:r>
      <w:r w:rsidR="00BA13D0" w:rsidRPr="00B6640F">
        <w:rPr>
          <w:rFonts w:ascii="Times New Roman" w:hAnsi="Times New Roman" w:cs="Times New Roman"/>
          <w:sz w:val="24"/>
          <w:szCs w:val="24"/>
        </w:rPr>
        <w:t xml:space="preserve"> sprzedaży biletów przez </w:t>
      </w:r>
      <w:r w:rsidR="00BA13D0" w:rsidRPr="00B6640F">
        <w:rPr>
          <w:rFonts w:ascii="Times New Roman" w:hAnsi="Times New Roman" w:cs="Times New Roman"/>
          <w:sz w:val="24"/>
          <w:szCs w:val="24"/>
        </w:rPr>
        <w:lastRenderedPageBreak/>
        <w:t xml:space="preserve">kierowców i motornicznych. </w:t>
      </w:r>
      <w:r w:rsidRPr="00B6640F">
        <w:rPr>
          <w:rFonts w:ascii="Times New Roman" w:hAnsi="Times New Roman" w:cs="Times New Roman"/>
          <w:sz w:val="24"/>
          <w:szCs w:val="24"/>
        </w:rPr>
        <w:t>Z czasem wróciły biletomaty oraz</w:t>
      </w:r>
      <w:r w:rsidR="006A70BA">
        <w:rPr>
          <w:rFonts w:ascii="Times New Roman" w:hAnsi="Times New Roman" w:cs="Times New Roman"/>
          <w:sz w:val="24"/>
          <w:szCs w:val="24"/>
        </w:rPr>
        <w:t xml:space="preserve"> </w:t>
      </w:r>
      <w:r w:rsidRPr="00B6640F">
        <w:rPr>
          <w:rFonts w:ascii="Times New Roman" w:hAnsi="Times New Roman" w:cs="Times New Roman"/>
          <w:sz w:val="24"/>
          <w:szCs w:val="24"/>
        </w:rPr>
        <w:t>– w okresie silnych mrozów – ciepłe guziki;</w:t>
      </w:r>
    </w:p>
    <w:p w:rsidR="00AE6BCB" w:rsidRPr="00B6640F" w:rsidRDefault="00AE6BCB" w:rsidP="00912BD8">
      <w:pPr>
        <w:pStyle w:val="Tekstpodstawowy"/>
        <w:numPr>
          <w:ilvl w:val="0"/>
          <w:numId w:val="66"/>
        </w:numPr>
        <w:spacing w:after="0" w:line="240" w:lineRule="auto"/>
        <w:jc w:val="both"/>
        <w:rPr>
          <w:rFonts w:ascii="Times New Roman" w:hAnsi="Times New Roman" w:cs="Times New Roman"/>
          <w:sz w:val="24"/>
          <w:szCs w:val="24"/>
          <w:lang w:val="en-US"/>
        </w:rPr>
      </w:pPr>
      <w:r w:rsidRPr="00B6640F">
        <w:rPr>
          <w:rFonts w:ascii="Times New Roman" w:hAnsi="Times New Roman" w:cs="Times New Roman"/>
          <w:sz w:val="24"/>
          <w:szCs w:val="24"/>
        </w:rPr>
        <w:t>obostrzenia wpłynęły także na targowiska miejskie</w:t>
      </w:r>
      <w:r w:rsidR="006A70BA">
        <w:rPr>
          <w:rFonts w:ascii="Times New Roman" w:hAnsi="Times New Roman" w:cs="Times New Roman"/>
          <w:sz w:val="24"/>
          <w:szCs w:val="24"/>
        </w:rPr>
        <w:t>,</w:t>
      </w:r>
      <w:r w:rsidRPr="00B6640F">
        <w:rPr>
          <w:rFonts w:ascii="Times New Roman" w:hAnsi="Times New Roman" w:cs="Times New Roman"/>
          <w:sz w:val="24"/>
          <w:szCs w:val="24"/>
        </w:rPr>
        <w:t xml:space="preserve"> gdzie wyłączono możliwość sprzedaży produktów innych niż spożywcze. Działalność targowisk wróciła do normy po kilku tygodniach, jednak cały czas obowiązuje zasada zachowania dystansu społecznego </w:t>
      </w:r>
      <w:r w:rsidR="005D3E6C" w:rsidRPr="00B6640F">
        <w:rPr>
          <w:rFonts w:ascii="Times New Roman" w:hAnsi="Times New Roman" w:cs="Times New Roman"/>
          <w:sz w:val="24"/>
          <w:szCs w:val="24"/>
        </w:rPr>
        <w:br/>
      </w:r>
      <w:r w:rsidRPr="00B6640F">
        <w:rPr>
          <w:rFonts w:ascii="Times New Roman" w:hAnsi="Times New Roman" w:cs="Times New Roman"/>
          <w:sz w:val="24"/>
          <w:szCs w:val="24"/>
        </w:rPr>
        <w:t>i dezynfekcji;</w:t>
      </w:r>
    </w:p>
    <w:p w:rsidR="00AE6BCB" w:rsidRPr="00B6640F" w:rsidRDefault="00AE6BCB" w:rsidP="00912BD8">
      <w:pPr>
        <w:pStyle w:val="Tekstpodstawowy"/>
        <w:numPr>
          <w:ilvl w:val="0"/>
          <w:numId w:val="66"/>
        </w:numPr>
        <w:spacing w:after="0" w:line="240" w:lineRule="auto"/>
        <w:jc w:val="both"/>
        <w:rPr>
          <w:rFonts w:ascii="Times New Roman" w:hAnsi="Times New Roman" w:cs="Times New Roman"/>
          <w:sz w:val="24"/>
          <w:szCs w:val="24"/>
          <w:lang w:val="en-US"/>
        </w:rPr>
      </w:pPr>
      <w:r w:rsidRPr="00B6640F">
        <w:rPr>
          <w:rFonts w:ascii="Times New Roman" w:hAnsi="Times New Roman" w:cs="Times New Roman"/>
          <w:sz w:val="24"/>
          <w:szCs w:val="24"/>
        </w:rPr>
        <w:t xml:space="preserve">1 kwietnia 2020 r. wyłączono z użycia Toruński Rower Miejski. Zachęcano także mieszkańców do dezynfekcji dostępnych do wypożyczenia komercyjnych hulajnóg </w:t>
      </w:r>
      <w:r w:rsidR="00B6640F">
        <w:rPr>
          <w:rFonts w:ascii="Times New Roman" w:hAnsi="Times New Roman" w:cs="Times New Roman"/>
          <w:sz w:val="24"/>
          <w:szCs w:val="24"/>
        </w:rPr>
        <w:br/>
      </w:r>
      <w:r w:rsidRPr="00B6640F">
        <w:rPr>
          <w:rFonts w:ascii="Times New Roman" w:hAnsi="Times New Roman" w:cs="Times New Roman"/>
          <w:sz w:val="24"/>
          <w:szCs w:val="24"/>
        </w:rPr>
        <w:t xml:space="preserve">i skuterów przed skorzystaniem z nich. Toruński Rower Miejski uruchomiono ponownie </w:t>
      </w:r>
      <w:r w:rsidR="00B6640F">
        <w:rPr>
          <w:rFonts w:ascii="Times New Roman" w:hAnsi="Times New Roman" w:cs="Times New Roman"/>
          <w:sz w:val="24"/>
          <w:szCs w:val="24"/>
        </w:rPr>
        <w:br/>
      </w:r>
      <w:r w:rsidRPr="00B6640F">
        <w:rPr>
          <w:rFonts w:ascii="Times New Roman" w:hAnsi="Times New Roman" w:cs="Times New Roman"/>
          <w:sz w:val="24"/>
          <w:szCs w:val="24"/>
        </w:rPr>
        <w:t>6 maja 2020 r.</w:t>
      </w:r>
    </w:p>
    <w:p w:rsidR="00AE6BCB" w:rsidRPr="00722EC6" w:rsidRDefault="00AE6BCB" w:rsidP="009C7C02">
      <w:pPr>
        <w:pStyle w:val="ListParagraph"/>
        <w:spacing w:line="240" w:lineRule="auto"/>
        <w:ind w:left="644"/>
        <w:jc w:val="both"/>
      </w:pPr>
    </w:p>
    <w:p w:rsidR="00AE6BCB" w:rsidRPr="005E0D1B" w:rsidRDefault="00AE6BCB" w:rsidP="00C556DC">
      <w:pPr>
        <w:pStyle w:val="Nagwek1"/>
        <w:numPr>
          <w:ilvl w:val="0"/>
          <w:numId w:val="0"/>
        </w:numPr>
        <w:spacing w:line="240" w:lineRule="auto"/>
        <w:ind w:left="432" w:hanging="432"/>
        <w:jc w:val="both"/>
        <w:rPr>
          <w:i/>
          <w:color w:val="0070C0"/>
          <w:szCs w:val="24"/>
        </w:rPr>
      </w:pPr>
      <w:bookmarkStart w:id="11" w:name="__RefHeading__31902_2082197896"/>
      <w:bookmarkEnd w:id="11"/>
      <w:r w:rsidRPr="005E0D1B">
        <w:rPr>
          <w:i/>
          <w:color w:val="0070C0"/>
        </w:rPr>
        <w:t>Edukacja w dobie nauki zdalnej</w:t>
      </w:r>
    </w:p>
    <w:p w:rsidR="00871CB3" w:rsidRDefault="00AE6BCB" w:rsidP="00912BD8">
      <w:pPr>
        <w:numPr>
          <w:ilvl w:val="0"/>
          <w:numId w:val="67"/>
        </w:numPr>
        <w:spacing w:line="240" w:lineRule="auto"/>
        <w:jc w:val="both"/>
      </w:pPr>
      <w:r w:rsidRPr="00722EC6">
        <w:t>12 marca 2020 r. – zamknięto szkoły, przedszkola i oddziały przedszkolne w szkołach podstawowych a 25 marca 2020 r. rozporządzeniem Ministra Edukacji Narodowej rozpoczęto naukę zdalną, którą prowadzono w 66 jednostkach oświatowych (24.392 uczniów w 48 szkołach podstawowych  i 4</w:t>
      </w:r>
      <w:r w:rsidR="00270355">
        <w:t>.</w:t>
      </w:r>
      <w:r w:rsidRPr="00722EC6">
        <w:t>688 przedszkolaków w 18 przedszkolach miejskich);</w:t>
      </w:r>
    </w:p>
    <w:p w:rsidR="00871CB3" w:rsidRDefault="00AE6BCB" w:rsidP="00912BD8">
      <w:pPr>
        <w:numPr>
          <w:ilvl w:val="0"/>
          <w:numId w:val="67"/>
        </w:numPr>
        <w:spacing w:line="240" w:lineRule="auto"/>
        <w:jc w:val="both"/>
      </w:pPr>
      <w:r w:rsidRPr="00722EC6">
        <w:t xml:space="preserve">po zamknięciu placówek oświatowych konieczne było m.in. zabezpieczenie budynków szkolnych, zagospodarowanie pracowników a nawet produktów spożywczych </w:t>
      </w:r>
      <w:r w:rsidR="00270355">
        <w:br/>
      </w:r>
      <w:r w:rsidRPr="00722EC6">
        <w:t>ze szkolnych stołówek, które zostały przekazane do DPS i Schroniska dla Bezdomnych Mężczyzn;</w:t>
      </w:r>
    </w:p>
    <w:p w:rsidR="00871CB3" w:rsidRDefault="00AE6BCB" w:rsidP="00912BD8">
      <w:pPr>
        <w:numPr>
          <w:ilvl w:val="0"/>
          <w:numId w:val="67"/>
        </w:numPr>
        <w:spacing w:line="240" w:lineRule="auto"/>
        <w:jc w:val="both"/>
      </w:pPr>
      <w:r w:rsidRPr="00722EC6">
        <w:t>6 maja 2020 r. – powrót  uczniów przedszkoli i oddziałów  przedszkolnych do zajęć stacjonarnych w ściśle uregulowanym reżimie sanitarnym (limity powierzchni przypadającej na dziecko lub ucznia);</w:t>
      </w:r>
    </w:p>
    <w:p w:rsidR="00871CB3" w:rsidRDefault="00AE6BCB" w:rsidP="00912BD8">
      <w:pPr>
        <w:numPr>
          <w:ilvl w:val="0"/>
          <w:numId w:val="67"/>
        </w:numPr>
        <w:spacing w:line="240" w:lineRule="auto"/>
        <w:jc w:val="both"/>
      </w:pPr>
      <w:r w:rsidRPr="00722EC6">
        <w:t xml:space="preserve">przy otwieraniu placówek oświatowych najważniejszym zadaniem było dostosowanie planów zajęć oraz liczebności grup tak, aby wypełnić kryteria sanitarne określone </w:t>
      </w:r>
      <w:r w:rsidR="005D3E6C">
        <w:br/>
      </w:r>
      <w:r w:rsidRPr="00722EC6">
        <w:t>w rozporządzeniach;</w:t>
      </w:r>
    </w:p>
    <w:p w:rsidR="00871CB3" w:rsidRDefault="00AE6BCB" w:rsidP="00912BD8">
      <w:pPr>
        <w:numPr>
          <w:ilvl w:val="0"/>
          <w:numId w:val="67"/>
        </w:numPr>
        <w:spacing w:line="240" w:lineRule="auto"/>
        <w:jc w:val="both"/>
      </w:pPr>
      <w:r w:rsidRPr="00722EC6">
        <w:t xml:space="preserve">w ostatnim tygodniu maja </w:t>
      </w:r>
      <w:r w:rsidR="00BA13D0" w:rsidRPr="00722EC6">
        <w:t xml:space="preserve">2020 r. </w:t>
      </w:r>
      <w:r w:rsidR="00270355">
        <w:t>przeprowadzono</w:t>
      </w:r>
      <w:r w:rsidRPr="00722EC6">
        <w:t xml:space="preserve"> cykl badań immunologicznych pracowników żłobków, przedszkoli i oddziałów przedszkolnych, testy (ok. 800 szt.) zostały sfinansowane przez Gminę Miasta Toruń;</w:t>
      </w:r>
    </w:p>
    <w:p w:rsidR="00871CB3" w:rsidRDefault="00AE6BCB" w:rsidP="00912BD8">
      <w:pPr>
        <w:numPr>
          <w:ilvl w:val="0"/>
          <w:numId w:val="67"/>
        </w:numPr>
        <w:spacing w:line="240" w:lineRule="auto"/>
        <w:jc w:val="both"/>
      </w:pPr>
      <w:r w:rsidRPr="00722EC6">
        <w:t>8 czerwca 2020 r. - rozpoczęcie sesji egzaminów maturalnych. Przystąpiło do nich 2.412 maturzystów a egzamin zdało ponad 79% (</w:t>
      </w:r>
      <w:r w:rsidR="00270355">
        <w:t>co było wynikiem wyższym o 5 pp.</w:t>
      </w:r>
      <w:r w:rsidRPr="00722EC6">
        <w:t xml:space="preserve"> niż średnia ogólnopolska i 8 pp. niż średnia wojewódzka oraz najlepszym spośród wyników </w:t>
      </w:r>
      <w:r w:rsidR="00871CB3">
        <w:br/>
      </w:r>
      <w:r w:rsidRPr="00722EC6">
        <w:t>w miastach na prawach powiatu województwa kujawsko-pomorskiego);</w:t>
      </w:r>
    </w:p>
    <w:p w:rsidR="00871CB3" w:rsidRDefault="00AE6BCB" w:rsidP="00912BD8">
      <w:pPr>
        <w:numPr>
          <w:ilvl w:val="0"/>
          <w:numId w:val="67"/>
        </w:numPr>
        <w:spacing w:line="240" w:lineRule="auto"/>
        <w:jc w:val="both"/>
      </w:pPr>
      <w:r w:rsidRPr="00722EC6">
        <w:t>16-18 czerwca 2020 r. – przeprowadzenie egzaminu ósmoklasistów. Przystąpiło do niego 1.683 uczniów z 29 szkół podstawowych z klasami ósmymi i 1 szkoły dla dorosłych;</w:t>
      </w:r>
    </w:p>
    <w:p w:rsidR="00871CB3" w:rsidRDefault="00AE6BCB" w:rsidP="00912BD8">
      <w:pPr>
        <w:numPr>
          <w:ilvl w:val="0"/>
          <w:numId w:val="67"/>
        </w:numPr>
        <w:spacing w:line="240" w:lineRule="auto"/>
        <w:jc w:val="both"/>
      </w:pPr>
      <w:r w:rsidRPr="00722EC6">
        <w:t>1 września 2020 r. – powrót uczniów do szkół, działanie wznowiły wszystk</w:t>
      </w:r>
      <w:r w:rsidR="00BA13D0" w:rsidRPr="00722EC6">
        <w:t>ie placówki oświatowe, które</w:t>
      </w:r>
      <w:r w:rsidRPr="00722EC6">
        <w:t xml:space="preserve"> zostały wyposażone w środki ochrony osobistej z zasobów Urzędu Wojewódzkiego. Przygotowano wewnętrzne procedury postępowania w przypadku zagrożenia epidemicznego. Do nauki przystąpiło łącznie 29.491 uczniów (4</w:t>
      </w:r>
      <w:r w:rsidR="00270355">
        <w:t>.</w:t>
      </w:r>
      <w:r w:rsidRPr="00722EC6">
        <w:t>740 przedszkolaków, 13.749 uczniów szkół podstawowych, 10.513 uczniów szkół ponadpodstawowych, 489 uczniów ogólnokształcących szkół artystycznych) a pracę rozpo</w:t>
      </w:r>
      <w:r w:rsidR="00BA13D0" w:rsidRPr="00722EC6">
        <w:t>częło łącznie 3</w:t>
      </w:r>
      <w:r w:rsidR="00270355">
        <w:t>.</w:t>
      </w:r>
      <w:r w:rsidR="00BA13D0" w:rsidRPr="00722EC6">
        <w:t>249 nauczycieli;</w:t>
      </w:r>
    </w:p>
    <w:p w:rsidR="00871CB3" w:rsidRDefault="00AE6BCB" w:rsidP="00912BD8">
      <w:pPr>
        <w:numPr>
          <w:ilvl w:val="0"/>
          <w:numId w:val="67"/>
        </w:numPr>
        <w:spacing w:line="240" w:lineRule="auto"/>
        <w:jc w:val="both"/>
      </w:pPr>
      <w:r w:rsidRPr="00722EC6">
        <w:t xml:space="preserve">17 października 2020 r. Toruń włączono do </w:t>
      </w:r>
      <w:r w:rsidR="00270355">
        <w:t>“</w:t>
      </w:r>
      <w:r w:rsidRPr="00722EC6">
        <w:t>czerwonej strefy</w:t>
      </w:r>
      <w:r w:rsidR="00270355">
        <w:t>”</w:t>
      </w:r>
      <w:r w:rsidRPr="00722EC6">
        <w:t xml:space="preserve"> i tym samym toruńskie szkoły ponadpodstawowe powróciły do nauki zdalnej. Już 23 października 2020 r. ogłoszono ponowne zawieszenie stacjonarnych zajęć w klasach IV-VIII szkół podstawowych a od 9 listopada 2020 r. uczniów klas I-III szkół podstawowych;</w:t>
      </w:r>
    </w:p>
    <w:p w:rsidR="00871CB3" w:rsidRDefault="00BA13D0" w:rsidP="00912BD8">
      <w:pPr>
        <w:numPr>
          <w:ilvl w:val="0"/>
          <w:numId w:val="67"/>
        </w:numPr>
        <w:spacing w:line="240" w:lineRule="auto"/>
        <w:jc w:val="both"/>
      </w:pPr>
      <w:r w:rsidRPr="00722EC6">
        <w:t xml:space="preserve">w przygotowaniu do przyszłorocznych egzaminów </w:t>
      </w:r>
      <w:r w:rsidR="00AE6BCB" w:rsidRPr="00722EC6">
        <w:t>dla maturzystów</w:t>
      </w:r>
      <w:r w:rsidRPr="00722EC6">
        <w:t xml:space="preserve"> i ósmoklasistów organizowane były</w:t>
      </w:r>
      <w:r w:rsidR="00AE6BCB" w:rsidRPr="00722EC6">
        <w:t xml:space="preserve"> konsultacje z nauczycielami przygotowujące do egzaminów;</w:t>
      </w:r>
    </w:p>
    <w:p w:rsidR="00871CB3" w:rsidRDefault="00AE6BCB" w:rsidP="00912BD8">
      <w:pPr>
        <w:numPr>
          <w:ilvl w:val="0"/>
          <w:numId w:val="67"/>
        </w:numPr>
        <w:spacing w:line="240" w:lineRule="auto"/>
        <w:jc w:val="both"/>
      </w:pPr>
      <w:r w:rsidRPr="00722EC6">
        <w:lastRenderedPageBreak/>
        <w:t>istotnym było pozostawanie w stałym k</w:t>
      </w:r>
      <w:r w:rsidR="00871CB3">
        <w:t xml:space="preserve">ontakcie z dyrektorami szkół – </w:t>
      </w:r>
      <w:r w:rsidRPr="00722EC6">
        <w:t xml:space="preserve">w </w:t>
      </w:r>
      <w:r w:rsidR="00270355">
        <w:t>roku 2020 odbyły się (w trybie zdalnym)</w:t>
      </w:r>
      <w:r w:rsidR="00BA13D0" w:rsidRPr="00722EC6">
        <w:t xml:space="preserve"> 22</w:t>
      </w:r>
      <w:r w:rsidRPr="00722EC6">
        <w:t xml:space="preserve"> narady przedstawicieli UMT i szkół;</w:t>
      </w:r>
    </w:p>
    <w:p w:rsidR="00AE6BCB" w:rsidRPr="00722EC6" w:rsidRDefault="00AE6BCB" w:rsidP="00912BD8">
      <w:pPr>
        <w:numPr>
          <w:ilvl w:val="0"/>
          <w:numId w:val="67"/>
        </w:numPr>
        <w:spacing w:line="240" w:lineRule="auto"/>
        <w:jc w:val="both"/>
      </w:pPr>
      <w:r w:rsidRPr="00722EC6">
        <w:t>GMT skorzystała z możliwości jakie oferował program „Pol</w:t>
      </w:r>
      <w:r w:rsidR="00871CB3">
        <w:t>ska Cyfrowa”, „Aktywna Tablica”</w:t>
      </w:r>
      <w:r w:rsidRPr="00722EC6">
        <w:t>, „Zdalna Szkoła”  i „Zdalna Szkoła+” (poz</w:t>
      </w:r>
      <w:r w:rsidR="00722EC6">
        <w:t xml:space="preserve">yskano prawie 400 tys. zł) oraz </w:t>
      </w:r>
      <w:r w:rsidRPr="00722EC6">
        <w:t>przeprowadziła program „500 zł na sprzęt dla nauczyciela”.</w:t>
      </w:r>
    </w:p>
    <w:p w:rsidR="00AE6BCB" w:rsidRPr="00722EC6" w:rsidRDefault="00AE6BCB" w:rsidP="009C7C02">
      <w:pPr>
        <w:spacing w:line="240" w:lineRule="auto"/>
        <w:jc w:val="both"/>
      </w:pPr>
    </w:p>
    <w:p w:rsidR="00AE6BCB" w:rsidRPr="005E0D1B" w:rsidRDefault="00AE6BCB" w:rsidP="00C556DC">
      <w:pPr>
        <w:pStyle w:val="Nagwek1"/>
        <w:numPr>
          <w:ilvl w:val="0"/>
          <w:numId w:val="0"/>
        </w:numPr>
        <w:spacing w:line="240" w:lineRule="auto"/>
        <w:ind w:left="432" w:hanging="432"/>
        <w:rPr>
          <w:i/>
          <w:color w:val="0070C0"/>
          <w:szCs w:val="24"/>
        </w:rPr>
      </w:pPr>
      <w:bookmarkStart w:id="12" w:name="__RefHeading__31904_2082197896"/>
      <w:bookmarkEnd w:id="12"/>
      <w:r w:rsidRPr="005E0D1B">
        <w:rPr>
          <w:i/>
          <w:color w:val="0070C0"/>
        </w:rPr>
        <w:t>S</w:t>
      </w:r>
      <w:r w:rsidR="005E0D1B" w:rsidRPr="005E0D1B">
        <w:rPr>
          <w:i/>
          <w:color w:val="0070C0"/>
          <w:szCs w:val="24"/>
        </w:rPr>
        <w:t>port i kultura</w:t>
      </w:r>
    </w:p>
    <w:p w:rsidR="00DB30FE" w:rsidRDefault="00AE6BCB" w:rsidP="00912BD8">
      <w:pPr>
        <w:numPr>
          <w:ilvl w:val="0"/>
          <w:numId w:val="68"/>
        </w:numPr>
        <w:spacing w:line="240" w:lineRule="auto"/>
        <w:jc w:val="both"/>
      </w:pPr>
      <w:r w:rsidRPr="00722EC6">
        <w:t xml:space="preserve">ograniczenia spowodowały odwołanie części imprez sportowych. W okresie poluzowania obostrzeń (tj. w okresie wakacyjnym) udało się jednak zrealizować kampanię „Lato </w:t>
      </w:r>
      <w:r w:rsidR="00DB30FE">
        <w:br/>
      </w:r>
      <w:r w:rsidRPr="00722EC6">
        <w:t>w Toruniu bez nudy 2020” – w jej ramach odbyło się 40 wydarzeń. W trzech lokalizacjach otwarto baseny letnie, przeprowadzono zajęcia z nauki pływania or</w:t>
      </w:r>
      <w:r w:rsidR="0062424B" w:rsidRPr="00722EC6">
        <w:t>a</w:t>
      </w:r>
      <w:r w:rsidRPr="00722EC6">
        <w:t xml:space="preserve">z zajęcia na Orlikach, treningi lekkoatletyczne i tańca a także organizowano mini-wydarzenia sportowe tj. Wielka Koszykarska Feta, czy Mistrzostwa Torunia </w:t>
      </w:r>
      <w:r w:rsidR="00DB30FE">
        <w:br/>
      </w:r>
      <w:r w:rsidRPr="00722EC6">
        <w:t>w Pumptracku;</w:t>
      </w:r>
    </w:p>
    <w:p w:rsidR="00DB30FE" w:rsidRDefault="00AE6BCB" w:rsidP="00912BD8">
      <w:pPr>
        <w:numPr>
          <w:ilvl w:val="0"/>
          <w:numId w:val="68"/>
        </w:numPr>
        <w:spacing w:line="240" w:lineRule="auto"/>
        <w:jc w:val="both"/>
      </w:pPr>
      <w:r w:rsidRPr="00722EC6">
        <w:t>pomimo ograniczeń nakładanych w ciągu roku udało się zorganizować najważniejsze wydarzenia sportowe tj. Bella Plaż</w:t>
      </w:r>
      <w:r w:rsidR="005D3E6C">
        <w:t>a Gotyku (8-14 czerwca 2020 r.),</w:t>
      </w:r>
      <w:r w:rsidRPr="00722EC6">
        <w:t xml:space="preserve"> Speedway European Championships – Mistrzostwa Europy na żużlu (2 ru</w:t>
      </w:r>
      <w:r w:rsidR="005D3E6C">
        <w:t>ndy 2 i 3 października 2020 r.),</w:t>
      </w:r>
      <w:r w:rsidRPr="00722EC6">
        <w:t xml:space="preserve"> Indywidualne Międzynarodowe Mistrzostwa Ekstraligi</w:t>
      </w:r>
      <w:r w:rsidR="005D3E6C">
        <w:t xml:space="preserve"> Żużlowej (15 sierpnia 2020 r.),</w:t>
      </w:r>
      <w:r w:rsidRPr="00722EC6">
        <w:t xml:space="preserve"> </w:t>
      </w:r>
      <w:r w:rsidR="00DB30FE">
        <w:br/>
      </w:r>
      <w:r w:rsidRPr="00722EC6">
        <w:t>VI Copernicus Cup 2021 (17 lutego 2021 r. bez udziału publiczności).</w:t>
      </w:r>
    </w:p>
    <w:p w:rsidR="00DB30FE" w:rsidRDefault="00AE6BCB" w:rsidP="00912BD8">
      <w:pPr>
        <w:numPr>
          <w:ilvl w:val="0"/>
          <w:numId w:val="68"/>
        </w:numPr>
        <w:spacing w:line="240" w:lineRule="auto"/>
        <w:jc w:val="both"/>
      </w:pPr>
      <w:r w:rsidRPr="00722EC6">
        <w:t>w sumie w wyn</w:t>
      </w:r>
      <w:r w:rsidR="00270355">
        <w:t xml:space="preserve">iku obostrzeń w </w:t>
      </w:r>
      <w:r w:rsidRPr="00722EC6">
        <w:t>2020</w:t>
      </w:r>
      <w:r w:rsidR="00270355">
        <w:t xml:space="preserve"> r.</w:t>
      </w:r>
      <w:r w:rsidRPr="00722EC6">
        <w:t xml:space="preserve"> defi</w:t>
      </w:r>
      <w:r w:rsidR="00DB30FE">
        <w:t xml:space="preserve">nitywnie odwołano 23 wydarzenia </w:t>
      </w:r>
      <w:r w:rsidRPr="00722EC6">
        <w:t>sportowe;</w:t>
      </w:r>
    </w:p>
    <w:p w:rsidR="00DB30FE" w:rsidRDefault="00AE6BCB" w:rsidP="00912BD8">
      <w:pPr>
        <w:numPr>
          <w:ilvl w:val="0"/>
          <w:numId w:val="68"/>
        </w:numPr>
        <w:spacing w:line="240" w:lineRule="auto"/>
        <w:jc w:val="both"/>
      </w:pPr>
      <w:r w:rsidRPr="00722EC6">
        <w:t xml:space="preserve">nie udało się oficjalnie otworzyć w planowanym terminie </w:t>
      </w:r>
      <w:r w:rsidR="005D3E6C">
        <w:t>(</w:t>
      </w:r>
      <w:r w:rsidR="0062424B" w:rsidRPr="00722EC6">
        <w:t xml:space="preserve">6.12.2020r.) </w:t>
      </w:r>
      <w:r w:rsidRPr="00722EC6">
        <w:t>zmodernizowanego basenu AquaToruń przy ul. Bażyńskich;</w:t>
      </w:r>
    </w:p>
    <w:p w:rsidR="00AE6BCB" w:rsidRPr="00722EC6" w:rsidRDefault="00AE6BCB" w:rsidP="00912BD8">
      <w:pPr>
        <w:numPr>
          <w:ilvl w:val="0"/>
          <w:numId w:val="68"/>
        </w:numPr>
        <w:spacing w:line="240" w:lineRule="auto"/>
        <w:jc w:val="both"/>
      </w:pPr>
      <w:r w:rsidRPr="00722EC6">
        <w:t xml:space="preserve">po pierwszej fali epidemii 4 maja 2020 r. działalność wznowiły instytucje kultury, które </w:t>
      </w:r>
      <w:r w:rsidR="00DB30FE">
        <w:br/>
      </w:r>
      <w:r w:rsidRPr="00722EC6">
        <w:t xml:space="preserve">z różnymi obostrzeniami były otwarte dla zwiedzających do 7 listopada 2020 r. Instytucje kultury przez cały okres zamknięcia realizowały programy artystyczne – głównie online </w:t>
      </w:r>
      <w:r w:rsidR="00DB30FE">
        <w:br/>
      </w:r>
      <w:r w:rsidRPr="00722EC6">
        <w:t>z transmisjami w portalach społecznościowych lub telewizji. W ten sposób udało się także przeprowadzić: w dniach 17-24 października 2020 r. 18. Międzynarodowy Festiwal Filmowy Tofifest; w dniach 14-21 listopada 27. Międzynarodowy Festiwal Autorów Sztuki Filmowej EnergaCamerimage.</w:t>
      </w:r>
    </w:p>
    <w:p w:rsidR="00AE6BCB" w:rsidRPr="00722EC6" w:rsidRDefault="00AE6BCB" w:rsidP="009C7C02">
      <w:pPr>
        <w:pStyle w:val="ListParagraph"/>
        <w:spacing w:line="240" w:lineRule="auto"/>
        <w:ind w:left="1440"/>
        <w:jc w:val="both"/>
      </w:pPr>
    </w:p>
    <w:p w:rsidR="00AE6BCB" w:rsidRPr="005E0D1B" w:rsidRDefault="005E0D1B" w:rsidP="00C556DC">
      <w:pPr>
        <w:pStyle w:val="Nagwek1"/>
        <w:numPr>
          <w:ilvl w:val="0"/>
          <w:numId w:val="0"/>
        </w:numPr>
        <w:spacing w:line="240" w:lineRule="auto"/>
        <w:ind w:left="432" w:hanging="432"/>
        <w:jc w:val="both"/>
        <w:rPr>
          <w:i/>
          <w:color w:val="0070C0"/>
          <w:szCs w:val="24"/>
        </w:rPr>
      </w:pPr>
      <w:bookmarkStart w:id="13" w:name="__RefHeading__31906_2082197896"/>
      <w:bookmarkEnd w:id="13"/>
      <w:r w:rsidRPr="005E0D1B">
        <w:rPr>
          <w:i/>
          <w:color w:val="0070C0"/>
          <w:szCs w:val="24"/>
        </w:rPr>
        <w:t>Toruń dla przedsiębiorców</w:t>
      </w:r>
    </w:p>
    <w:p w:rsidR="00AE6BCB" w:rsidRDefault="00AE6BCB" w:rsidP="00270355">
      <w:pPr>
        <w:spacing w:line="240" w:lineRule="auto"/>
        <w:jc w:val="both"/>
        <w:rPr>
          <w:lang w:val="pl-PL"/>
        </w:rPr>
      </w:pPr>
      <w:r w:rsidRPr="00722EC6">
        <w:rPr>
          <w:lang w:val="pl-PL"/>
        </w:rPr>
        <w:t>Pa</w:t>
      </w:r>
      <w:r w:rsidR="0062424B" w:rsidRPr="00722EC6">
        <w:rPr>
          <w:lang w:val="pl-PL"/>
        </w:rPr>
        <w:t xml:space="preserve">kiet działań pomocowych Gminy Miasta Toruń, wprowadzonych w 2020 r., </w:t>
      </w:r>
      <w:r w:rsidRPr="00722EC6">
        <w:rPr>
          <w:lang w:val="pl-PL"/>
        </w:rPr>
        <w:t>zawiera:</w:t>
      </w:r>
    </w:p>
    <w:p w:rsidR="00A8081B" w:rsidRDefault="00AE6BCB" w:rsidP="00270355">
      <w:pPr>
        <w:numPr>
          <w:ilvl w:val="0"/>
          <w:numId w:val="69"/>
        </w:numPr>
        <w:spacing w:line="240" w:lineRule="auto"/>
        <w:jc w:val="both"/>
        <w:rPr>
          <w:lang w:val="pl-PL"/>
        </w:rPr>
      </w:pPr>
      <w:r w:rsidRPr="00722EC6">
        <w:t>zwolnienia z zapłaty podatku od nieruchomości;</w:t>
      </w:r>
    </w:p>
    <w:p w:rsidR="00A8081B" w:rsidRPr="00A8081B" w:rsidRDefault="00AE6BCB" w:rsidP="00270355">
      <w:pPr>
        <w:numPr>
          <w:ilvl w:val="0"/>
          <w:numId w:val="69"/>
        </w:numPr>
        <w:spacing w:line="240" w:lineRule="auto"/>
        <w:jc w:val="both"/>
        <w:rPr>
          <w:lang w:val="pl-PL"/>
        </w:rPr>
      </w:pPr>
      <w:r w:rsidRPr="00722EC6">
        <w:t>przesunięcia terminu płatnoś</w:t>
      </w:r>
      <w:r w:rsidR="00A8081B">
        <w:t>ci rat podatku od nieruchomości,</w:t>
      </w:r>
    </w:p>
    <w:p w:rsidR="00A8081B" w:rsidRDefault="00AE6BCB" w:rsidP="00270355">
      <w:pPr>
        <w:numPr>
          <w:ilvl w:val="0"/>
          <w:numId w:val="69"/>
        </w:numPr>
        <w:spacing w:line="240" w:lineRule="auto"/>
        <w:jc w:val="both"/>
        <w:rPr>
          <w:lang w:val="pl-PL"/>
        </w:rPr>
      </w:pPr>
      <w:r w:rsidRPr="00722EC6">
        <w:t xml:space="preserve"> 90% obniżki czynszu za wynajem lokali użytkowych;</w:t>
      </w:r>
    </w:p>
    <w:p w:rsidR="00A8081B" w:rsidRDefault="00AE6BCB" w:rsidP="00270355">
      <w:pPr>
        <w:numPr>
          <w:ilvl w:val="0"/>
          <w:numId w:val="69"/>
        </w:numPr>
        <w:spacing w:line="240" w:lineRule="auto"/>
        <w:jc w:val="both"/>
        <w:rPr>
          <w:lang w:val="pl-PL"/>
        </w:rPr>
      </w:pPr>
      <w:r w:rsidRPr="00722EC6">
        <w:t>90% obniżki stawek czynszu za najem/ dzierżawę terenu (letnie ogródki gastronomiczne);</w:t>
      </w:r>
    </w:p>
    <w:p w:rsidR="00A8081B" w:rsidRDefault="00AE6BCB" w:rsidP="00270355">
      <w:pPr>
        <w:numPr>
          <w:ilvl w:val="0"/>
          <w:numId w:val="69"/>
        </w:numPr>
        <w:spacing w:line="240" w:lineRule="auto"/>
        <w:jc w:val="both"/>
        <w:rPr>
          <w:lang w:val="pl-PL"/>
        </w:rPr>
      </w:pPr>
      <w:r w:rsidRPr="00722EC6">
        <w:t>zwolnienia z opłaty za cały rok 2021 za korzystanie z zezwoleń na sprzedaż napojów alkoholowych;</w:t>
      </w:r>
    </w:p>
    <w:p w:rsidR="00A8081B" w:rsidRDefault="00AE6BCB" w:rsidP="00270355">
      <w:pPr>
        <w:numPr>
          <w:ilvl w:val="0"/>
          <w:numId w:val="69"/>
        </w:numPr>
        <w:spacing w:line="240" w:lineRule="auto"/>
        <w:jc w:val="both"/>
        <w:rPr>
          <w:lang w:val="pl-PL"/>
        </w:rPr>
      </w:pPr>
      <w:r w:rsidRPr="00722EC6">
        <w:t>obniżki czynszu za najem pomieszczeń w obiektach oświatowych;</w:t>
      </w:r>
    </w:p>
    <w:p w:rsidR="00A8081B" w:rsidRDefault="00AE6BCB" w:rsidP="00270355">
      <w:pPr>
        <w:numPr>
          <w:ilvl w:val="0"/>
          <w:numId w:val="69"/>
        </w:numPr>
        <w:spacing w:line="240" w:lineRule="auto"/>
        <w:jc w:val="both"/>
        <w:rPr>
          <w:lang w:val="pl-PL"/>
        </w:rPr>
      </w:pPr>
      <w:r w:rsidRPr="00722EC6">
        <w:t>preferencyjna, wynosząca 30 zł na miesiąc opłata za wjazd i całodobowy postój pojazdu na terenie Strefy Płatnego Parkowania;</w:t>
      </w:r>
    </w:p>
    <w:p w:rsidR="00AE6BCB" w:rsidRPr="00A8081B" w:rsidRDefault="00AE6BCB" w:rsidP="00270355">
      <w:pPr>
        <w:numPr>
          <w:ilvl w:val="0"/>
          <w:numId w:val="69"/>
        </w:numPr>
        <w:spacing w:line="240" w:lineRule="auto"/>
        <w:jc w:val="both"/>
        <w:rPr>
          <w:lang w:val="pl-PL"/>
        </w:rPr>
      </w:pPr>
      <w:r w:rsidRPr="00722EC6">
        <w:t xml:space="preserve">możliwość ubiegania się na zasadach ogólnych o udzielenie ulg w spłacie swoich zobowiązań wobec Gminy (bez pobierania odsetek od zobowiązań rozkładanych na raty </w:t>
      </w:r>
      <w:r w:rsidR="00270355">
        <w:br/>
      </w:r>
      <w:r w:rsidRPr="00722EC6">
        <w:t>i opłaty prolongacyjnej).</w:t>
      </w:r>
    </w:p>
    <w:p w:rsidR="00AE6BCB" w:rsidRDefault="00AE6BCB" w:rsidP="00270355">
      <w:pPr>
        <w:spacing w:line="240" w:lineRule="auto"/>
        <w:jc w:val="both"/>
      </w:pPr>
      <w:r w:rsidRPr="00722EC6">
        <w:t>Ponadto Gmina Miasta Toruń podejmowała szereg innych działań:</w:t>
      </w:r>
    </w:p>
    <w:p w:rsidR="00AE6BCB" w:rsidRDefault="00AE6BCB" w:rsidP="00270355">
      <w:pPr>
        <w:numPr>
          <w:ilvl w:val="0"/>
          <w:numId w:val="70"/>
        </w:numPr>
        <w:spacing w:line="240" w:lineRule="auto"/>
        <w:jc w:val="both"/>
      </w:pPr>
      <w:r w:rsidRPr="00722EC6">
        <w:t xml:space="preserve"> powstała toruńska baza restauracji na wynos i z dowozem;</w:t>
      </w:r>
    </w:p>
    <w:p w:rsidR="00A8081B" w:rsidRDefault="00AE6BCB" w:rsidP="00270355">
      <w:pPr>
        <w:numPr>
          <w:ilvl w:val="0"/>
          <w:numId w:val="70"/>
        </w:numPr>
        <w:spacing w:line="240" w:lineRule="auto"/>
        <w:jc w:val="both"/>
      </w:pPr>
      <w:r w:rsidRPr="00722EC6">
        <w:t>zapewniono bezpłatną pomoc prawną dla przedsiębiorców</w:t>
      </w:r>
      <w:r w:rsidR="00270355">
        <w:t>,</w:t>
      </w:r>
      <w:r w:rsidRPr="00722EC6">
        <w:t xml:space="preserve"> zorganizowaną przez Centrum Wsparcia Biznesu;</w:t>
      </w:r>
    </w:p>
    <w:p w:rsidR="00A8081B" w:rsidRDefault="00AE6BCB" w:rsidP="00912BD8">
      <w:pPr>
        <w:numPr>
          <w:ilvl w:val="0"/>
          <w:numId w:val="70"/>
        </w:numPr>
        <w:spacing w:line="240" w:lineRule="auto"/>
        <w:jc w:val="both"/>
      </w:pPr>
      <w:r w:rsidRPr="00722EC6">
        <w:lastRenderedPageBreak/>
        <w:t xml:space="preserve">Toruński Bon Turystyczny – od 30.04.2020 </w:t>
      </w:r>
      <w:r w:rsidR="0062424B" w:rsidRPr="00722EC6">
        <w:t xml:space="preserve">r. </w:t>
      </w:r>
      <w:r w:rsidRPr="00722EC6">
        <w:t>we współpracy z Lokalną Organizacją Turystyczną organizowano sprzedaż bonów na usługi hotelarskie, gastronomiczne, wstęp do atrakcji turystycznych itp. które będą mogły zostać wykorzystane po ustabilizowaniu sytuacji epidemicznej;</w:t>
      </w:r>
    </w:p>
    <w:p w:rsidR="00A8081B" w:rsidRDefault="00AE6BCB" w:rsidP="00912BD8">
      <w:pPr>
        <w:numPr>
          <w:ilvl w:val="0"/>
          <w:numId w:val="70"/>
        </w:numPr>
        <w:spacing w:line="240" w:lineRule="auto"/>
        <w:jc w:val="both"/>
      </w:pPr>
      <w:r w:rsidRPr="00722EC6">
        <w:t>w obliczu zamknięcia cmentarzy w związku ze świętem Wszystkich Świętych GMT zaproponowało pomoc przedsiębiorcom zajmującym się handlem kwiatami i zniczami - przedsiębiorcy, którzy uzyskali wcześniej decyzje pozwalające na zajęcie pasa drogowego, aby prowadzić handel pod cmentarzami i z nich nie skorzystali, mogli wnioskować o zw</w:t>
      </w:r>
      <w:r w:rsidR="00270355">
        <w:t>rot wniesionej opłaty. I</w:t>
      </w:r>
      <w:r w:rsidRPr="00722EC6">
        <w:t>nną formę akcji pomocowej zaproponowała Agencja Restrukturyzacji i Modernizacji Rolnictwa, która zakupiła od przedsiębiorców kwiaty, które następnie zdobiły nasze miasto;</w:t>
      </w:r>
    </w:p>
    <w:p w:rsidR="00A8081B" w:rsidRDefault="00AE6BCB" w:rsidP="00912BD8">
      <w:pPr>
        <w:numPr>
          <w:ilvl w:val="0"/>
          <w:numId w:val="70"/>
        </w:numPr>
        <w:spacing w:line="240" w:lineRule="auto"/>
        <w:jc w:val="both"/>
      </w:pPr>
      <w:r w:rsidRPr="00722EC6">
        <w:t xml:space="preserve">Wigilia Miejska </w:t>
      </w:r>
      <w:r w:rsidR="00270355">
        <w:t xml:space="preserve">2020 r. </w:t>
      </w:r>
      <w:r w:rsidRPr="00722EC6">
        <w:t xml:space="preserve">przybrała nieco inny charakter – dla najbardziej potrzebujących </w:t>
      </w:r>
      <w:r w:rsidR="00C02FFA">
        <w:br/>
      </w:r>
      <w:r w:rsidRPr="00722EC6">
        <w:t>w mieście przygotowano paczki żywnościowe (ok. 1</w:t>
      </w:r>
      <w:r w:rsidR="00270355">
        <w:t>.</w:t>
      </w:r>
      <w:r w:rsidRPr="00722EC6">
        <w:t>700 szt.)</w:t>
      </w:r>
      <w:r w:rsidR="0062424B" w:rsidRPr="00722EC6">
        <w:t>,</w:t>
      </w:r>
      <w:r w:rsidRPr="00722EC6">
        <w:t xml:space="preserve"> które zakupiło miasto od toruńskich restauratorów;</w:t>
      </w:r>
    </w:p>
    <w:p w:rsidR="00AE6BCB" w:rsidRPr="00722EC6" w:rsidRDefault="00AE6BCB" w:rsidP="00912BD8">
      <w:pPr>
        <w:numPr>
          <w:ilvl w:val="0"/>
          <w:numId w:val="70"/>
        </w:numPr>
        <w:spacing w:line="240" w:lineRule="auto"/>
        <w:jc w:val="both"/>
      </w:pPr>
      <w:r w:rsidRPr="00722EC6">
        <w:t>wdrożono akcje promujące lokalny rynek</w:t>
      </w:r>
      <w:r w:rsidR="0062424B" w:rsidRPr="00722EC6">
        <w:t xml:space="preserve"> oraz wspierające toruńską branżę</w:t>
      </w:r>
      <w:r w:rsidR="00C02FFA">
        <w:t xml:space="preserve"> gastronomiczną (np. </w:t>
      </w:r>
      <w:r w:rsidRPr="00722EC6">
        <w:t>#kupujlokalniewspi</w:t>
      </w:r>
      <w:r w:rsidR="00C02FFA">
        <w:t>erajToruń).</w:t>
      </w:r>
    </w:p>
    <w:p w:rsidR="00AE6BCB" w:rsidRPr="00722EC6" w:rsidRDefault="00AE6BCB" w:rsidP="009C7C02">
      <w:pPr>
        <w:pStyle w:val="ListParagraph"/>
        <w:spacing w:line="240" w:lineRule="auto"/>
        <w:ind w:left="644"/>
        <w:jc w:val="both"/>
      </w:pPr>
    </w:p>
    <w:p w:rsidR="00AE6BCB" w:rsidRPr="005E0D1B" w:rsidRDefault="00AE6BCB" w:rsidP="00C556DC">
      <w:pPr>
        <w:pStyle w:val="Nagwek1"/>
        <w:numPr>
          <w:ilvl w:val="0"/>
          <w:numId w:val="0"/>
        </w:numPr>
        <w:spacing w:line="240" w:lineRule="auto"/>
        <w:ind w:left="432" w:hanging="432"/>
        <w:jc w:val="both"/>
        <w:rPr>
          <w:i/>
          <w:color w:val="0070C0"/>
          <w:szCs w:val="24"/>
        </w:rPr>
      </w:pPr>
      <w:bookmarkStart w:id="14" w:name="__RefHeading__31908_2082197896"/>
      <w:bookmarkEnd w:id="14"/>
      <w:r w:rsidRPr="005E0D1B">
        <w:rPr>
          <w:i/>
          <w:color w:val="0070C0"/>
          <w:szCs w:val="24"/>
        </w:rPr>
        <w:t>Tarcza antykryzysowa</w:t>
      </w:r>
    </w:p>
    <w:p w:rsidR="00AE6BCB" w:rsidRDefault="00AE6BCB" w:rsidP="009C7C02">
      <w:pPr>
        <w:spacing w:line="240" w:lineRule="auto"/>
        <w:jc w:val="both"/>
      </w:pPr>
      <w:r w:rsidRPr="00722EC6">
        <w:t xml:space="preserve">Powiatowy Urząd Pracy dla Miasta Torunia </w:t>
      </w:r>
      <w:r w:rsidR="0062424B" w:rsidRPr="00722EC6">
        <w:t>wdrożył w 2020 r.</w:t>
      </w:r>
      <w:r w:rsidRPr="00722EC6">
        <w:t xml:space="preserve"> działania pomocowe </w:t>
      </w:r>
      <w:r w:rsidR="00552478">
        <w:br/>
      </w:r>
      <w:r w:rsidRPr="00722EC6">
        <w:t>z rządowej Tarczy Anty</w:t>
      </w:r>
      <w:r w:rsidR="0062424B" w:rsidRPr="00722EC6">
        <w:t>kryzysowej, a wśród nich:</w:t>
      </w:r>
    </w:p>
    <w:p w:rsidR="00C02FFA" w:rsidRDefault="00AE6BCB" w:rsidP="00912BD8">
      <w:pPr>
        <w:numPr>
          <w:ilvl w:val="0"/>
          <w:numId w:val="71"/>
        </w:numPr>
        <w:spacing w:line="240" w:lineRule="auto"/>
        <w:jc w:val="both"/>
      </w:pPr>
      <w:r w:rsidRPr="00722EC6">
        <w:t>niskoooprocentowana pożyczka z Funduszu Pracy;</w:t>
      </w:r>
    </w:p>
    <w:p w:rsidR="00C02FFA" w:rsidRDefault="00AE6BCB" w:rsidP="00912BD8">
      <w:pPr>
        <w:numPr>
          <w:ilvl w:val="0"/>
          <w:numId w:val="71"/>
        </w:numPr>
        <w:spacing w:line="240" w:lineRule="auto"/>
        <w:jc w:val="both"/>
      </w:pPr>
      <w:r w:rsidRPr="00722EC6">
        <w:t>dofinansowanie części kosztów wynagrodzeń pracowników oraz należnych od nich składek na ubezpieczenia społeczne dla MŚP;</w:t>
      </w:r>
    </w:p>
    <w:p w:rsidR="00C02FFA" w:rsidRDefault="00AE6BCB" w:rsidP="00912BD8">
      <w:pPr>
        <w:numPr>
          <w:ilvl w:val="0"/>
          <w:numId w:val="71"/>
        </w:numPr>
        <w:spacing w:line="240" w:lineRule="auto"/>
        <w:jc w:val="both"/>
      </w:pPr>
      <w:r w:rsidRPr="00722EC6">
        <w:t>dofinansowanie części kosztów prowadzenia działalności gospodarczej dla przedsiębiorcy będącego osobą fizyczną niezatrudniającą pracowników;</w:t>
      </w:r>
    </w:p>
    <w:p w:rsidR="00C02FFA" w:rsidRDefault="00AE6BCB" w:rsidP="00912BD8">
      <w:pPr>
        <w:numPr>
          <w:ilvl w:val="0"/>
          <w:numId w:val="71"/>
        </w:numPr>
        <w:spacing w:line="240" w:lineRule="auto"/>
        <w:jc w:val="both"/>
      </w:pPr>
      <w:r w:rsidRPr="00722EC6">
        <w:t>dofinansowanie części kosztów wynagrodzeń pracowników oraz należnych od nich składek na ubezpieczenia społeczne dla organizacji pozarządowych;</w:t>
      </w:r>
    </w:p>
    <w:p w:rsidR="00C02FFA" w:rsidRDefault="00AE6BCB" w:rsidP="00912BD8">
      <w:pPr>
        <w:numPr>
          <w:ilvl w:val="0"/>
          <w:numId w:val="71"/>
        </w:numPr>
        <w:spacing w:line="240" w:lineRule="auto"/>
        <w:jc w:val="both"/>
      </w:pPr>
      <w:r w:rsidRPr="00722EC6">
        <w:t>niskooprocentowana pożyczka z Funduszu Pracy dla organizacji pozarządowych;</w:t>
      </w:r>
    </w:p>
    <w:p w:rsidR="00C02FFA" w:rsidRDefault="00AE6BCB" w:rsidP="00912BD8">
      <w:pPr>
        <w:numPr>
          <w:ilvl w:val="0"/>
          <w:numId w:val="71"/>
        </w:numPr>
        <w:spacing w:line="240" w:lineRule="auto"/>
        <w:jc w:val="both"/>
      </w:pPr>
      <w:r w:rsidRPr="00722EC6">
        <w:t>dotacje dla mikro i małych przedsiębiorstw określonych branż;</w:t>
      </w:r>
    </w:p>
    <w:p w:rsidR="00AE6BCB" w:rsidRPr="00722EC6" w:rsidRDefault="00AE6BCB" w:rsidP="00912BD8">
      <w:pPr>
        <w:numPr>
          <w:ilvl w:val="0"/>
          <w:numId w:val="71"/>
        </w:numPr>
        <w:spacing w:line="240" w:lineRule="auto"/>
        <w:jc w:val="both"/>
      </w:pPr>
      <w:r w:rsidRPr="00722EC6">
        <w:t xml:space="preserve">łącznie PUP </w:t>
      </w:r>
      <w:r w:rsidR="0062424B" w:rsidRPr="00722EC6">
        <w:t xml:space="preserve">w 2020 r. </w:t>
      </w:r>
      <w:r w:rsidRPr="00722EC6">
        <w:t xml:space="preserve">od początku pandemii wypłacił w ramach wszystkich działań </w:t>
      </w:r>
      <w:r w:rsidR="0062424B" w:rsidRPr="00722EC6">
        <w:t>ponad 100 mln zł w odpowiedzi na 15</w:t>
      </w:r>
      <w:r w:rsidRPr="00722EC6">
        <w:t xml:space="preserve"> tys. pozytywnie ocenionych wniosków.</w:t>
      </w:r>
    </w:p>
    <w:p w:rsidR="00AE6BCB" w:rsidRPr="00722EC6" w:rsidRDefault="00AE6BCB" w:rsidP="009C7C02">
      <w:pPr>
        <w:pStyle w:val="ListParagraph"/>
        <w:spacing w:line="240" w:lineRule="auto"/>
        <w:ind w:left="720"/>
        <w:jc w:val="both"/>
      </w:pPr>
    </w:p>
    <w:p w:rsidR="00C556DC" w:rsidRPr="00C556DC" w:rsidRDefault="005E0D1B" w:rsidP="00C556DC">
      <w:pPr>
        <w:pStyle w:val="Nagwek1"/>
        <w:numPr>
          <w:ilvl w:val="0"/>
          <w:numId w:val="0"/>
        </w:numPr>
        <w:spacing w:line="240" w:lineRule="auto"/>
        <w:ind w:left="432" w:hanging="432"/>
        <w:jc w:val="both"/>
        <w:rPr>
          <w:i/>
          <w:color w:val="0070C0"/>
          <w:szCs w:val="24"/>
        </w:rPr>
      </w:pPr>
      <w:bookmarkStart w:id="15" w:name="__RefHeading__31910_2082197896"/>
      <w:bookmarkEnd w:id="15"/>
      <w:r w:rsidRPr="005E0D1B">
        <w:rPr>
          <w:i/>
          <w:color w:val="0070C0"/>
          <w:szCs w:val="24"/>
        </w:rPr>
        <w:t>Inwestycje w mieście</w:t>
      </w:r>
    </w:p>
    <w:p w:rsidR="00AE6BCB" w:rsidRDefault="00AE6BCB" w:rsidP="00912BD8">
      <w:pPr>
        <w:pStyle w:val="Nagwek1"/>
        <w:numPr>
          <w:ilvl w:val="0"/>
          <w:numId w:val="72"/>
        </w:numPr>
        <w:spacing w:line="240" w:lineRule="auto"/>
        <w:jc w:val="both"/>
        <w:rPr>
          <w:b w:val="0"/>
          <w:bCs/>
        </w:rPr>
      </w:pPr>
      <w:r w:rsidRPr="00C556DC">
        <w:rPr>
          <w:b w:val="0"/>
          <w:bCs/>
        </w:rPr>
        <w:t>brak opóźnień w realizacji najważniejszych inwestycji miejskich;</w:t>
      </w:r>
    </w:p>
    <w:p w:rsidR="00AE6BCB" w:rsidRPr="00C556DC" w:rsidRDefault="00AE6BCB" w:rsidP="00912BD8">
      <w:pPr>
        <w:pStyle w:val="Tekstpodstawowy"/>
        <w:numPr>
          <w:ilvl w:val="0"/>
          <w:numId w:val="72"/>
        </w:numPr>
        <w:spacing w:after="0" w:line="240" w:lineRule="auto"/>
        <w:rPr>
          <w:rFonts w:ascii="Times New Roman" w:hAnsi="Times New Roman" w:cs="Times New Roman"/>
          <w:sz w:val="24"/>
          <w:szCs w:val="24"/>
          <w:lang w:val="en-US"/>
        </w:rPr>
      </w:pPr>
      <w:r w:rsidRPr="00C556DC">
        <w:rPr>
          <w:rFonts w:ascii="Times New Roman" w:hAnsi="Times New Roman" w:cs="Times New Roman"/>
          <w:sz w:val="24"/>
          <w:szCs w:val="24"/>
        </w:rPr>
        <w:t xml:space="preserve">zakończone zadania: </w:t>
      </w:r>
    </w:p>
    <w:p w:rsidR="00AE6BCB" w:rsidRPr="00722EC6" w:rsidRDefault="00AE6BCB" w:rsidP="00912BD8">
      <w:pPr>
        <w:numPr>
          <w:ilvl w:val="1"/>
          <w:numId w:val="17"/>
        </w:numPr>
        <w:spacing w:line="240" w:lineRule="auto"/>
        <w:jc w:val="both"/>
      </w:pPr>
      <w:r w:rsidRPr="00722EC6">
        <w:t>modernizacja i rozbudowa budynku basenu przy ul. Bażyńskich;</w:t>
      </w:r>
    </w:p>
    <w:p w:rsidR="00AE6BCB" w:rsidRPr="00722EC6" w:rsidRDefault="00AE6BCB" w:rsidP="00912BD8">
      <w:pPr>
        <w:numPr>
          <w:ilvl w:val="1"/>
          <w:numId w:val="17"/>
        </w:numPr>
        <w:spacing w:line="240" w:lineRule="auto"/>
        <w:jc w:val="both"/>
      </w:pPr>
      <w:r w:rsidRPr="00722EC6">
        <w:t>rozbudowa ZPO im. ks. J. Popiełuszki;</w:t>
      </w:r>
    </w:p>
    <w:p w:rsidR="00AE6BCB" w:rsidRPr="00722EC6" w:rsidRDefault="00AE6BCB" w:rsidP="00912BD8">
      <w:pPr>
        <w:numPr>
          <w:ilvl w:val="1"/>
          <w:numId w:val="17"/>
        </w:numPr>
        <w:spacing w:line="240" w:lineRule="auto"/>
        <w:jc w:val="both"/>
      </w:pPr>
      <w:r w:rsidRPr="00722EC6">
        <w:t>remont i przebudowa hali sportowej w ZSPS i VIII LO;</w:t>
      </w:r>
    </w:p>
    <w:p w:rsidR="00AE6BCB" w:rsidRPr="00722EC6" w:rsidRDefault="00AE6BCB" w:rsidP="00912BD8">
      <w:pPr>
        <w:numPr>
          <w:ilvl w:val="1"/>
          <w:numId w:val="17"/>
        </w:numPr>
        <w:spacing w:line="240" w:lineRule="auto"/>
        <w:jc w:val="both"/>
      </w:pPr>
      <w:r w:rsidRPr="00722EC6">
        <w:t>rewitalizacja Parku Tysiąclecia;</w:t>
      </w:r>
    </w:p>
    <w:p w:rsidR="00AE6BCB" w:rsidRPr="00722EC6" w:rsidRDefault="00AE6BCB" w:rsidP="00912BD8">
      <w:pPr>
        <w:numPr>
          <w:ilvl w:val="1"/>
          <w:numId w:val="17"/>
        </w:numPr>
        <w:spacing w:line="240" w:lineRule="auto"/>
        <w:jc w:val="both"/>
      </w:pPr>
      <w:r w:rsidRPr="00722EC6">
        <w:t>zagospodarowanie turystyczno-rekreacyjne terenów na osiedlu Jar;</w:t>
      </w:r>
    </w:p>
    <w:p w:rsidR="00AE6BCB" w:rsidRDefault="00AE6BCB" w:rsidP="00912BD8">
      <w:pPr>
        <w:numPr>
          <w:ilvl w:val="1"/>
          <w:numId w:val="17"/>
        </w:numPr>
        <w:spacing w:line="240" w:lineRule="auto"/>
        <w:jc w:val="both"/>
      </w:pPr>
      <w:r w:rsidRPr="00722EC6">
        <w:t>przebudowa ul. Płaskiej i ul. Długiej;</w:t>
      </w:r>
    </w:p>
    <w:p w:rsidR="00AE6BCB" w:rsidRPr="00722EC6" w:rsidRDefault="00AE6BCB" w:rsidP="00912BD8">
      <w:pPr>
        <w:numPr>
          <w:ilvl w:val="0"/>
          <w:numId w:val="17"/>
        </w:numPr>
        <w:spacing w:line="240" w:lineRule="auto"/>
        <w:jc w:val="both"/>
      </w:pPr>
      <w:r w:rsidRPr="00722EC6">
        <w:t>najważniejsze trwające inwestycje:</w:t>
      </w:r>
    </w:p>
    <w:p w:rsidR="00AE6BCB" w:rsidRPr="00722EC6" w:rsidRDefault="00AE6BCB" w:rsidP="00912BD8">
      <w:pPr>
        <w:numPr>
          <w:ilvl w:val="1"/>
          <w:numId w:val="17"/>
        </w:numPr>
        <w:spacing w:line="240" w:lineRule="auto"/>
        <w:jc w:val="both"/>
      </w:pPr>
      <w:r w:rsidRPr="00722EC6">
        <w:t>przebudowa układu torowo</w:t>
      </w:r>
      <w:r w:rsidR="007B6B35">
        <w:t xml:space="preserve"> </w:t>
      </w:r>
      <w:r w:rsidRPr="00722EC6">
        <w:t>-</w:t>
      </w:r>
      <w:r w:rsidR="007B6B35">
        <w:t xml:space="preserve"> drogowego w ulicach Chopina, </w:t>
      </w:r>
      <w:r w:rsidRPr="00722EC6">
        <w:t>Wały Gen. Sikorskiego i al. Jana Pawła II wraz z budową pasa tramwajowo-autobusowego;</w:t>
      </w:r>
    </w:p>
    <w:p w:rsidR="00AE6BCB" w:rsidRPr="00722EC6" w:rsidRDefault="00AE6BCB" w:rsidP="00912BD8">
      <w:pPr>
        <w:numPr>
          <w:ilvl w:val="1"/>
          <w:numId w:val="17"/>
        </w:numPr>
        <w:spacing w:line="240" w:lineRule="auto"/>
        <w:jc w:val="both"/>
      </w:pPr>
      <w:r w:rsidRPr="00722EC6">
        <w:t xml:space="preserve">modernizacja torowisk tramwajowych (ul. Bydgoska, pl. Daszyńskiego do </w:t>
      </w:r>
      <w:r w:rsidR="007B6B35">
        <w:br/>
      </w:r>
      <w:r w:rsidRPr="00722EC6">
        <w:t xml:space="preserve">ul. Ślaskiego, pl. Niepodległości do ul. Reja); </w:t>
      </w:r>
    </w:p>
    <w:p w:rsidR="00AE6BCB" w:rsidRPr="00722EC6" w:rsidRDefault="00AE6BCB" w:rsidP="00912BD8">
      <w:pPr>
        <w:numPr>
          <w:ilvl w:val="1"/>
          <w:numId w:val="17"/>
        </w:numPr>
        <w:spacing w:line="240" w:lineRule="auto"/>
        <w:jc w:val="both"/>
      </w:pPr>
      <w:r w:rsidRPr="00722EC6">
        <w:t>rozbudowa Mostu im. J. Piłsudskiego.</w:t>
      </w:r>
    </w:p>
    <w:p w:rsidR="00270355" w:rsidRDefault="00270355" w:rsidP="00C556DC">
      <w:pPr>
        <w:pStyle w:val="Nagwek1"/>
        <w:numPr>
          <w:ilvl w:val="0"/>
          <w:numId w:val="0"/>
        </w:numPr>
        <w:spacing w:line="240" w:lineRule="auto"/>
        <w:jc w:val="both"/>
        <w:rPr>
          <w:i/>
          <w:color w:val="0070C0"/>
          <w:szCs w:val="24"/>
        </w:rPr>
      </w:pPr>
      <w:bookmarkStart w:id="16" w:name="__RefHeading__31912_2082197896"/>
      <w:bookmarkEnd w:id="16"/>
    </w:p>
    <w:p w:rsidR="00AE6BCB" w:rsidRPr="005E0D1B" w:rsidRDefault="005E0D1B" w:rsidP="00C556DC">
      <w:pPr>
        <w:pStyle w:val="Nagwek1"/>
        <w:numPr>
          <w:ilvl w:val="0"/>
          <w:numId w:val="0"/>
        </w:numPr>
        <w:spacing w:line="240" w:lineRule="auto"/>
        <w:jc w:val="both"/>
        <w:rPr>
          <w:i/>
          <w:color w:val="0070C0"/>
          <w:szCs w:val="24"/>
        </w:rPr>
      </w:pPr>
      <w:r>
        <w:rPr>
          <w:i/>
          <w:color w:val="0070C0"/>
          <w:szCs w:val="24"/>
        </w:rPr>
        <w:t>Praca Urzędu Miasta Torunia</w:t>
      </w:r>
    </w:p>
    <w:p w:rsidR="00E21C15" w:rsidRDefault="00AE6BCB" w:rsidP="00912BD8">
      <w:pPr>
        <w:numPr>
          <w:ilvl w:val="0"/>
          <w:numId w:val="73"/>
        </w:numPr>
        <w:spacing w:line="240" w:lineRule="auto"/>
        <w:jc w:val="both"/>
      </w:pPr>
      <w:r w:rsidRPr="00722EC6">
        <w:t xml:space="preserve">27 lutego 2020 r. </w:t>
      </w:r>
      <w:r w:rsidR="00270355">
        <w:t xml:space="preserve">- </w:t>
      </w:r>
      <w:r w:rsidRPr="00722EC6">
        <w:t xml:space="preserve">pierwsze spotkanie Zespołu ds. Profilaktyki i Przeciwdziałania SARS-CoV-2. </w:t>
      </w:r>
      <w:r w:rsidR="00600C47" w:rsidRPr="00722EC6">
        <w:t>S</w:t>
      </w:r>
      <w:r w:rsidR="00E21C15" w:rsidRPr="00722EC6">
        <w:t xml:space="preserve">kład zespołu </w:t>
      </w:r>
      <w:r w:rsidR="00600C47" w:rsidRPr="00722EC6">
        <w:t>tworzą: Kierownictwo UMT oraz</w:t>
      </w:r>
      <w:r w:rsidR="00E21C15" w:rsidRPr="00722EC6">
        <w:t xml:space="preserve"> dyrektorzy</w:t>
      </w:r>
      <w:r w:rsidRPr="00722EC6">
        <w:t xml:space="preserve"> działów UMT i jednostek organizacyjnych Gminy</w:t>
      </w:r>
      <w:r w:rsidR="00E21C15" w:rsidRPr="00722EC6">
        <w:t>, zgodnie z kompetencjami właściwymi do podejmowania działań</w:t>
      </w:r>
      <w:r w:rsidRPr="00722EC6">
        <w:t xml:space="preserve"> </w:t>
      </w:r>
      <w:r w:rsidR="00E21C15" w:rsidRPr="00722EC6">
        <w:t xml:space="preserve">względem zapobiegania i zwalczania skutków pandemii a także służby medialne i obsługa prawna. Intenstywna praca zespołu odbywała się do końca 2020 r., w zależności od sytuacji epidemicznej także w weekendy i święta. </w:t>
      </w:r>
      <w:r w:rsidRPr="00722EC6">
        <w:t xml:space="preserve">Regularne spotkania zespołu odbywają się </w:t>
      </w:r>
      <w:r w:rsidR="00E21C15" w:rsidRPr="00722EC6">
        <w:t>nadal,</w:t>
      </w:r>
    </w:p>
    <w:p w:rsidR="00C556DC" w:rsidRDefault="00AE6BCB" w:rsidP="00912BD8">
      <w:pPr>
        <w:numPr>
          <w:ilvl w:val="0"/>
          <w:numId w:val="73"/>
        </w:numPr>
        <w:spacing w:line="240" w:lineRule="auto"/>
        <w:jc w:val="both"/>
      </w:pPr>
      <w:r w:rsidRPr="00722EC6">
        <w:t>większość spot</w:t>
      </w:r>
      <w:r w:rsidR="00B97556" w:rsidRPr="00722EC6">
        <w:t xml:space="preserve">kań i narad </w:t>
      </w:r>
      <w:r w:rsidR="00270355">
        <w:t xml:space="preserve">organizowanych przez UMT </w:t>
      </w:r>
      <w:r w:rsidR="00C568C8">
        <w:t xml:space="preserve">w 2020 r. </w:t>
      </w:r>
      <w:r w:rsidR="00270355">
        <w:t xml:space="preserve">odbywała się </w:t>
      </w:r>
      <w:r w:rsidR="00B97556" w:rsidRPr="00722EC6">
        <w:t xml:space="preserve">zdalnie, </w:t>
      </w:r>
      <w:r w:rsidRPr="00722EC6">
        <w:t>w tym</w:t>
      </w:r>
      <w:r w:rsidR="00C568C8">
        <w:t xml:space="preserve"> 9 sesji</w:t>
      </w:r>
      <w:r w:rsidRPr="00722EC6">
        <w:t xml:space="preserve"> Rady Miasta Torunia</w:t>
      </w:r>
      <w:r w:rsidR="00C568C8">
        <w:t>;</w:t>
      </w:r>
    </w:p>
    <w:p w:rsidR="00C556DC" w:rsidRDefault="00B97556" w:rsidP="00912BD8">
      <w:pPr>
        <w:numPr>
          <w:ilvl w:val="0"/>
          <w:numId w:val="73"/>
        </w:numPr>
        <w:spacing w:line="240" w:lineRule="auto"/>
        <w:jc w:val="both"/>
      </w:pPr>
      <w:r w:rsidRPr="00722EC6">
        <w:t>w 2020 r.</w:t>
      </w:r>
      <w:r w:rsidR="00AE6BCB" w:rsidRPr="00722EC6">
        <w:t xml:space="preserve"> organizację pracy Urzędu dostosowywano</w:t>
      </w:r>
      <w:r w:rsidR="00270355">
        <w:t xml:space="preserve"> do zmieniających sie warunków epidemicznych</w:t>
      </w:r>
      <w:r w:rsidR="00AE6BCB" w:rsidRPr="00722EC6">
        <w:t xml:space="preserve"> kilkunastokrotnie</w:t>
      </w:r>
      <w:r w:rsidRPr="00722EC6">
        <w:t>,</w:t>
      </w:r>
      <w:r w:rsidR="00AE6BCB" w:rsidRPr="00722EC6">
        <w:t xml:space="preserve"> w cyklach kilkutygodniowych;</w:t>
      </w:r>
    </w:p>
    <w:p w:rsidR="00C556DC" w:rsidRDefault="00AE6BCB" w:rsidP="00912BD8">
      <w:pPr>
        <w:numPr>
          <w:ilvl w:val="0"/>
          <w:numId w:val="73"/>
        </w:numPr>
        <w:spacing w:line="240" w:lineRule="auto"/>
        <w:jc w:val="both"/>
      </w:pPr>
      <w:r w:rsidRPr="00722EC6">
        <w:t>Urząd Miasta Torunia nie został zamknięty dla mieszkańców – przez cały okres epidemii możliwe było osobiste załatwianie spraw po uprzednim zgłoszeniu telefonicznym</w:t>
      </w:r>
      <w:r w:rsidR="00B97556" w:rsidRPr="00722EC6">
        <w:t xml:space="preserve"> lub internetowym w wybranych </w:t>
      </w:r>
      <w:r w:rsidRPr="00722EC6">
        <w:t>działach;</w:t>
      </w:r>
    </w:p>
    <w:p w:rsidR="00C556DC" w:rsidRDefault="00AE6BCB" w:rsidP="00912BD8">
      <w:pPr>
        <w:numPr>
          <w:ilvl w:val="0"/>
          <w:numId w:val="73"/>
        </w:numPr>
        <w:spacing w:line="240" w:lineRule="auto"/>
        <w:jc w:val="both"/>
      </w:pPr>
      <w:r w:rsidRPr="00722EC6">
        <w:t>we wszystkich budynkach Urzędu zaprowadzono rejestr interesantów oraz odbywa się pomiar temperatury i obowiązek dezynfekcji rąk</w:t>
      </w:r>
      <w:r w:rsidR="00B97556" w:rsidRPr="00722EC6">
        <w:t>,</w:t>
      </w:r>
      <w:r w:rsidRPr="00722EC6">
        <w:t xml:space="preserve"> </w:t>
      </w:r>
      <w:r w:rsidR="009B0577">
        <w:t xml:space="preserve">monitorowany przez </w:t>
      </w:r>
      <w:r w:rsidRPr="00722EC6">
        <w:t xml:space="preserve"> pra</w:t>
      </w:r>
      <w:r w:rsidR="009B0577">
        <w:t>cowników</w:t>
      </w:r>
      <w:r w:rsidRPr="00722EC6">
        <w:t xml:space="preserve"> firmy ochroniarskiej; </w:t>
      </w:r>
    </w:p>
    <w:p w:rsidR="00C556DC" w:rsidRDefault="00AE6BCB" w:rsidP="00912BD8">
      <w:pPr>
        <w:numPr>
          <w:ilvl w:val="0"/>
          <w:numId w:val="73"/>
        </w:numPr>
        <w:spacing w:line="240" w:lineRule="auto"/>
        <w:jc w:val="both"/>
      </w:pPr>
      <w:r w:rsidRPr="00722EC6">
        <w:t>w celu sprawnej i bezpiecznej obsługi interesantów poszerzono zakres działania systemu kolejkowego, wprowadzono urny podawcze dla korespondencji przychodzącej oraz więcej możliwości załatwiania spraw elektronicznie – ePUAP, mail, telefon, poczta tradycyjna, w grudniu 2020 r. uruchomiono usługę czatu z urzędnikiem</w:t>
      </w:r>
      <w:r w:rsidR="00B97556" w:rsidRPr="00722EC6">
        <w:t>;</w:t>
      </w:r>
    </w:p>
    <w:p w:rsidR="00AE6BCB" w:rsidRPr="00722EC6" w:rsidRDefault="00B97556" w:rsidP="00912BD8">
      <w:pPr>
        <w:numPr>
          <w:ilvl w:val="0"/>
          <w:numId w:val="73"/>
        </w:numPr>
        <w:spacing w:line="240" w:lineRule="auto"/>
        <w:jc w:val="both"/>
      </w:pPr>
      <w:r w:rsidRPr="00722EC6">
        <w:t>od pierwszych dni</w:t>
      </w:r>
      <w:r w:rsidR="00AE6BCB" w:rsidRPr="00722EC6">
        <w:t xml:space="preserve"> pandemii czę</w:t>
      </w:r>
      <w:r w:rsidRPr="00722EC6">
        <w:t>ściej niż zwykle organizowane były</w:t>
      </w:r>
      <w:r w:rsidR="00AE6BCB" w:rsidRPr="00722EC6">
        <w:t xml:space="preserve"> konferencje prasowe, </w:t>
      </w:r>
      <w:r w:rsidRPr="00722EC6">
        <w:t>z</w:t>
      </w:r>
      <w:r w:rsidR="00AE6BCB" w:rsidRPr="00722EC6">
        <w:t xml:space="preserve"> </w:t>
      </w:r>
      <w:r w:rsidRPr="00722EC6">
        <w:t>uwzględnieniem</w:t>
      </w:r>
      <w:r w:rsidR="00AE6BCB" w:rsidRPr="00722EC6">
        <w:t xml:space="preserve"> </w:t>
      </w:r>
      <w:r w:rsidRPr="00722EC6">
        <w:t>danych epidemicznych oraz najważniejszych</w:t>
      </w:r>
      <w:r w:rsidR="00AE6BCB" w:rsidRPr="00722EC6">
        <w:t xml:space="preserve"> </w:t>
      </w:r>
      <w:r w:rsidRPr="00722EC6">
        <w:t>informacji dotyczących kolejnych działań i szczegółowych statystyk oraz sytuacji</w:t>
      </w:r>
      <w:r w:rsidR="00AE6BCB" w:rsidRPr="00722EC6">
        <w:t xml:space="preserve"> w jednostkach organizacyjnych gminy. Działania komunikacyjne </w:t>
      </w:r>
      <w:r w:rsidRPr="00722EC6">
        <w:t xml:space="preserve">rozszerzono o prężnie działającą </w:t>
      </w:r>
      <w:r w:rsidR="00C556DC">
        <w:br/>
      </w:r>
      <w:r w:rsidRPr="00722EC6">
        <w:t>i zawsze aktualną stronę internetową</w:t>
      </w:r>
      <w:r w:rsidR="00AE6BCB" w:rsidRPr="00722EC6">
        <w:t>, portal Facebook a w najważniej</w:t>
      </w:r>
      <w:r w:rsidRPr="00722EC6">
        <w:t>szych sprawach także komunikację tradycyjną</w:t>
      </w:r>
      <w:r w:rsidR="00AE6BCB" w:rsidRPr="00722EC6">
        <w:t xml:space="preserve"> – plakaty i ulotki wrzucane mieszkańcom do skrzynek pocztowych</w:t>
      </w:r>
      <w:r w:rsidRPr="00722EC6">
        <w:t>.</w:t>
      </w:r>
    </w:p>
    <w:p w:rsidR="00AE6BCB" w:rsidRPr="00722EC6" w:rsidRDefault="00AE6BCB" w:rsidP="009C7C02">
      <w:pPr>
        <w:pStyle w:val="ListParagraph"/>
        <w:spacing w:line="240" w:lineRule="auto"/>
        <w:ind w:left="720"/>
        <w:jc w:val="both"/>
      </w:pPr>
    </w:p>
    <w:p w:rsidR="00AE6BCB" w:rsidRPr="005E0D1B" w:rsidRDefault="00AE6BCB" w:rsidP="00C556DC">
      <w:pPr>
        <w:pStyle w:val="Nagwek1"/>
        <w:numPr>
          <w:ilvl w:val="0"/>
          <w:numId w:val="0"/>
        </w:numPr>
        <w:spacing w:line="240" w:lineRule="auto"/>
        <w:jc w:val="both"/>
        <w:rPr>
          <w:rFonts w:eastAsia="+mn-ea"/>
          <w:i/>
          <w:color w:val="0070C0"/>
          <w:szCs w:val="24"/>
        </w:rPr>
      </w:pPr>
      <w:bookmarkStart w:id="17" w:name="__RefHeading__31914_2082197896"/>
      <w:bookmarkEnd w:id="17"/>
      <w:r w:rsidRPr="005E0D1B">
        <w:rPr>
          <w:i/>
          <w:color w:val="0070C0"/>
          <w:szCs w:val="24"/>
        </w:rPr>
        <w:t>Wybory Prezydenta Rzecz</w:t>
      </w:r>
      <w:r w:rsidR="00C568C8" w:rsidRPr="005E0D1B">
        <w:rPr>
          <w:i/>
          <w:color w:val="0070C0"/>
          <w:szCs w:val="24"/>
        </w:rPr>
        <w:t>y</w:t>
      </w:r>
      <w:r w:rsidRPr="005E0D1B">
        <w:rPr>
          <w:i/>
          <w:color w:val="0070C0"/>
          <w:szCs w:val="24"/>
        </w:rPr>
        <w:t>pospolitej Polskiej</w:t>
      </w:r>
      <w:r w:rsidR="00B97556" w:rsidRPr="005E0D1B">
        <w:rPr>
          <w:i/>
          <w:color w:val="0070C0"/>
          <w:szCs w:val="24"/>
        </w:rPr>
        <w:t xml:space="preserve"> w szczególnej sytuacji pandemii</w:t>
      </w:r>
    </w:p>
    <w:p w:rsidR="00D723ED" w:rsidRDefault="00AE6BCB" w:rsidP="00912BD8">
      <w:pPr>
        <w:numPr>
          <w:ilvl w:val="0"/>
          <w:numId w:val="74"/>
        </w:numPr>
        <w:spacing w:line="240" w:lineRule="auto"/>
        <w:jc w:val="both"/>
        <w:rPr>
          <w:rFonts w:eastAsia="+mn-ea"/>
        </w:rPr>
      </w:pPr>
      <w:r w:rsidRPr="00D723ED">
        <w:rPr>
          <w:rFonts w:eastAsia="+mn-ea"/>
        </w:rPr>
        <w:t>I tura wyborów miała odbyć się pierwotnie 10 maja 2020 r.;</w:t>
      </w:r>
    </w:p>
    <w:p w:rsidR="00D723ED" w:rsidRDefault="00AE6BCB" w:rsidP="00912BD8">
      <w:pPr>
        <w:numPr>
          <w:ilvl w:val="0"/>
          <w:numId w:val="74"/>
        </w:numPr>
        <w:spacing w:line="240" w:lineRule="auto"/>
        <w:jc w:val="both"/>
        <w:rPr>
          <w:rFonts w:eastAsia="+mn-ea"/>
        </w:rPr>
      </w:pPr>
      <w:r w:rsidRPr="00D723ED">
        <w:rPr>
          <w:rFonts w:eastAsia="+mn-ea"/>
        </w:rPr>
        <w:t>Gmina Miasta Toruń nie przekazała Poczcie Polskiej danych wyborców ze względu na niedopełnienie warunków formalno-prawnych</w:t>
      </w:r>
      <w:r w:rsidR="00B97556" w:rsidRPr="00D723ED">
        <w:rPr>
          <w:rFonts w:eastAsia="+mn-ea"/>
        </w:rPr>
        <w:t>;</w:t>
      </w:r>
    </w:p>
    <w:p w:rsidR="00D723ED" w:rsidRDefault="00AE6BCB" w:rsidP="00912BD8">
      <w:pPr>
        <w:numPr>
          <w:ilvl w:val="0"/>
          <w:numId w:val="74"/>
        </w:numPr>
        <w:spacing w:line="240" w:lineRule="auto"/>
        <w:jc w:val="both"/>
        <w:rPr>
          <w:rFonts w:eastAsia="+mn-ea"/>
        </w:rPr>
      </w:pPr>
      <w:r w:rsidRPr="00D723ED">
        <w:rPr>
          <w:rFonts w:eastAsia="+mn-ea"/>
        </w:rPr>
        <w:t xml:space="preserve">28 czerwca i 12 lipca </w:t>
      </w:r>
      <w:r w:rsidR="007B3778" w:rsidRPr="00D723ED">
        <w:rPr>
          <w:rFonts w:eastAsia="+mn-ea"/>
        </w:rPr>
        <w:t xml:space="preserve">2020 r. </w:t>
      </w:r>
      <w:r w:rsidRPr="00D723ED">
        <w:rPr>
          <w:rFonts w:eastAsia="+mn-ea"/>
        </w:rPr>
        <w:t xml:space="preserve">przeprowadzono I i II turę głosowania. Frekwencja </w:t>
      </w:r>
      <w:r w:rsidR="00D723ED">
        <w:rPr>
          <w:rFonts w:eastAsia="+mn-ea"/>
        </w:rPr>
        <w:br/>
      </w:r>
      <w:r w:rsidRPr="00D723ED">
        <w:rPr>
          <w:rFonts w:eastAsia="+mn-ea"/>
        </w:rPr>
        <w:t xml:space="preserve">w Toruniu oscylowała wokół 70% uprawnionych </w:t>
      </w:r>
      <w:r w:rsidR="009B0577">
        <w:rPr>
          <w:rFonts w:eastAsia="+mn-ea"/>
        </w:rPr>
        <w:t>do głosowania (</w:t>
      </w:r>
      <w:r w:rsidRPr="00D723ED">
        <w:rPr>
          <w:rFonts w:eastAsia="+mn-ea"/>
        </w:rPr>
        <w:t>148 tys.</w:t>
      </w:r>
      <w:r w:rsidR="009B0577">
        <w:rPr>
          <w:rFonts w:eastAsia="+mn-ea"/>
        </w:rPr>
        <w:t>)</w:t>
      </w:r>
      <w:r w:rsidRPr="00D723ED">
        <w:rPr>
          <w:rFonts w:eastAsia="+mn-ea"/>
        </w:rPr>
        <w:t>;</w:t>
      </w:r>
    </w:p>
    <w:p w:rsidR="00D723ED" w:rsidRDefault="00AE6BCB" w:rsidP="00912BD8">
      <w:pPr>
        <w:numPr>
          <w:ilvl w:val="0"/>
          <w:numId w:val="74"/>
        </w:numPr>
        <w:spacing w:line="240" w:lineRule="auto"/>
        <w:jc w:val="both"/>
        <w:rPr>
          <w:rFonts w:eastAsia="+mn-ea"/>
        </w:rPr>
      </w:pPr>
      <w:r w:rsidRPr="00D723ED">
        <w:rPr>
          <w:rFonts w:eastAsia="+mn-ea"/>
        </w:rPr>
        <w:t>zadaniem GMT była organizacja 123 komisji obwodowych, w skład każdej weszło 6-9 pracowników (w sumie ponad 900 osób);</w:t>
      </w:r>
    </w:p>
    <w:p w:rsidR="00D723ED" w:rsidRDefault="009B0577" w:rsidP="00912BD8">
      <w:pPr>
        <w:numPr>
          <w:ilvl w:val="0"/>
          <w:numId w:val="74"/>
        </w:numPr>
        <w:spacing w:line="240" w:lineRule="auto"/>
        <w:jc w:val="both"/>
        <w:rPr>
          <w:rFonts w:eastAsia="+mn-ea"/>
        </w:rPr>
      </w:pPr>
      <w:r>
        <w:rPr>
          <w:rFonts w:eastAsia="+mn-ea"/>
        </w:rPr>
        <w:t>pracowników k</w:t>
      </w:r>
      <w:r w:rsidR="00AE6BCB" w:rsidRPr="00D723ED">
        <w:rPr>
          <w:rFonts w:eastAsia="+mn-ea"/>
        </w:rPr>
        <w:t>omisji wyposażono w niezbędne środki ochron</w:t>
      </w:r>
      <w:r>
        <w:rPr>
          <w:rFonts w:eastAsia="+mn-ea"/>
        </w:rPr>
        <w:t>y osobistej</w:t>
      </w:r>
      <w:r w:rsidR="00AE6BCB" w:rsidRPr="00D723ED">
        <w:rPr>
          <w:rFonts w:eastAsia="+mn-ea"/>
        </w:rPr>
        <w:t>, które zapewniał Urząd Wojewódzki;</w:t>
      </w:r>
    </w:p>
    <w:p w:rsidR="00D723ED" w:rsidRDefault="007B3778" w:rsidP="00912BD8">
      <w:pPr>
        <w:numPr>
          <w:ilvl w:val="0"/>
          <w:numId w:val="74"/>
        </w:numPr>
        <w:spacing w:line="240" w:lineRule="auto"/>
        <w:jc w:val="both"/>
        <w:rPr>
          <w:rFonts w:eastAsia="+mn-ea"/>
        </w:rPr>
      </w:pPr>
      <w:r w:rsidRPr="00D723ED">
        <w:rPr>
          <w:rFonts w:eastAsia="+mn-ea"/>
        </w:rPr>
        <w:t xml:space="preserve">osobom niepełnosprawnym zapewniono </w:t>
      </w:r>
      <w:r w:rsidR="00AE6BCB" w:rsidRPr="00D723ED">
        <w:rPr>
          <w:rFonts w:eastAsia="+mn-ea"/>
        </w:rPr>
        <w:t xml:space="preserve">możliwość transportu do lokalu wyborczego </w:t>
      </w:r>
      <w:r w:rsidR="00C568C8" w:rsidRPr="00D723ED">
        <w:rPr>
          <w:rFonts w:eastAsia="+mn-ea"/>
        </w:rPr>
        <w:br/>
      </w:r>
      <w:r w:rsidRPr="00D723ED">
        <w:rPr>
          <w:rFonts w:eastAsia="+mn-ea"/>
        </w:rPr>
        <w:t xml:space="preserve">(z czego skorzystało </w:t>
      </w:r>
      <w:r w:rsidR="00AE6BCB" w:rsidRPr="00D723ED">
        <w:rPr>
          <w:rFonts w:eastAsia="+mn-ea"/>
        </w:rPr>
        <w:t>w sumie 70 osób);</w:t>
      </w:r>
    </w:p>
    <w:p w:rsidR="00D723ED" w:rsidRDefault="00AE6BCB" w:rsidP="00912BD8">
      <w:pPr>
        <w:numPr>
          <w:ilvl w:val="0"/>
          <w:numId w:val="74"/>
        </w:numPr>
        <w:spacing w:line="240" w:lineRule="auto"/>
        <w:jc w:val="both"/>
        <w:rPr>
          <w:rFonts w:eastAsia="+mn-ea"/>
        </w:rPr>
      </w:pPr>
      <w:r w:rsidRPr="00D723ED">
        <w:rPr>
          <w:rFonts w:eastAsia="+mn-ea"/>
        </w:rPr>
        <w:t xml:space="preserve">pierwszy raz na tak dużą skalę zorganizowano wybory częściowo korespondencyjne. </w:t>
      </w:r>
      <w:r w:rsidR="00D723ED">
        <w:rPr>
          <w:rFonts w:eastAsia="+mn-ea"/>
        </w:rPr>
        <w:br/>
      </w:r>
      <w:r w:rsidRPr="00D723ED">
        <w:rPr>
          <w:rFonts w:eastAsia="+mn-ea"/>
        </w:rPr>
        <w:t>Z tej możliwości głosowania skorzystało 947 osób w I turze i 1</w:t>
      </w:r>
      <w:r w:rsidR="009B0577">
        <w:rPr>
          <w:rFonts w:eastAsia="+mn-ea"/>
        </w:rPr>
        <w:t>.</w:t>
      </w:r>
      <w:r w:rsidRPr="00D723ED">
        <w:rPr>
          <w:rFonts w:eastAsia="+mn-ea"/>
        </w:rPr>
        <w:t>095 w II turze;</w:t>
      </w:r>
    </w:p>
    <w:p w:rsidR="00AE6BCB" w:rsidRPr="00D723ED" w:rsidRDefault="00D723ED" w:rsidP="00912BD8">
      <w:pPr>
        <w:numPr>
          <w:ilvl w:val="0"/>
          <w:numId w:val="74"/>
        </w:numPr>
        <w:spacing w:line="240" w:lineRule="auto"/>
        <w:jc w:val="both"/>
        <w:rPr>
          <w:rFonts w:eastAsia="+mn-ea"/>
        </w:rPr>
      </w:pPr>
      <w:r>
        <w:rPr>
          <w:rFonts w:eastAsia="+mn-ea"/>
        </w:rPr>
        <w:t>obsługę org</w:t>
      </w:r>
      <w:r w:rsidR="007B3778" w:rsidRPr="00D723ED">
        <w:rPr>
          <w:rFonts w:eastAsia="+mn-ea"/>
        </w:rPr>
        <w:t>nizacji wyborów</w:t>
      </w:r>
      <w:r w:rsidR="00AE6BCB" w:rsidRPr="00D723ED">
        <w:rPr>
          <w:rFonts w:eastAsia="+mn-ea"/>
        </w:rPr>
        <w:t xml:space="preserve"> zapewniali także pracownicy UMT.</w:t>
      </w:r>
    </w:p>
    <w:p w:rsidR="00AE6BCB" w:rsidRPr="00722EC6" w:rsidRDefault="00AE6BCB" w:rsidP="009C7C02">
      <w:pPr>
        <w:pStyle w:val="ListParagraph"/>
        <w:spacing w:line="240" w:lineRule="auto"/>
        <w:ind w:left="644"/>
        <w:jc w:val="both"/>
      </w:pPr>
    </w:p>
    <w:p w:rsidR="00AE6BCB" w:rsidRPr="005E0D1B" w:rsidRDefault="00AE6BCB" w:rsidP="00C556DC">
      <w:pPr>
        <w:pStyle w:val="Nagwek1"/>
        <w:numPr>
          <w:ilvl w:val="0"/>
          <w:numId w:val="0"/>
        </w:numPr>
        <w:spacing w:line="240" w:lineRule="auto"/>
        <w:ind w:left="432" w:hanging="432"/>
        <w:jc w:val="both"/>
        <w:rPr>
          <w:i/>
          <w:color w:val="0070C0"/>
          <w:szCs w:val="24"/>
        </w:rPr>
      </w:pPr>
      <w:bookmarkStart w:id="18" w:name="__RefHeading__31916_2082197896"/>
      <w:bookmarkEnd w:id="18"/>
      <w:r w:rsidRPr="005E0D1B">
        <w:rPr>
          <w:i/>
          <w:color w:val="0070C0"/>
          <w:szCs w:val="24"/>
        </w:rPr>
        <w:t>Fundusze pomocowe dla jed</w:t>
      </w:r>
      <w:r w:rsidR="005E0D1B" w:rsidRPr="005E0D1B">
        <w:rPr>
          <w:i/>
          <w:color w:val="0070C0"/>
          <w:szCs w:val="24"/>
        </w:rPr>
        <w:t>nostek samorządu terytorialnego</w:t>
      </w:r>
    </w:p>
    <w:p w:rsidR="00D723ED" w:rsidRDefault="00AE6BCB" w:rsidP="00912BD8">
      <w:pPr>
        <w:numPr>
          <w:ilvl w:val="0"/>
          <w:numId w:val="75"/>
        </w:numPr>
        <w:spacing w:line="240" w:lineRule="auto"/>
        <w:jc w:val="both"/>
      </w:pPr>
      <w:r w:rsidRPr="00722EC6">
        <w:t xml:space="preserve">Toruń otrzymał ponad 29 mln zł z Funduszu Inwestycji Samorządowych. Środki mogą </w:t>
      </w:r>
      <w:r w:rsidRPr="00722EC6">
        <w:lastRenderedPageBreak/>
        <w:t xml:space="preserve">zostać wykorzystane tylko i wyłącznie na inwestycje </w:t>
      </w:r>
      <w:r w:rsidR="007B3778" w:rsidRPr="00722EC6">
        <w:t>własne gminy do grudnia 2022 r.;</w:t>
      </w:r>
    </w:p>
    <w:p w:rsidR="00D723ED" w:rsidRDefault="00AE6BCB" w:rsidP="00912BD8">
      <w:pPr>
        <w:numPr>
          <w:ilvl w:val="0"/>
          <w:numId w:val="75"/>
        </w:numPr>
        <w:spacing w:line="240" w:lineRule="auto"/>
        <w:jc w:val="both"/>
      </w:pPr>
      <w:r w:rsidRPr="00722EC6">
        <w:t xml:space="preserve">Krajowy Plan Odbudowy - rozpoczynając procedurę wnioskowania zgłosiliśmy </w:t>
      </w:r>
      <w:r w:rsidR="004A2861">
        <w:br/>
      </w:r>
      <w:r w:rsidRPr="00722EC6">
        <w:t xml:space="preserve">27 projektów na </w:t>
      </w:r>
      <w:r w:rsidR="009B0577">
        <w:t xml:space="preserve">łączna </w:t>
      </w:r>
      <w:r w:rsidRPr="00722EC6">
        <w:t>kwotę ok.  4,4 mld zł. Samorząd Województwa przekazał do Ministerstwa Funduszy i Polityki Regionalnej 10 toruńskich projektów</w:t>
      </w:r>
      <w:r w:rsidR="007B3778" w:rsidRPr="00722EC6">
        <w:t xml:space="preserve"> o </w:t>
      </w:r>
      <w:r w:rsidR="009B0577">
        <w:t xml:space="preserve">łącznej </w:t>
      </w:r>
      <w:r w:rsidR="007B3778" w:rsidRPr="00722EC6">
        <w:t>wartości 1,5 mld zł;</w:t>
      </w:r>
    </w:p>
    <w:p w:rsidR="00D723ED" w:rsidRDefault="00AE6BCB" w:rsidP="00912BD8">
      <w:pPr>
        <w:numPr>
          <w:ilvl w:val="0"/>
          <w:numId w:val="75"/>
        </w:numPr>
        <w:spacing w:line="240" w:lineRule="auto"/>
        <w:jc w:val="both"/>
      </w:pPr>
      <w:r w:rsidRPr="00722EC6">
        <w:t>do Rządowego Funduszu Inwestycji Lokalnych złożono cztery wnioski, żaden z nich nie uzyskał dofinansowania w pierwszym naborze. W dru</w:t>
      </w:r>
      <w:r w:rsidR="004A2861">
        <w:t>gim naborze złożono wnioski dotyczące</w:t>
      </w:r>
      <w:r w:rsidRPr="00722EC6">
        <w:t xml:space="preserve"> zadań </w:t>
      </w:r>
      <w:r w:rsidR="004A2861">
        <w:t xml:space="preserve">w zakresie </w:t>
      </w:r>
      <w:r w:rsidRPr="00722EC6">
        <w:t>zwiększenia dostępności do świadczeń medycznych oraz rozbudowy mostu im. J. Piłsudskiego</w:t>
      </w:r>
      <w:r w:rsidR="007B3778" w:rsidRPr="00722EC6">
        <w:t>;</w:t>
      </w:r>
    </w:p>
    <w:p w:rsidR="00AE6BCB" w:rsidRPr="00D723ED" w:rsidRDefault="00AE6BCB" w:rsidP="00912BD8">
      <w:pPr>
        <w:numPr>
          <w:ilvl w:val="0"/>
          <w:numId w:val="75"/>
        </w:numPr>
        <w:spacing w:line="240" w:lineRule="auto"/>
        <w:jc w:val="both"/>
      </w:pPr>
      <w:r w:rsidRPr="00D723ED">
        <w:rPr>
          <w:lang w:val="pl-PL"/>
        </w:rPr>
        <w:t>udało się pozyska</w:t>
      </w:r>
      <w:r w:rsidR="00375E8D">
        <w:rPr>
          <w:lang w:val="pl-PL"/>
        </w:rPr>
        <w:t xml:space="preserve">ć dofinansowanie dla instytucji </w:t>
      </w:r>
      <w:r w:rsidRPr="00D723ED">
        <w:rPr>
          <w:lang w:val="pl-PL"/>
        </w:rPr>
        <w:t xml:space="preserve">samorządowych prowadzących działalność kulturalną w dziedzinie teatru, muzyki i tańca tj. Funduszu Wsparcia Kultury, z którego skorzystały Toruńska Orkiestra Symfoniczna (191 tys. zł) i Teatr Baj Pomorski (310 tys. zł). </w:t>
      </w:r>
    </w:p>
    <w:p w:rsidR="00AE6BCB" w:rsidRPr="00722EC6" w:rsidRDefault="00AE6BCB" w:rsidP="007B3778">
      <w:pPr>
        <w:pStyle w:val="ListParagraph"/>
        <w:spacing w:line="240" w:lineRule="auto"/>
        <w:ind w:left="0"/>
        <w:jc w:val="both"/>
      </w:pPr>
      <w:bookmarkStart w:id="19" w:name="__RefHeading__31918_2082197896"/>
      <w:bookmarkEnd w:id="19"/>
    </w:p>
    <w:p w:rsidR="00AE6BCB" w:rsidRDefault="005E0D1B" w:rsidP="00C556DC">
      <w:pPr>
        <w:pStyle w:val="Nagwek1"/>
        <w:numPr>
          <w:ilvl w:val="0"/>
          <w:numId w:val="0"/>
        </w:numPr>
        <w:spacing w:line="240" w:lineRule="auto"/>
        <w:ind w:left="432" w:hanging="432"/>
        <w:jc w:val="both"/>
        <w:rPr>
          <w:rFonts w:cs="Times New Roman"/>
          <w:i/>
          <w:color w:val="0070C0"/>
          <w:szCs w:val="24"/>
        </w:rPr>
      </w:pPr>
      <w:bookmarkStart w:id="20" w:name="__RefHeading__31920_2082197896"/>
      <w:bookmarkEnd w:id="20"/>
      <w:r>
        <w:rPr>
          <w:rFonts w:cs="Times New Roman"/>
          <w:i/>
          <w:color w:val="0070C0"/>
          <w:szCs w:val="24"/>
        </w:rPr>
        <w:t>Narodowy Program Szczepień</w:t>
      </w:r>
    </w:p>
    <w:p w:rsidR="00D723ED" w:rsidRPr="00D723ED" w:rsidRDefault="00D723ED" w:rsidP="00912BD8">
      <w:pPr>
        <w:pStyle w:val="Tekstpodstawowy"/>
        <w:numPr>
          <w:ilvl w:val="0"/>
          <w:numId w:val="76"/>
        </w:numPr>
        <w:spacing w:after="0" w:line="240" w:lineRule="auto"/>
        <w:jc w:val="both"/>
        <w:rPr>
          <w:rFonts w:ascii="Times New Roman" w:hAnsi="Times New Roman" w:cs="Times New Roman"/>
          <w:sz w:val="24"/>
          <w:szCs w:val="24"/>
          <w:lang w:val="en-US"/>
        </w:rPr>
      </w:pPr>
      <w:r w:rsidRPr="00D723ED">
        <w:rPr>
          <w:rFonts w:ascii="Times New Roman" w:hAnsi="Times New Roman" w:cs="Times New Roman"/>
          <w:sz w:val="24"/>
          <w:szCs w:val="24"/>
        </w:rPr>
        <w:t>p</w:t>
      </w:r>
      <w:r w:rsidR="007B3778" w:rsidRPr="00D723ED">
        <w:rPr>
          <w:rFonts w:ascii="Times New Roman" w:hAnsi="Times New Roman" w:cs="Times New Roman"/>
          <w:sz w:val="24"/>
          <w:szCs w:val="24"/>
        </w:rPr>
        <w:t xml:space="preserve">od koniec 2020 r. Toruń rozpoczął przygotowania do realizacji </w:t>
      </w:r>
      <w:r w:rsidR="00584C30" w:rsidRPr="00D723ED">
        <w:rPr>
          <w:rFonts w:ascii="Times New Roman" w:hAnsi="Times New Roman" w:cs="Times New Roman"/>
          <w:sz w:val="24"/>
          <w:szCs w:val="24"/>
        </w:rPr>
        <w:t>Narodowego Programu Szczepień, w tym działania p</w:t>
      </w:r>
      <w:r>
        <w:rPr>
          <w:rFonts w:ascii="Times New Roman" w:hAnsi="Times New Roman" w:cs="Times New Roman"/>
          <w:sz w:val="24"/>
          <w:szCs w:val="24"/>
        </w:rPr>
        <w:t>ropagujące ideę szczepień;</w:t>
      </w:r>
    </w:p>
    <w:p w:rsidR="00584C30" w:rsidRPr="00D723ED" w:rsidRDefault="00D723ED" w:rsidP="00912BD8">
      <w:pPr>
        <w:pStyle w:val="Tekstpodstawowy"/>
        <w:numPr>
          <w:ilvl w:val="0"/>
          <w:numId w:val="7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w:t>
      </w:r>
      <w:r w:rsidR="007B3778" w:rsidRPr="00D723ED">
        <w:rPr>
          <w:rFonts w:ascii="Times New Roman" w:hAnsi="Times New Roman" w:cs="Times New Roman"/>
          <w:sz w:val="24"/>
          <w:szCs w:val="24"/>
        </w:rPr>
        <w:t>ierwsze szczepieni</w:t>
      </w:r>
      <w:r>
        <w:rPr>
          <w:rFonts w:ascii="Times New Roman" w:hAnsi="Times New Roman" w:cs="Times New Roman"/>
          <w:sz w:val="24"/>
          <w:szCs w:val="24"/>
        </w:rPr>
        <w:t>a mieszkańców Torunia odbyły się</w:t>
      </w:r>
      <w:r w:rsidR="007B3778" w:rsidRPr="00D723ED">
        <w:rPr>
          <w:rFonts w:ascii="Times New Roman" w:hAnsi="Times New Roman" w:cs="Times New Roman"/>
          <w:sz w:val="24"/>
          <w:szCs w:val="24"/>
        </w:rPr>
        <w:t xml:space="preserve"> </w:t>
      </w:r>
      <w:r w:rsidR="00AE6BCB" w:rsidRPr="00D723ED">
        <w:rPr>
          <w:rFonts w:ascii="Times New Roman" w:hAnsi="Times New Roman" w:cs="Times New Roman"/>
          <w:sz w:val="24"/>
          <w:szCs w:val="24"/>
        </w:rPr>
        <w:t xml:space="preserve">28 grudnia 2020 r. </w:t>
      </w:r>
    </w:p>
    <w:p w:rsidR="00AE6BCB" w:rsidRDefault="00AE6BCB" w:rsidP="009C7C02">
      <w:pPr>
        <w:spacing w:line="240" w:lineRule="auto"/>
        <w:jc w:val="both"/>
      </w:pPr>
    </w:p>
    <w:p w:rsidR="007D1D6F" w:rsidRPr="007D1D6F" w:rsidRDefault="007D1D6F" w:rsidP="007D1D6F">
      <w:pPr>
        <w:spacing w:line="360" w:lineRule="auto"/>
        <w:jc w:val="both"/>
        <w:rPr>
          <w:b/>
          <w:color w:val="0070C0"/>
        </w:rPr>
      </w:pPr>
      <w:bookmarkStart w:id="21" w:name="__RefHeading__31922_2082197896"/>
      <w:bookmarkEnd w:id="21"/>
      <w:r>
        <w:rPr>
          <w:b/>
          <w:color w:val="0070C0"/>
        </w:rPr>
        <w:t>IV</w:t>
      </w:r>
      <w:r w:rsidRPr="007D1D6F">
        <w:rPr>
          <w:b/>
          <w:color w:val="0070C0"/>
        </w:rPr>
        <w:t xml:space="preserve">. </w:t>
      </w:r>
      <w:r>
        <w:rPr>
          <w:b/>
          <w:color w:val="0070C0"/>
        </w:rPr>
        <w:t>FINANSE</w:t>
      </w:r>
    </w:p>
    <w:p w:rsidR="007D1D6F" w:rsidRDefault="007D1D6F" w:rsidP="007D1D6F">
      <w:pPr>
        <w:spacing w:line="240" w:lineRule="auto"/>
        <w:ind w:firstLine="709"/>
        <w:jc w:val="both"/>
      </w:pPr>
      <w:r>
        <w:t xml:space="preserve">Rok 2020 był bezprecedensowym rokiem dla całej gospodarki światowej </w:t>
      </w:r>
      <w:r>
        <w:br/>
        <w:t xml:space="preserve">i w większości krajów upłynął na podejmowaniu działań ukierunkowanych na łagodzenie negatywnych  skutków ekonomicznych pandemii Covid-19. Nagłe ograniczenie produkcji </w:t>
      </w:r>
      <w:r>
        <w:br/>
        <w:t xml:space="preserve">i konsumpcji spowodowało gwałtowny spadek przychodów zarówno w sektorze prywatnym, jak i publicznym. Wsparcie przedsiębiorców oraz zapobieganie wzrostowi bezrobocia było głównym kierunkiem interwencji rządów wielu państw, co dodatkowo pogłębiło spadek dochodów sektora publicznego i jednocześnie zwiększyło jego wydatki. W ślad za Bankiem Światowym, w celu pobudzenia gospodarki, banki centralne państw radykalnie obniżyły stopy procentowe, co spowodowało niższe koszty kredytów. Wszystkie ww. determinanty życia gospodarczego widoczne były także w polskim systemie finansowym, w tym również </w:t>
      </w:r>
      <w:r>
        <w:br/>
        <w:t xml:space="preserve">w budżecie miasta Torunia. </w:t>
      </w:r>
    </w:p>
    <w:p w:rsidR="007D1D6F" w:rsidRDefault="007D1D6F" w:rsidP="007D1D6F">
      <w:pPr>
        <w:spacing w:line="240" w:lineRule="auto"/>
        <w:ind w:firstLine="709"/>
        <w:jc w:val="both"/>
      </w:pPr>
    </w:p>
    <w:p w:rsidR="007D1D6F" w:rsidRPr="00E64CA7" w:rsidRDefault="007D1D6F" w:rsidP="007D1D6F">
      <w:pPr>
        <w:spacing w:line="240" w:lineRule="auto"/>
        <w:ind w:firstLine="709"/>
        <w:jc w:val="both"/>
      </w:pPr>
      <w:r>
        <w:t xml:space="preserve">Wprowadzony w Polsce z dniem 20.03.2020r. stan epidemii i związane z nim ograniczenia administracyjne spowodowały w 2020 roku znaczny ubytek dochodów bieżących miasta. Okresowe zakazy prowadzenia działalności gospodarczej oraz placówek oświatowych, wychowawczych, opiekuńczych, a także ograniczenia mobilności osób </w:t>
      </w:r>
      <w:r>
        <w:br/>
        <w:t xml:space="preserve">i obowiązek zachowania dystansu społecznego wpłynęły przede wszystkim na spadek wpływów miasta z udziału w podatku PIT, ze sprzedaży biletów komunikacji miejskiej, opłat za pobyt dzieci w przedszkolach, żłobkach, z opłaty miejscowej, sprzedaży biletów wstępu do Ogrodu Zoobotanicznego, czy dochodów Ośrodka Informacji Turystycznej.  Inicjatywy Rady Miasta i Prezydenta Miasta podejmowane w celu łagodzenia negatywnych skutków ekonomicznych epidemii dla lokalnej przedsiębiorczości przełożyły się na niższe dochody </w:t>
      </w:r>
      <w:r>
        <w:br/>
        <w:t xml:space="preserve">z tytułu podatku od nieruchomości, podatku od środków transportowych, najmu, dzierżawy, użytkowania wieczystego, czy opłat ze strefy płatnego parkowania. Mniejsza aktywność ekonomiczna mieszkańców spowodowała spadek wpływów z opłat za rejestrację pojazdów, podatku od czynności cywilnoprawnych, opłaty skarbowej, podatku od darowizn. Obawa </w:t>
      </w:r>
      <w:r>
        <w:br/>
        <w:t xml:space="preserve">o poziom dochodów, stały monitoring ich realizacji i poszukiwanie możliwości rekompensowania ich ubytku były jednym z podstawowych obszarów aktywności toruńskiego samorządu w roku 2020. Po raz pierwszy w historii miasta, w celu </w:t>
      </w:r>
      <w:r>
        <w:lastRenderedPageBreak/>
        <w:t xml:space="preserve">niedopuszczenia do nadmiernego spadku nadwyżki operacyjnej warunkującej utrzymanie zdolności kredytowej miasta, a także w celu ograniczenia poziomu zadłużenia,  wykorzystano uregulowany art. 260 ust. 1 ustawy o finansach publicznych, mechanizm okresowego blokowania wydatków. Pierwszą blokadę wprowadzono zarządzeniem nr 67 Prezydenta Miasta z dnia 22 kwietnia 2020 r., kolejną zarządzeniem nr 167 z dnia 3 sierpnia 2020 r., blokując łącznie kwotę 56.800 tys. zł, z czego 35.500 tys. zł w ramach wydatków bieżących, 21.300 tys. zł w ramach wydatków inwestycyjnych. Pogłębiający się z każdym miesiącem realny spadek dochodów był przyczyną, dla której uchwałami Rady Miasta z dnia </w:t>
      </w:r>
      <w:r>
        <w:br/>
      </w:r>
      <w:r w:rsidRPr="00E64CA7">
        <w:t xml:space="preserve">10 września 2020 r. </w:t>
      </w:r>
      <w:r>
        <w:t xml:space="preserve">oraz 17 grudnia 2020 r., okresowo zablokowane wydatki, na stałe zdjęto </w:t>
      </w:r>
      <w:r>
        <w:br/>
        <w:t xml:space="preserve">z budżetu miasta. </w:t>
      </w:r>
    </w:p>
    <w:p w:rsidR="007D1D6F" w:rsidRDefault="007D1D6F" w:rsidP="007D1D6F">
      <w:pPr>
        <w:spacing w:line="240" w:lineRule="auto"/>
        <w:ind w:firstLine="708"/>
        <w:jc w:val="both"/>
      </w:pPr>
      <w:r>
        <w:t xml:space="preserve">Dodatkowym problemem roku 2020 były  skutki ustawowych zmian w podatku dochodowym od osób fizycznych, wprowadzone przez Sejm RP w IV kwartale 2019 roku, które przełożyły się na kolejny spadek dochodów bieżących  (szacowany w planie na rok 2020 na 30,6 mln zł, w rzeczywistości wynoszący ok. 40 mln zł). </w:t>
      </w:r>
    </w:p>
    <w:p w:rsidR="007D1D6F" w:rsidRDefault="007D1D6F" w:rsidP="007D1D6F">
      <w:pPr>
        <w:spacing w:line="240" w:lineRule="auto"/>
        <w:ind w:firstLine="708"/>
        <w:jc w:val="both"/>
      </w:pPr>
    </w:p>
    <w:p w:rsidR="007D1D6F" w:rsidRDefault="007D1D6F" w:rsidP="007D1D6F">
      <w:pPr>
        <w:spacing w:line="240" w:lineRule="auto"/>
        <w:ind w:firstLine="708"/>
        <w:jc w:val="both"/>
      </w:pPr>
      <w:r>
        <w:t xml:space="preserve">Dla zobrazowania niekorzystnych zmian w systemie finansów samorządów- </w:t>
      </w:r>
      <w:r w:rsidRPr="00D63C75">
        <w:rPr>
          <w:b/>
        </w:rPr>
        <w:t>struktur</w:t>
      </w:r>
      <w:r>
        <w:rPr>
          <w:b/>
        </w:rPr>
        <w:t>ę</w:t>
      </w:r>
      <w:r w:rsidRPr="00D63C75">
        <w:rPr>
          <w:b/>
        </w:rPr>
        <w:t xml:space="preserve"> dochodów</w:t>
      </w:r>
      <w:r>
        <w:t xml:space="preserve"> należy przedstawić w podziale na dochody bieżące i majątkowe. </w:t>
      </w:r>
      <w:r>
        <w:br/>
        <w:t xml:space="preserve">Te ostatnie (dotacje inwestycyjne i sprzedaż majątku) służyć powinny inwestycjom, natomiast w grupie dochodów bieżących przeważająca część to środki otrzymywane </w:t>
      </w:r>
      <w:r>
        <w:br/>
        <w:t xml:space="preserve">z budżetu państwa w formie dotacji i subwencji oświatowej, które należy wydatkować na ściśle określone cele. Do dyspozycji miasta pozostają 2 grupy dochodów: </w:t>
      </w:r>
    </w:p>
    <w:p w:rsidR="007D1D6F" w:rsidRDefault="007D1D6F" w:rsidP="007D1D6F">
      <w:pPr>
        <w:spacing w:line="240" w:lineRule="auto"/>
        <w:ind w:firstLine="708"/>
        <w:jc w:val="both"/>
      </w:pPr>
      <w:r>
        <w:t xml:space="preserve">- wpływy z opłat wnoszonych przez mieszkańców i przedsiębiorców na częściowe pokrycie kosztów realizowanych przez samorząd usług (typu bilety komunikacji miejskiej pokrywające ok. 40% kosztów przewozów, opłaty komunikacyjne, z których finansowany jest zakup druków czy tablic rejestracyjnych, opłaty za zajęcie pasa drogowego w całości przeznaczane na utrzymanie infrastruktury drogowej, czy opłaty tzw. „śmieciowe” finansujące koszt zagospodarowania odpadów), </w:t>
      </w:r>
    </w:p>
    <w:p w:rsidR="007D1D6F" w:rsidRDefault="007D1D6F" w:rsidP="007D1D6F">
      <w:pPr>
        <w:spacing w:line="240" w:lineRule="auto"/>
        <w:ind w:firstLine="708"/>
        <w:jc w:val="both"/>
      </w:pPr>
      <w:r>
        <w:t xml:space="preserve">- wpływy z podatku od nieruchomości, podatku od środków transportowych, pcc, opłaty skarbowej, podatku od spadków i darowizn, opłaty za użytkowanie wieczyste, czynsze najmu i dzierżawy oraz udziały we wpływach do budżetu państwa z tytułu podatku PIT i CIT. </w:t>
      </w:r>
    </w:p>
    <w:p w:rsidR="007D1D6F" w:rsidRDefault="007D1D6F" w:rsidP="007D1D6F">
      <w:pPr>
        <w:spacing w:line="240" w:lineRule="auto"/>
        <w:ind w:firstLine="708"/>
        <w:jc w:val="both"/>
      </w:pPr>
      <w:r>
        <w:t xml:space="preserve">W praktyce wyłącznie ta ostatnia grupa dochodów bieżących stanowi jedyne źródło finansowania niedostatecznie pokrytych subwencją oświatową kosztów utrzymania szkół </w:t>
      </w:r>
      <w:r>
        <w:br/>
        <w:t>i przedszkoli, wydatków na zadania własne w sferze pomocy i polityki społecznej, ochrony zdrowia, uzupełnienie środków na utrzymanie dróg i terenów zieleni, wsparcie działalności klubów sportowych, instytucji kultury, działań promocyjnych, czy utrzymania administracji. W ramach tej puli, wg ustawowych reguł finansów publicznych, samorząd wygospodarować powinien środki na obsługę długu (raty kredytów i odsetki), a także na wkład własny do inwestycji (ponad pozyskane dotacje inwestycyjne i sprzedaż majątku).</w:t>
      </w:r>
    </w:p>
    <w:p w:rsidR="007D1D6F" w:rsidRDefault="007D1D6F" w:rsidP="007D1D6F">
      <w:pPr>
        <w:spacing w:line="240" w:lineRule="auto"/>
        <w:jc w:val="both"/>
      </w:pPr>
    </w:p>
    <w:p w:rsidR="007D1D6F" w:rsidRDefault="007D1D6F" w:rsidP="007D1D6F">
      <w:pPr>
        <w:spacing w:line="240" w:lineRule="auto"/>
        <w:jc w:val="both"/>
      </w:pPr>
      <w:r>
        <w:t>Struktura dochodów, wg podziału opisanego wyżej, na przykładzie roku 2020 (w mln zł):</w:t>
      </w:r>
    </w:p>
    <w:p w:rsidR="007D1D6F" w:rsidRDefault="007D1D6F" w:rsidP="007D1D6F">
      <w:pPr>
        <w:spacing w:line="240" w:lineRule="auto"/>
        <w:ind w:firstLine="709"/>
        <w:jc w:val="both"/>
      </w:pPr>
    </w:p>
    <w:p w:rsidR="007D1D6F" w:rsidRPr="007B2940" w:rsidRDefault="007D1D6F" w:rsidP="007D1D6F">
      <w:pPr>
        <w:spacing w:line="240" w:lineRule="auto"/>
        <w:ind w:firstLine="709"/>
        <w:jc w:val="both"/>
        <w:rPr>
          <w:u w:val="single"/>
        </w:rPr>
      </w:pPr>
      <w:r w:rsidRPr="007B2940">
        <w:rPr>
          <w:u w:val="single"/>
        </w:rPr>
        <w:t>STRUKTURA DOCHODÓW ZA ROK 2020: łącznie 1.439 mln zł</w:t>
      </w:r>
    </w:p>
    <w:p w:rsidR="007D1D6F" w:rsidRDefault="007D1D6F" w:rsidP="007D1D6F">
      <w:pPr>
        <w:jc w:val="both"/>
      </w:pPr>
      <w:r w:rsidRPr="003E33CD">
        <w:rPr>
          <w:rFonts w:ascii="Calibri" w:hAnsi="Calibri"/>
          <w:noProof/>
          <w:sz w:val="22"/>
          <w:szCs w:val="22"/>
          <w:lang w:eastAsia="pl-PL"/>
        </w:rPr>
        <w:lastRenderedPageBreak/>
        <w:pict>
          <v:shapetype id="_x0000_t202" coordsize="21600,21600" o:spt="202" path="m,l,21600r21600,l21600,xe">
            <v:stroke joinstyle="miter"/>
            <v:path gradientshapeok="t" o:connecttype="rect"/>
          </v:shapetype>
          <v:shape id="Text Box 5" o:spid="_x0000_s1030" type="#_x0000_t202" style="position:absolute;left:0;text-align:left;margin-left:239.65pt;margin-top:60.15pt;width:69.25pt;height:4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" filled="f" stroked="f" strokeweight="1pt">
            <v:stroke startarrowwidth="narrow" startarrowlength="short" endarrowwidth="narrow" endarrowlength="short" endcap="square"/>
            <v:textbox style="mso-next-textbox:#Text Box 5">
              <w:txbxContent>
                <w:p w:rsidR="007D1D6F" w:rsidRPr="007B2940" w:rsidRDefault="007D1D6F" w:rsidP="007D1D6F">
                  <w:pPr>
                    <w:pStyle w:val="NormalnyWeb"/>
                    <w:kinsoku w:val="0"/>
                    <w:overflowPunct w:val="0"/>
                    <w:spacing w:before="216" w:beforeAutospacing="0" w:after="0"/>
                    <w:textAlignment w:val="baseline"/>
                  </w:pPr>
                  <w:r w:rsidRPr="007D1D6F">
                    <w:rPr>
                      <w:b/>
                      <w:bCs/>
                      <w:color w:val="000000"/>
                      <w:kern w:val="24"/>
                    </w:rPr>
                    <w:t xml:space="preserve">182 </w:t>
                  </w:r>
                </w:p>
              </w:txbxContent>
            </v:textbox>
          </v:shape>
        </w:pict>
      </w:r>
      <w:r w:rsidRPr="003E33CD">
        <w:rPr>
          <w:rFonts w:ascii="Calibri" w:hAnsi="Calibri"/>
          <w:noProof/>
          <w:sz w:val="22"/>
          <w:szCs w:val="22"/>
          <w:lang w:eastAsia="pl-PL"/>
        </w:rPr>
        <w:pict>
          <v:shape id="_x0000_s1034" type="#_x0000_t202" style="position:absolute;left:0;text-align:left;margin-left:158.65pt;margin-top:170.4pt;width:70.75pt;height:4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" filled="f" stroked="f" strokeweight="1pt">
            <v:stroke startarrowwidth="narrow" startarrowlength="short" endarrowwidth="narrow" endarrowlength="short" endcap="square"/>
            <v:textbox style="mso-next-textbox:#_x0000_s1034">
              <w:txbxContent>
                <w:p w:rsidR="007D1D6F" w:rsidRPr="007B2940" w:rsidRDefault="007D1D6F" w:rsidP="007D1D6F">
                  <w:pPr>
                    <w:pStyle w:val="NormalnyWeb"/>
                    <w:kinsoku w:val="0"/>
                    <w:overflowPunct w:val="0"/>
                    <w:spacing w:before="216" w:beforeAutospacing="0" w:after="0"/>
                    <w:textAlignment w:val="baseline"/>
                  </w:pPr>
                  <w:r w:rsidRPr="007D1D6F">
                    <w:rPr>
                      <w:b/>
                      <w:bCs/>
                      <w:kern w:val="24"/>
                    </w:rPr>
                    <w:t>90</w:t>
                  </w:r>
                </w:p>
              </w:txbxContent>
            </v:textbox>
          </v:shape>
        </w:pict>
      </w:r>
      <w:r w:rsidRPr="003E33CD">
        <w:rPr>
          <w:rFonts w:ascii="Calibri" w:hAnsi="Calibri"/>
          <w:noProof/>
          <w:sz w:val="22"/>
          <w:szCs w:val="22"/>
          <w:lang w:eastAsia="pl-PL"/>
        </w:rPr>
        <w:pict>
          <v:shape id="pole tekstowe 4" o:spid="_x0000_s1029" type="#_x0000_t202" style="position:absolute;left:0;text-align:left;margin-left:360.4pt;margin-top:125.4pt;width:118.35pt;height:64.5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" filled="f" stroked="f">
            <v:textbox style="mso-next-textbox:#pole tekstowe 4">
              <w:txbxContent>
                <w:p w:rsidR="007D1D6F" w:rsidRPr="007B2940" w:rsidRDefault="007D1D6F" w:rsidP="007D1D6F">
                  <w:pPr>
                    <w:pStyle w:val="NormalnyWeb"/>
                    <w:kinsoku w:val="0"/>
                    <w:overflowPunct w:val="0"/>
                    <w:spacing w:before="0" w:beforeAutospacing="0" w:after="0"/>
                    <w:textAlignment w:val="baseline"/>
                    <w:rPr>
                      <w:sz w:val="20"/>
                      <w:szCs w:val="20"/>
                    </w:rPr>
                  </w:pPr>
                  <w:r w:rsidRPr="007D1D6F">
                    <w:rPr>
                      <w:b/>
                      <w:bCs/>
                      <w:color w:val="000000"/>
                      <w:kern w:val="24"/>
                      <w:sz w:val="20"/>
                      <w:szCs w:val="20"/>
                    </w:rPr>
                    <w:t>910 mln zł, tj. 63%: dotacje, subwencje,  oraz środki na koszty i inwestycje- ŚRODKI CELOWE</w:t>
                  </w:r>
                </w:p>
              </w:txbxContent>
            </v:textbox>
            <w10:wrap anchorx="margin"/>
          </v:shape>
        </w:pict>
      </w:r>
      <w:r w:rsidRPr="003E33CD">
        <w:rPr>
          <w:rFonts w:ascii="Calibri" w:hAnsi="Calibri"/>
          <w:noProof/>
          <w:sz w:val="22"/>
          <w:szCs w:val="22"/>
          <w:lang w:eastAsia="pl-P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jaśnienie w chmurce 7" o:spid="_x0000_s1027" type="#_x0000_t106" style="position:absolute;left:0;text-align:left;margin-left:420.75pt;margin-top:111.15pt;width:120.75pt;height:79.5pt;z-index:25165312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" adj="6300,24300" fillcolor="#00b0f0" stroked="f">
            <v:textbox style="mso-next-textbox:#Objaśnienie w chmurce 7" inset="0,,0">
              <w:txbxContent>
                <w:p w:rsidR="007D1D6F" w:rsidRDefault="007D1D6F" w:rsidP="007D1D6F"/>
              </w:txbxContent>
            </v:textbox>
            <w10:wrap anchorx="page"/>
          </v:shape>
        </w:pict>
      </w:r>
      <w:r w:rsidRPr="003E33CD">
        <w:rPr>
          <w:rFonts w:ascii="Calibri" w:hAnsi="Calibri"/>
          <w:noProof/>
          <w:sz w:val="22"/>
          <w:szCs w:val="22"/>
          <w:lang w:eastAsia="pl-PL"/>
        </w:rPr>
        <w:pict>
          <v:shape id="Objaśnienie w chmurce 15" o:spid="_x0000_s1026" type="#_x0000_t106" style="position:absolute;left:0;text-align:left;margin-left:19.9pt;margin-top:.9pt;width:150pt;height:67.5pt;z-index:2516541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" adj="6300,24300" fillcolor="yellow" stroked="f">
            <v:textbox style="mso-next-textbox:#Objaśnienie w chmurce 15" inset="0,,0">
              <w:txbxContent>
                <w:p w:rsidR="007D1D6F" w:rsidRDefault="007D1D6F" w:rsidP="007D1D6F"/>
              </w:txbxContent>
            </v:textbox>
            <w10:wrap anchorx="margin"/>
          </v:shape>
        </w:pict>
      </w:r>
      <w:r w:rsidRPr="003E33CD">
        <w:rPr>
          <w:rFonts w:ascii="Calibri" w:hAnsi="Calibri"/>
          <w:noProof/>
          <w:sz w:val="22"/>
          <w:szCs w:val="22"/>
          <w:lang w:eastAsia="pl-PL"/>
        </w:rPr>
        <w:pict>
          <v:shape id="_x0000_s1035" type="#_x0000_t202" style="position:absolute;left:0;text-align:left;margin-left:130.9pt;margin-top:90.9pt;width:85.05pt;height:45.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" filled="f" stroked="f" strokeweight="1pt">
            <v:stroke startarrowwidth="narrow" startarrowlength="short" endarrowwidth="narrow" endarrowlength="short" endcap="square"/>
            <v:textbox style="mso-next-textbox:#_x0000_s1035">
              <w:txbxContent>
                <w:p w:rsidR="007D1D6F" w:rsidRPr="007B2940" w:rsidRDefault="007D1D6F" w:rsidP="007D1D6F">
                  <w:pPr>
                    <w:pStyle w:val="NormalnyWeb"/>
                    <w:kinsoku w:val="0"/>
                    <w:overflowPunct w:val="0"/>
                    <w:spacing w:before="216" w:beforeAutospacing="0" w:after="0"/>
                    <w:textAlignment w:val="baseline"/>
                  </w:pPr>
                  <w:r w:rsidRPr="007D1D6F">
                    <w:rPr>
                      <w:b/>
                      <w:bCs/>
                      <w:kern w:val="24"/>
                    </w:rPr>
                    <w:t>529</w:t>
                  </w:r>
                </w:p>
              </w:txbxContent>
            </v:textbox>
          </v:shape>
        </w:pict>
      </w:r>
      <w:r w:rsidRPr="003E33CD">
        <w:rPr>
          <w:rFonts w:ascii="Calibri" w:hAnsi="Calibri"/>
          <w:noProof/>
          <w:sz w:val="22"/>
          <w:szCs w:val="22"/>
          <w:lang w:eastAsia="pl-PL"/>
        </w:rPr>
        <w:pict>
          <v:shape id="_x0000_s1033" type="#_x0000_t202" style="position:absolute;left:0;text-align:left;margin-left:252.4pt;margin-top:148.65pt;width:85.05pt;height:45.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" filled="f" stroked="f" strokeweight="1pt">
            <v:stroke startarrowwidth="narrow" startarrowlength="short" endarrowwidth="narrow" endarrowlength="short" endcap="square"/>
            <v:textbox style="mso-next-textbox:#_x0000_s1033">
              <w:txbxContent>
                <w:p w:rsidR="007D1D6F" w:rsidRPr="007B2940" w:rsidRDefault="007D1D6F" w:rsidP="007D1D6F">
                  <w:pPr>
                    <w:pStyle w:val="NormalnyWeb"/>
                    <w:kinsoku w:val="0"/>
                    <w:overflowPunct w:val="0"/>
                    <w:spacing w:before="216" w:beforeAutospacing="0" w:after="0"/>
                    <w:textAlignment w:val="baseline"/>
                  </w:pPr>
                  <w:r w:rsidRPr="007D1D6F">
                    <w:rPr>
                      <w:b/>
                      <w:bCs/>
                      <w:color w:val="FFFF00"/>
                      <w:kern w:val="24"/>
                    </w:rPr>
                    <w:t>638</w:t>
                  </w:r>
                </w:p>
              </w:txbxContent>
            </v:textbox>
          </v:shape>
        </w:pict>
      </w:r>
      <w:r w:rsidRPr="003E33CD">
        <w:rPr>
          <w:rFonts w:ascii="Calibri" w:hAnsi="Calibri"/>
          <w:noProof/>
          <w:sz w:val="22"/>
          <w:szCs w:val="22"/>
          <w:lang w:eastAsia="pl-PL"/>
        </w:rPr>
        <w:pict>
          <v:shape id="pole tekstowe 16" o:spid="_x0000_s1028" type="#_x0000_t202" style="position:absolute;left:0;text-align:left;margin-left:27.4pt;margin-top:12.9pt;width:148.5pt;height:43.6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" filled="f" stroked="f">
            <v:textbox style="mso-next-textbox:#pole tekstowe 16">
              <w:txbxContent>
                <w:p w:rsidR="007D1D6F" w:rsidRPr="007B2940" w:rsidRDefault="007D1D6F" w:rsidP="007D1D6F">
                  <w:pPr>
                    <w:pStyle w:val="NormalnyWeb"/>
                    <w:kinsoku w:val="0"/>
                    <w:overflowPunct w:val="0"/>
                    <w:spacing w:before="0" w:beforeAutospacing="0" w:after="0"/>
                    <w:textAlignment w:val="baseline"/>
                  </w:pPr>
                  <w:r w:rsidRPr="007D1D6F">
                    <w:rPr>
                      <w:b/>
                      <w:bCs/>
                      <w:color w:val="000000"/>
                      <w:kern w:val="24"/>
                      <w:sz w:val="20"/>
                      <w:szCs w:val="20"/>
                    </w:rPr>
                    <w:t>529 mln zł, tj. 37%: PIT, CIT, podatki lokalne= „</w:t>
                  </w:r>
                  <w:r w:rsidRPr="007D1D6F">
                    <w:rPr>
                      <w:b/>
                      <w:bCs/>
                      <w:kern w:val="24"/>
                      <w:sz w:val="20"/>
                      <w:szCs w:val="20"/>
                    </w:rPr>
                    <w:t>DOCHODY ROZPORZĄDZALNE</w:t>
                  </w:r>
                  <w:r w:rsidRPr="007D1D6F">
                    <w:rPr>
                      <w:b/>
                      <w:bCs/>
                      <w:kern w:val="24"/>
                      <w:sz w:val="26"/>
                      <w:szCs w:val="26"/>
                    </w:rPr>
                    <w:t>”</w:t>
                  </w:r>
                </w:p>
              </w:txbxContent>
            </v:textbox>
          </v:shape>
        </w:pict>
      </w:r>
      <w:r w:rsidRPr="003E33CD">
        <w:rPr>
          <w:rFonts w:ascii="Calibri" w:hAnsi="Calibri"/>
          <w:noProof/>
          <w:sz w:val="22"/>
          <w:szCs w:val="22"/>
          <w:lang w:eastAsia="pl-PL"/>
        </w:rPr>
        <w:pict>
          <v:shape id="Text Box 9" o:spid="_x0000_s1031" type="#_x0000_t202" style="position:absolute;left:0;text-align:left;margin-left:-.35pt;margin-top:15.15pt;width:143.65pt;height:3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" filled="f" stroked="f" strokeweight="1pt">
            <v:stroke startarrowwidth="narrow" startarrowlength="short" endarrowwidth="narrow" endarrowlength="short" endcap="square"/>
            <v:textbox style="mso-next-textbox:#Text Box 9;mso-fit-shape-to-text:t">
              <w:txbxContent>
                <w:p w:rsidR="007D1D6F" w:rsidRDefault="007D1D6F" w:rsidP="007D1D6F">
                  <w:pPr>
                    <w:pStyle w:val="NormalnyWeb"/>
                    <w:kinsoku w:val="0"/>
                    <w:overflowPunct w:val="0"/>
                    <w:spacing w:before="216" w:beforeAutospacing="0" w:after="0"/>
                    <w:textAlignment w:val="baseline"/>
                  </w:pPr>
                  <w:r w:rsidRPr="007D1D6F">
                    <w:rPr>
                      <w:b/>
                      <w:bCs/>
                      <w:color w:val="FFFF00"/>
                      <w:kern w:val="24"/>
                      <w:sz w:val="36"/>
                      <w:szCs w:val="36"/>
                    </w:rPr>
                    <w:t xml:space="preserve">638 </w:t>
                  </w:r>
                </w:p>
              </w:txbxContent>
            </v:textbox>
          </v:shape>
        </w:pict>
      </w:r>
      <w:r w:rsidRPr="003E33CD">
        <w:rPr>
          <w:rFonts w:ascii="Calibri" w:hAnsi="Calibri"/>
          <w:noProof/>
          <w:sz w:val="22"/>
          <w:szCs w:val="22"/>
          <w:lang w:eastAsia="pl-PL"/>
        </w:rPr>
        <w:pict>
          <v:shape id="_x0000_s1032" type="#_x0000_t202" style="position:absolute;left:0;text-align:left;margin-left:-.35pt;margin-top:15.15pt;width:143.65pt;height:3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" filled="f" stroked="f" strokeweight="1pt">
            <v:stroke startarrowwidth="narrow" startarrowlength="short" endarrowwidth="narrow" endarrowlength="short" endcap="square"/>
            <v:textbox style="mso-next-textbox:#_x0000_s1032;mso-fit-shape-to-text:t">
              <w:txbxContent>
                <w:p w:rsidR="007D1D6F" w:rsidRDefault="007D1D6F" w:rsidP="007D1D6F">
                  <w:pPr>
                    <w:pStyle w:val="NormalnyWeb"/>
                    <w:kinsoku w:val="0"/>
                    <w:overflowPunct w:val="0"/>
                    <w:spacing w:before="216" w:beforeAutospacing="0" w:after="0"/>
                    <w:textAlignment w:val="baseline"/>
                  </w:pPr>
                  <w:r w:rsidRPr="007D1D6F">
                    <w:rPr>
                      <w:b/>
                      <w:bCs/>
                      <w:color w:val="FFFF00"/>
                      <w:kern w:val="24"/>
                      <w:sz w:val="36"/>
                      <w:szCs w:val="36"/>
                    </w:rPr>
                    <w:t xml:space="preserve">638 </w:t>
                  </w:r>
                </w:p>
              </w:txbxContent>
            </v:textbox>
          </v:shape>
        </w:pict>
      </w:r>
      <w:r w:rsidR="00D948BF">
        <w:rPr>
          <w:noProof/>
          <w:lang w:val="pl-PL" w:eastAsia="pl-PL"/>
        </w:rPr>
        <w:drawing>
          <wp:inline distT="0" distB="0" distL="0" distR="0">
            <wp:extent cx="6000750" cy="3676650"/>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cstate="print"/>
                    <a:srcRect/>
                    <a:stretch>
                      <a:fillRect/>
                    </a:stretch>
                  </pic:blipFill>
                  <pic:spPr bwMode="auto">
                    <a:xfrm>
                      <a:off x="0" y="0"/>
                      <a:ext cx="6000750" cy="3676650"/>
                    </a:xfrm>
                    <a:prstGeom prst="rect">
                      <a:avLst/>
                    </a:prstGeom>
                    <a:noFill/>
                    <a:ln w="9525">
                      <a:noFill/>
                      <a:miter lim="800000"/>
                      <a:headEnd/>
                      <a:tailEnd/>
                    </a:ln>
                  </pic:spPr>
                </pic:pic>
              </a:graphicData>
            </a:graphic>
          </wp:inline>
        </w:drawing>
      </w:r>
    </w:p>
    <w:p w:rsidR="007D1D6F" w:rsidRDefault="007D1D6F" w:rsidP="007D1D6F">
      <w:pPr>
        <w:spacing w:after="120" w:line="240" w:lineRule="auto"/>
        <w:ind w:firstLine="709"/>
        <w:jc w:val="both"/>
      </w:pPr>
    </w:p>
    <w:p w:rsidR="007D1D6F" w:rsidRDefault="007D1D6F" w:rsidP="007D1D6F">
      <w:pPr>
        <w:spacing w:line="240" w:lineRule="auto"/>
        <w:jc w:val="both"/>
      </w:pPr>
      <w:r>
        <w:t xml:space="preserve">Analiza poziomu dochodów za lata poprzednie wskazuje, że udział dochodów rozporządzalnych w dochodach ogółem każdego roku maleje: w roku 2017 stanowiły one 42% dochodów ogółem, w roku 2020: 37%. </w:t>
      </w:r>
    </w:p>
    <w:p w:rsidR="007D1D6F" w:rsidRDefault="007D1D6F" w:rsidP="007D1D6F">
      <w:pPr>
        <w:spacing w:line="240" w:lineRule="auto"/>
        <w:jc w:val="both"/>
      </w:pPr>
      <w:r>
        <w:t xml:space="preserve">Ponadto, o ile kwota dochodów ogółem miasta w okresie od  roku 2017 do 2020 wzrosła </w:t>
      </w:r>
      <w:r>
        <w:br/>
        <w:t xml:space="preserve">o 349 mln zł, to  w grupie dochodów rozporządzalnych zaledwie o 68 mln zł. Negatywne skutki epidemii Covid-19 oraz ustawowych zmian w podatku PIT spowodowały największy spadek dochodów w roku 2020, w stosunku do planu, właśnie w tej grupie (-28 mln zł) oraz </w:t>
      </w:r>
      <w:r>
        <w:br/>
        <w:t xml:space="preserve">w dochodach z opłat pobieranych na pokrycie kosztów (-13 mln zł). Uwzględniając dodatkowo fakt, że plan na rok 2020 przewidywał utratę wpływów z PIT na skutek zmian ustawowych na poziomie 30,6 mln zł - </w:t>
      </w:r>
      <w:r w:rsidRPr="00D63C75">
        <w:rPr>
          <w:b/>
        </w:rPr>
        <w:t>łączny ubytek dochodów bieżących miasta w roku 2020 wyniósł ok. 71 mln zł.</w:t>
      </w:r>
    </w:p>
    <w:p w:rsidR="007D1D6F" w:rsidRDefault="007D1D6F" w:rsidP="007D1D6F">
      <w:pPr>
        <w:spacing w:line="240" w:lineRule="auto"/>
        <w:jc w:val="both"/>
      </w:pPr>
    </w:p>
    <w:p w:rsidR="007D1D6F" w:rsidRDefault="007D1D6F" w:rsidP="007D1D6F">
      <w:pPr>
        <w:spacing w:line="240" w:lineRule="auto"/>
        <w:jc w:val="both"/>
      </w:pPr>
      <w:r>
        <w:t xml:space="preserve">Struktura dochodów w latach 2017-2020 w tys. zł </w:t>
      </w:r>
    </w:p>
    <w:tbl>
      <w:tblPr>
        <w:tblW w:w="9346" w:type="dxa"/>
        <w:tblCellMar>
          <w:left w:w="70" w:type="dxa"/>
          <w:right w:w="70" w:type="dxa"/>
        </w:tblCellMar>
        <w:tblLook w:val="04A0"/>
      </w:tblPr>
      <w:tblGrid>
        <w:gridCol w:w="473"/>
        <w:gridCol w:w="2900"/>
        <w:gridCol w:w="1011"/>
        <w:gridCol w:w="993"/>
        <w:gridCol w:w="992"/>
        <w:gridCol w:w="992"/>
        <w:gridCol w:w="989"/>
        <w:gridCol w:w="996"/>
      </w:tblGrid>
      <w:tr w:rsidR="007D1D6F" w:rsidRPr="00C60F35" w:rsidTr="003E1530">
        <w:trPr>
          <w:trHeight w:val="600"/>
        </w:trPr>
        <w:tc>
          <w:tcPr>
            <w:tcW w:w="47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lp</w:t>
            </w:r>
          </w:p>
        </w:tc>
        <w:tc>
          <w:tcPr>
            <w:tcW w:w="2900" w:type="dxa"/>
            <w:tcBorders>
              <w:top w:val="single" w:sz="8" w:space="0" w:color="auto"/>
              <w:left w:val="nil"/>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źródła dochodów</w:t>
            </w:r>
          </w:p>
        </w:tc>
        <w:tc>
          <w:tcPr>
            <w:tcW w:w="1011" w:type="dxa"/>
            <w:tcBorders>
              <w:top w:val="single" w:sz="8" w:space="0" w:color="auto"/>
              <w:left w:val="nil"/>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2017</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2018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2019</w:t>
            </w:r>
          </w:p>
        </w:tc>
        <w:tc>
          <w:tcPr>
            <w:tcW w:w="992" w:type="dxa"/>
            <w:tcBorders>
              <w:top w:val="single" w:sz="8" w:space="0" w:color="auto"/>
              <w:left w:val="nil"/>
              <w:bottom w:val="single" w:sz="8" w:space="0" w:color="auto"/>
              <w:right w:val="nil"/>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plan 2020</w:t>
            </w:r>
          </w:p>
        </w:tc>
        <w:tc>
          <w:tcPr>
            <w:tcW w:w="9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2020</w:t>
            </w:r>
          </w:p>
        </w:tc>
        <w:tc>
          <w:tcPr>
            <w:tcW w:w="99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dynamika 2020/2017</w:t>
            </w:r>
          </w:p>
        </w:tc>
      </w:tr>
      <w:tr w:rsidR="007D1D6F" w:rsidRPr="00C60F35" w:rsidTr="003E1530">
        <w:trPr>
          <w:trHeight w:val="285"/>
        </w:trPr>
        <w:tc>
          <w:tcPr>
            <w:tcW w:w="473" w:type="dxa"/>
            <w:tcBorders>
              <w:top w:val="nil"/>
              <w:left w:val="single" w:sz="8" w:space="0" w:color="auto"/>
              <w:bottom w:val="single" w:sz="8" w:space="0" w:color="auto"/>
              <w:right w:val="single" w:sz="4" w:space="0" w:color="auto"/>
            </w:tcBorders>
            <w:shd w:val="clear" w:color="auto" w:fill="auto"/>
            <w:noWrap/>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1</w:t>
            </w:r>
          </w:p>
        </w:tc>
        <w:tc>
          <w:tcPr>
            <w:tcW w:w="2900" w:type="dxa"/>
            <w:tcBorders>
              <w:top w:val="nil"/>
              <w:left w:val="nil"/>
              <w:bottom w:val="single" w:sz="8" w:space="0" w:color="auto"/>
              <w:right w:val="single" w:sz="4" w:space="0" w:color="auto"/>
            </w:tcBorders>
            <w:shd w:val="clear" w:color="auto" w:fill="auto"/>
            <w:noWrap/>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2</w:t>
            </w:r>
          </w:p>
        </w:tc>
        <w:tc>
          <w:tcPr>
            <w:tcW w:w="1011" w:type="dxa"/>
            <w:tcBorders>
              <w:top w:val="nil"/>
              <w:left w:val="nil"/>
              <w:bottom w:val="single" w:sz="8" w:space="0" w:color="auto"/>
              <w:right w:val="single" w:sz="4" w:space="0" w:color="auto"/>
            </w:tcBorders>
            <w:shd w:val="clear" w:color="auto" w:fill="auto"/>
            <w:noWrap/>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3</w:t>
            </w:r>
          </w:p>
        </w:tc>
        <w:tc>
          <w:tcPr>
            <w:tcW w:w="993" w:type="dxa"/>
            <w:tcBorders>
              <w:top w:val="nil"/>
              <w:left w:val="nil"/>
              <w:bottom w:val="single" w:sz="8" w:space="0" w:color="auto"/>
              <w:right w:val="single" w:sz="4" w:space="0" w:color="auto"/>
            </w:tcBorders>
            <w:shd w:val="clear" w:color="auto" w:fill="auto"/>
            <w:noWrap/>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4</w:t>
            </w:r>
          </w:p>
        </w:tc>
        <w:tc>
          <w:tcPr>
            <w:tcW w:w="992" w:type="dxa"/>
            <w:tcBorders>
              <w:top w:val="nil"/>
              <w:left w:val="nil"/>
              <w:bottom w:val="single" w:sz="8" w:space="0" w:color="auto"/>
              <w:right w:val="single" w:sz="4" w:space="0" w:color="auto"/>
            </w:tcBorders>
            <w:shd w:val="clear" w:color="auto" w:fill="auto"/>
            <w:noWrap/>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5</w:t>
            </w:r>
          </w:p>
        </w:tc>
        <w:tc>
          <w:tcPr>
            <w:tcW w:w="992" w:type="dxa"/>
            <w:tcBorders>
              <w:top w:val="nil"/>
              <w:left w:val="nil"/>
              <w:bottom w:val="single" w:sz="8" w:space="0" w:color="auto"/>
              <w:right w:val="nil"/>
            </w:tcBorders>
            <w:shd w:val="clear" w:color="auto" w:fill="auto"/>
            <w:noWrap/>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6</w:t>
            </w:r>
          </w:p>
        </w:tc>
        <w:tc>
          <w:tcPr>
            <w:tcW w:w="989" w:type="dxa"/>
            <w:tcBorders>
              <w:top w:val="nil"/>
              <w:left w:val="single" w:sz="4" w:space="0" w:color="auto"/>
              <w:bottom w:val="single" w:sz="8" w:space="0" w:color="auto"/>
              <w:right w:val="single" w:sz="8" w:space="0" w:color="auto"/>
            </w:tcBorders>
            <w:shd w:val="clear" w:color="auto" w:fill="auto"/>
            <w:noWrap/>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7</w:t>
            </w:r>
          </w:p>
        </w:tc>
        <w:tc>
          <w:tcPr>
            <w:tcW w:w="996" w:type="dxa"/>
            <w:tcBorders>
              <w:top w:val="nil"/>
              <w:left w:val="single" w:sz="4" w:space="0" w:color="auto"/>
              <w:bottom w:val="single" w:sz="8" w:space="0" w:color="auto"/>
              <w:right w:val="single" w:sz="8" w:space="0" w:color="auto"/>
            </w:tcBorders>
            <w:shd w:val="clear" w:color="auto" w:fill="auto"/>
            <w:vAlign w:val="bottom"/>
            <w:hideMark/>
          </w:tcPr>
          <w:p w:rsidR="007D1D6F" w:rsidRPr="00C60F35" w:rsidRDefault="007D1D6F" w:rsidP="003E1530">
            <w:pPr>
              <w:spacing w:line="240" w:lineRule="auto"/>
              <w:jc w:val="center"/>
              <w:rPr>
                <w:i/>
                <w:iCs/>
                <w:sz w:val="20"/>
                <w:szCs w:val="20"/>
                <w:lang w:eastAsia="pl-PL"/>
              </w:rPr>
            </w:pPr>
            <w:r w:rsidRPr="00C60F35">
              <w:rPr>
                <w:i/>
                <w:iCs/>
                <w:sz w:val="20"/>
                <w:szCs w:val="20"/>
                <w:lang w:eastAsia="pl-PL"/>
              </w:rPr>
              <w:t>8</w:t>
            </w:r>
          </w:p>
        </w:tc>
      </w:tr>
      <w:tr w:rsidR="007D1D6F" w:rsidRPr="00C60F35" w:rsidTr="003E1530">
        <w:trPr>
          <w:trHeight w:val="402"/>
        </w:trPr>
        <w:tc>
          <w:tcPr>
            <w:tcW w:w="473" w:type="dxa"/>
            <w:tcBorders>
              <w:top w:val="nil"/>
              <w:left w:val="single" w:sz="8" w:space="0" w:color="auto"/>
              <w:bottom w:val="single" w:sz="4" w:space="0" w:color="auto"/>
              <w:right w:val="single" w:sz="4" w:space="0" w:color="auto"/>
            </w:tcBorders>
            <w:shd w:val="clear" w:color="000000" w:fill="00B0F0"/>
            <w:noWrap/>
            <w:vAlign w:val="center"/>
            <w:hideMark/>
          </w:tcPr>
          <w:p w:rsidR="007D1D6F" w:rsidRPr="00C60F35" w:rsidRDefault="007D1D6F" w:rsidP="003E1530">
            <w:pPr>
              <w:spacing w:line="240" w:lineRule="auto"/>
              <w:jc w:val="center"/>
              <w:rPr>
                <w:b/>
                <w:bCs/>
                <w:sz w:val="20"/>
                <w:szCs w:val="20"/>
                <w:lang w:eastAsia="pl-PL"/>
              </w:rPr>
            </w:pPr>
            <w:r w:rsidRPr="00C60F35">
              <w:rPr>
                <w:b/>
                <w:bCs/>
                <w:sz w:val="20"/>
                <w:szCs w:val="20"/>
                <w:lang w:eastAsia="pl-PL"/>
              </w:rPr>
              <w:t>I</w:t>
            </w:r>
          </w:p>
        </w:tc>
        <w:tc>
          <w:tcPr>
            <w:tcW w:w="2900" w:type="dxa"/>
            <w:tcBorders>
              <w:top w:val="nil"/>
              <w:left w:val="nil"/>
              <w:bottom w:val="single" w:sz="4" w:space="0" w:color="auto"/>
              <w:right w:val="single" w:sz="4" w:space="0" w:color="auto"/>
            </w:tcBorders>
            <w:shd w:val="clear" w:color="000000" w:fill="00B0F0"/>
            <w:vAlign w:val="center"/>
            <w:hideMark/>
          </w:tcPr>
          <w:p w:rsidR="007D1D6F" w:rsidRPr="00C60F35" w:rsidRDefault="007D1D6F" w:rsidP="003E1530">
            <w:pPr>
              <w:spacing w:line="240" w:lineRule="auto"/>
              <w:rPr>
                <w:b/>
                <w:bCs/>
                <w:sz w:val="20"/>
                <w:szCs w:val="20"/>
                <w:lang w:eastAsia="pl-PL"/>
              </w:rPr>
            </w:pPr>
            <w:r w:rsidRPr="00C60F35">
              <w:rPr>
                <w:b/>
                <w:bCs/>
                <w:sz w:val="20"/>
                <w:szCs w:val="20"/>
                <w:lang w:eastAsia="pl-PL"/>
              </w:rPr>
              <w:t>Środki celowe razem, w tym:</w:t>
            </w:r>
          </w:p>
        </w:tc>
        <w:tc>
          <w:tcPr>
            <w:tcW w:w="1011" w:type="dxa"/>
            <w:tcBorders>
              <w:top w:val="nil"/>
              <w:left w:val="nil"/>
              <w:bottom w:val="single" w:sz="4" w:space="0" w:color="auto"/>
              <w:right w:val="single" w:sz="4" w:space="0" w:color="auto"/>
            </w:tcBorders>
            <w:shd w:val="clear" w:color="000000" w:fill="00B0F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628 438</w:t>
            </w:r>
          </w:p>
        </w:tc>
        <w:tc>
          <w:tcPr>
            <w:tcW w:w="993" w:type="dxa"/>
            <w:tcBorders>
              <w:top w:val="nil"/>
              <w:left w:val="nil"/>
              <w:bottom w:val="single" w:sz="4" w:space="0" w:color="auto"/>
              <w:right w:val="single" w:sz="4" w:space="0" w:color="auto"/>
            </w:tcBorders>
            <w:shd w:val="clear" w:color="000000" w:fill="00B0F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699 639</w:t>
            </w:r>
          </w:p>
        </w:tc>
        <w:tc>
          <w:tcPr>
            <w:tcW w:w="992" w:type="dxa"/>
            <w:tcBorders>
              <w:top w:val="nil"/>
              <w:left w:val="nil"/>
              <w:bottom w:val="single" w:sz="4" w:space="0" w:color="auto"/>
              <w:right w:val="single" w:sz="4" w:space="0" w:color="auto"/>
            </w:tcBorders>
            <w:shd w:val="clear" w:color="000000" w:fill="00B0F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759 933</w:t>
            </w:r>
          </w:p>
        </w:tc>
        <w:tc>
          <w:tcPr>
            <w:tcW w:w="992" w:type="dxa"/>
            <w:tcBorders>
              <w:top w:val="nil"/>
              <w:left w:val="nil"/>
              <w:bottom w:val="single" w:sz="4" w:space="0" w:color="auto"/>
              <w:right w:val="nil"/>
            </w:tcBorders>
            <w:shd w:val="clear" w:color="000000" w:fill="00B0F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848 113</w:t>
            </w:r>
          </w:p>
        </w:tc>
        <w:tc>
          <w:tcPr>
            <w:tcW w:w="989" w:type="dxa"/>
            <w:tcBorders>
              <w:top w:val="nil"/>
              <w:left w:val="single" w:sz="4" w:space="0" w:color="auto"/>
              <w:bottom w:val="single" w:sz="4" w:space="0" w:color="auto"/>
              <w:right w:val="single" w:sz="8" w:space="0" w:color="auto"/>
            </w:tcBorders>
            <w:shd w:val="clear" w:color="000000" w:fill="00B0F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909 744</w:t>
            </w:r>
          </w:p>
        </w:tc>
        <w:tc>
          <w:tcPr>
            <w:tcW w:w="996" w:type="dxa"/>
            <w:tcBorders>
              <w:top w:val="nil"/>
              <w:left w:val="single" w:sz="4" w:space="0" w:color="auto"/>
              <w:bottom w:val="single" w:sz="4" w:space="0" w:color="auto"/>
              <w:right w:val="single" w:sz="8" w:space="0" w:color="auto"/>
            </w:tcBorders>
            <w:shd w:val="clear" w:color="000000" w:fill="00B0F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145%</w:t>
            </w:r>
          </w:p>
        </w:tc>
      </w:tr>
      <w:tr w:rsidR="007D1D6F" w:rsidRPr="00C60F35" w:rsidTr="003E1530">
        <w:trPr>
          <w:trHeight w:val="402"/>
        </w:trPr>
        <w:tc>
          <w:tcPr>
            <w:tcW w:w="473" w:type="dxa"/>
            <w:tcBorders>
              <w:top w:val="nil"/>
              <w:left w:val="single" w:sz="8" w:space="0" w:color="auto"/>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1</w:t>
            </w:r>
          </w:p>
        </w:tc>
        <w:tc>
          <w:tcPr>
            <w:tcW w:w="2900" w:type="dxa"/>
            <w:tcBorders>
              <w:top w:val="nil"/>
              <w:left w:val="nil"/>
              <w:bottom w:val="single" w:sz="4" w:space="0" w:color="auto"/>
              <w:right w:val="single" w:sz="4" w:space="0" w:color="auto"/>
            </w:tcBorders>
            <w:shd w:val="clear" w:color="000000" w:fill="DAEEF3"/>
            <w:vAlign w:val="center"/>
            <w:hideMark/>
          </w:tcPr>
          <w:p w:rsidR="007D1D6F" w:rsidRPr="00C60F35" w:rsidRDefault="007D1D6F" w:rsidP="003E1530">
            <w:pPr>
              <w:spacing w:line="240" w:lineRule="auto"/>
              <w:rPr>
                <w:b/>
                <w:bCs/>
                <w:sz w:val="20"/>
                <w:szCs w:val="20"/>
                <w:lang w:eastAsia="pl-PL"/>
              </w:rPr>
            </w:pPr>
            <w:r w:rsidRPr="00C60F35">
              <w:rPr>
                <w:b/>
                <w:bCs/>
                <w:sz w:val="20"/>
                <w:szCs w:val="20"/>
                <w:lang w:eastAsia="pl-PL"/>
              </w:rPr>
              <w:t>dochody majątkowe, w tym:</w:t>
            </w:r>
          </w:p>
        </w:tc>
        <w:tc>
          <w:tcPr>
            <w:tcW w:w="1011" w:type="dxa"/>
            <w:tcBorders>
              <w:top w:val="nil"/>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73 413</w:t>
            </w:r>
          </w:p>
        </w:tc>
        <w:tc>
          <w:tcPr>
            <w:tcW w:w="993" w:type="dxa"/>
            <w:tcBorders>
              <w:top w:val="nil"/>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111 332</w:t>
            </w:r>
          </w:p>
        </w:tc>
        <w:tc>
          <w:tcPr>
            <w:tcW w:w="992" w:type="dxa"/>
            <w:tcBorders>
              <w:top w:val="nil"/>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98 252</w:t>
            </w:r>
          </w:p>
        </w:tc>
        <w:tc>
          <w:tcPr>
            <w:tcW w:w="992" w:type="dxa"/>
            <w:tcBorders>
              <w:top w:val="nil"/>
              <w:left w:val="nil"/>
              <w:bottom w:val="single" w:sz="4" w:space="0" w:color="auto"/>
              <w:right w:val="nil"/>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156 191</w:t>
            </w:r>
          </w:p>
        </w:tc>
        <w:tc>
          <w:tcPr>
            <w:tcW w:w="989" w:type="dxa"/>
            <w:tcBorders>
              <w:top w:val="nil"/>
              <w:left w:val="single" w:sz="4" w:space="0" w:color="auto"/>
              <w:bottom w:val="single" w:sz="4" w:space="0" w:color="auto"/>
              <w:right w:val="single" w:sz="8"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182 110</w:t>
            </w:r>
          </w:p>
        </w:tc>
        <w:tc>
          <w:tcPr>
            <w:tcW w:w="996" w:type="dxa"/>
            <w:tcBorders>
              <w:top w:val="nil"/>
              <w:left w:val="single" w:sz="4" w:space="0" w:color="auto"/>
              <w:bottom w:val="single" w:sz="4" w:space="0" w:color="auto"/>
              <w:right w:val="single" w:sz="8"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248%</w:t>
            </w:r>
          </w:p>
        </w:tc>
      </w:tr>
      <w:tr w:rsidR="007D1D6F" w:rsidRPr="00C60F35" w:rsidTr="003E1530">
        <w:trPr>
          <w:trHeight w:val="402"/>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a</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środki na inwestycje</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22 543</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58 141</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66 473</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119 921</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116 920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519%</w:t>
            </w:r>
          </w:p>
        </w:tc>
      </w:tr>
      <w:tr w:rsidR="007D1D6F" w:rsidRPr="00C60F35" w:rsidTr="003E1530">
        <w:trPr>
          <w:trHeight w:val="360"/>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b</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sprzedaż majątku, przekształcenia, inne</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50 870</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53 191</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31 779</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36 270</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65 190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128%</w:t>
            </w:r>
          </w:p>
        </w:tc>
      </w:tr>
      <w:tr w:rsidR="007D1D6F" w:rsidRPr="00C60F35" w:rsidTr="003E1530">
        <w:trPr>
          <w:trHeight w:val="402"/>
        </w:trPr>
        <w:tc>
          <w:tcPr>
            <w:tcW w:w="473"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center"/>
              <w:rPr>
                <w:b/>
                <w:bCs/>
                <w:sz w:val="20"/>
                <w:szCs w:val="20"/>
                <w:lang w:eastAsia="pl-PL"/>
              </w:rPr>
            </w:pPr>
            <w:r w:rsidRPr="00C60F35">
              <w:rPr>
                <w:b/>
                <w:bCs/>
                <w:sz w:val="20"/>
                <w:szCs w:val="20"/>
                <w:lang w:eastAsia="pl-PL"/>
              </w:rPr>
              <w:t>2</w:t>
            </w:r>
          </w:p>
        </w:tc>
        <w:tc>
          <w:tcPr>
            <w:tcW w:w="2900" w:type="dxa"/>
            <w:tcBorders>
              <w:top w:val="single" w:sz="4" w:space="0" w:color="auto"/>
              <w:left w:val="nil"/>
              <w:bottom w:val="single" w:sz="4" w:space="0" w:color="auto"/>
              <w:right w:val="single" w:sz="4" w:space="0" w:color="auto"/>
            </w:tcBorders>
            <w:shd w:val="clear" w:color="000000" w:fill="DAEEF3"/>
            <w:vAlign w:val="center"/>
            <w:hideMark/>
          </w:tcPr>
          <w:p w:rsidR="007D1D6F" w:rsidRPr="00C60F35" w:rsidRDefault="007D1D6F" w:rsidP="003E1530">
            <w:pPr>
              <w:spacing w:line="240" w:lineRule="auto"/>
              <w:rPr>
                <w:b/>
                <w:bCs/>
                <w:sz w:val="20"/>
                <w:szCs w:val="20"/>
                <w:lang w:eastAsia="pl-PL"/>
              </w:rPr>
            </w:pPr>
            <w:r w:rsidRPr="00C60F35">
              <w:rPr>
                <w:b/>
                <w:bCs/>
                <w:sz w:val="20"/>
                <w:szCs w:val="20"/>
                <w:lang w:eastAsia="pl-PL"/>
              </w:rPr>
              <w:t>dotacje i subwencje, w tym:</w:t>
            </w:r>
          </w:p>
        </w:tc>
        <w:tc>
          <w:tcPr>
            <w:tcW w:w="1011" w:type="dxa"/>
            <w:tcBorders>
              <w:top w:val="single" w:sz="4" w:space="0" w:color="auto"/>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453 061</w:t>
            </w:r>
          </w:p>
        </w:tc>
        <w:tc>
          <w:tcPr>
            <w:tcW w:w="993" w:type="dxa"/>
            <w:tcBorders>
              <w:top w:val="single" w:sz="4" w:space="0" w:color="auto"/>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486 600</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560 964</w:t>
            </w:r>
          </w:p>
        </w:tc>
        <w:tc>
          <w:tcPr>
            <w:tcW w:w="992" w:type="dxa"/>
            <w:tcBorders>
              <w:top w:val="single" w:sz="4" w:space="0" w:color="auto"/>
              <w:left w:val="nil"/>
              <w:bottom w:val="single" w:sz="4" w:space="0" w:color="auto"/>
              <w:right w:val="nil"/>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589 134</w:t>
            </w:r>
          </w:p>
        </w:tc>
        <w:tc>
          <w:tcPr>
            <w:tcW w:w="989"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637 436</w:t>
            </w:r>
          </w:p>
        </w:tc>
        <w:tc>
          <w:tcPr>
            <w:tcW w:w="996"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141%</w:t>
            </w:r>
          </w:p>
        </w:tc>
      </w:tr>
      <w:tr w:rsidR="007D1D6F" w:rsidRPr="00C60F35" w:rsidTr="003E1530">
        <w:trPr>
          <w:trHeight w:val="630"/>
        </w:trPr>
        <w:tc>
          <w:tcPr>
            <w:tcW w:w="4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a</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dotacje i subwencje celowe z budżetu państwa</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208 844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213 840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265 603</w:t>
            </w:r>
          </w:p>
        </w:tc>
        <w:tc>
          <w:tcPr>
            <w:tcW w:w="992" w:type="dxa"/>
            <w:tcBorders>
              <w:top w:val="single" w:sz="4" w:space="0" w:color="auto"/>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263 037</w:t>
            </w:r>
          </w:p>
        </w:tc>
        <w:tc>
          <w:tcPr>
            <w:tcW w:w="98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320 851</w:t>
            </w:r>
          </w:p>
        </w:tc>
        <w:tc>
          <w:tcPr>
            <w:tcW w:w="99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154%</w:t>
            </w:r>
          </w:p>
        </w:tc>
      </w:tr>
      <w:tr w:rsidR="007D1D6F" w:rsidRPr="00C60F35" w:rsidTr="003E1530">
        <w:trPr>
          <w:trHeight w:val="645"/>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lastRenderedPageBreak/>
              <w:t>b</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subwencja oświatowa i wpłaty za przedszkola</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239 425</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244 835</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269 729</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283 816</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291 484</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122%</w:t>
            </w:r>
          </w:p>
        </w:tc>
      </w:tr>
      <w:tr w:rsidR="007D1D6F" w:rsidRPr="00C60F35" w:rsidTr="003E1530">
        <w:trPr>
          <w:trHeight w:val="405"/>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c</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dotacje z UE na projekty "miękkie"</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4 792</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27 925</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25 632</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42 281</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25 101</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524%</w:t>
            </w:r>
          </w:p>
        </w:tc>
      </w:tr>
      <w:tr w:rsidR="007D1D6F" w:rsidRPr="00C60F35" w:rsidTr="003E1530">
        <w:trPr>
          <w:trHeight w:val="585"/>
        </w:trPr>
        <w:tc>
          <w:tcPr>
            <w:tcW w:w="473" w:type="dxa"/>
            <w:tcBorders>
              <w:top w:val="nil"/>
              <w:left w:val="single" w:sz="8" w:space="0" w:color="auto"/>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center"/>
              <w:rPr>
                <w:b/>
                <w:bCs/>
                <w:sz w:val="20"/>
                <w:szCs w:val="20"/>
                <w:lang w:eastAsia="pl-PL"/>
              </w:rPr>
            </w:pPr>
            <w:r w:rsidRPr="00C60F35">
              <w:rPr>
                <w:b/>
                <w:bCs/>
                <w:sz w:val="20"/>
                <w:szCs w:val="20"/>
                <w:lang w:eastAsia="pl-PL"/>
              </w:rPr>
              <w:t>3</w:t>
            </w:r>
          </w:p>
        </w:tc>
        <w:tc>
          <w:tcPr>
            <w:tcW w:w="2900" w:type="dxa"/>
            <w:tcBorders>
              <w:top w:val="nil"/>
              <w:left w:val="nil"/>
              <w:bottom w:val="single" w:sz="4" w:space="0" w:color="auto"/>
              <w:right w:val="single" w:sz="4" w:space="0" w:color="auto"/>
            </w:tcBorders>
            <w:shd w:val="clear" w:color="000000" w:fill="DAEEF3"/>
            <w:vAlign w:val="center"/>
            <w:hideMark/>
          </w:tcPr>
          <w:p w:rsidR="007D1D6F" w:rsidRPr="00C60F35" w:rsidRDefault="007D1D6F" w:rsidP="003E1530">
            <w:pPr>
              <w:spacing w:line="240" w:lineRule="auto"/>
              <w:rPr>
                <w:b/>
                <w:bCs/>
                <w:sz w:val="20"/>
                <w:szCs w:val="20"/>
                <w:lang w:eastAsia="pl-PL"/>
              </w:rPr>
            </w:pPr>
            <w:r w:rsidRPr="00C60F35">
              <w:rPr>
                <w:b/>
                <w:bCs/>
                <w:sz w:val="20"/>
                <w:szCs w:val="20"/>
                <w:lang w:eastAsia="pl-PL"/>
              </w:rPr>
              <w:t>opłaty lokalne na pokrycie kosztów usług samorządu, w tym:</w:t>
            </w:r>
          </w:p>
        </w:tc>
        <w:tc>
          <w:tcPr>
            <w:tcW w:w="1011" w:type="dxa"/>
            <w:tcBorders>
              <w:top w:val="nil"/>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101 964</w:t>
            </w:r>
          </w:p>
        </w:tc>
        <w:tc>
          <w:tcPr>
            <w:tcW w:w="993" w:type="dxa"/>
            <w:tcBorders>
              <w:top w:val="nil"/>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101 707</w:t>
            </w:r>
          </w:p>
        </w:tc>
        <w:tc>
          <w:tcPr>
            <w:tcW w:w="992" w:type="dxa"/>
            <w:tcBorders>
              <w:top w:val="nil"/>
              <w:left w:val="nil"/>
              <w:bottom w:val="single" w:sz="4" w:space="0" w:color="auto"/>
              <w:right w:val="single" w:sz="4"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100 717</w:t>
            </w:r>
          </w:p>
        </w:tc>
        <w:tc>
          <w:tcPr>
            <w:tcW w:w="992" w:type="dxa"/>
            <w:tcBorders>
              <w:top w:val="nil"/>
              <w:left w:val="nil"/>
              <w:bottom w:val="single" w:sz="4" w:space="0" w:color="auto"/>
              <w:right w:val="nil"/>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102 788</w:t>
            </w:r>
          </w:p>
        </w:tc>
        <w:tc>
          <w:tcPr>
            <w:tcW w:w="989" w:type="dxa"/>
            <w:tcBorders>
              <w:top w:val="nil"/>
              <w:left w:val="single" w:sz="4" w:space="0" w:color="auto"/>
              <w:bottom w:val="single" w:sz="4" w:space="0" w:color="auto"/>
              <w:right w:val="single" w:sz="8" w:space="0" w:color="auto"/>
            </w:tcBorders>
            <w:shd w:val="clear" w:color="000000" w:fill="DAEEF3"/>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90 198</w:t>
            </w:r>
          </w:p>
        </w:tc>
        <w:tc>
          <w:tcPr>
            <w:tcW w:w="996" w:type="dxa"/>
            <w:tcBorders>
              <w:top w:val="nil"/>
              <w:left w:val="single" w:sz="4" w:space="0" w:color="auto"/>
              <w:bottom w:val="single" w:sz="4" w:space="0" w:color="auto"/>
              <w:right w:val="single" w:sz="8" w:space="0" w:color="auto"/>
            </w:tcBorders>
            <w:shd w:val="clear" w:color="000000" w:fill="DAEEF3"/>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88%</w:t>
            </w:r>
          </w:p>
        </w:tc>
      </w:tr>
      <w:tr w:rsidR="007D1D6F" w:rsidRPr="00C60F35" w:rsidTr="003E1530">
        <w:trPr>
          <w:trHeight w:val="570"/>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 </w:t>
            </w:r>
            <w:r>
              <w:rPr>
                <w:sz w:val="20"/>
                <w:szCs w:val="20"/>
                <w:lang w:eastAsia="pl-PL"/>
              </w:rPr>
              <w:t>a</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opłata za zagospodarowanie odpadów</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21 920</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21 931</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21 869</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24 700</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21 990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100%</w:t>
            </w:r>
          </w:p>
        </w:tc>
      </w:tr>
      <w:tr w:rsidR="007D1D6F" w:rsidRPr="00C60F35" w:rsidTr="003E1530">
        <w:trPr>
          <w:trHeight w:val="570"/>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 </w:t>
            </w:r>
            <w:r>
              <w:rPr>
                <w:sz w:val="20"/>
                <w:szCs w:val="20"/>
                <w:lang w:eastAsia="pl-PL"/>
              </w:rPr>
              <w:t>b</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sprzedaż biletów komunikacji miejskiej</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38 993</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37 937</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37 493</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36 000</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25 170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65%</w:t>
            </w:r>
          </w:p>
        </w:tc>
      </w:tr>
      <w:tr w:rsidR="007D1D6F" w:rsidRPr="00C60F35" w:rsidTr="003E1530">
        <w:trPr>
          <w:trHeight w:val="1275"/>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Pr>
                <w:sz w:val="20"/>
                <w:szCs w:val="20"/>
                <w:lang w:eastAsia="pl-PL"/>
              </w:rPr>
              <w:t>c</w:t>
            </w:r>
            <w:r w:rsidRPr="00C60F35">
              <w:rPr>
                <w:sz w:val="20"/>
                <w:szCs w:val="20"/>
                <w:lang w:eastAsia="pl-PL"/>
              </w:rPr>
              <w:t> </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opłaty za zajęcie pasa drogowego, za pobyt w żłobkach, dps, zezwolenia na sprzedaż alkoholu, mandaty Straży Miejskiej, dochody OIT, Ogrodu Zoobot, itp</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41 051</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41 839</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41 355</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42 088</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43 038</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105%</w:t>
            </w:r>
          </w:p>
        </w:tc>
      </w:tr>
      <w:tr w:rsidR="007D1D6F" w:rsidRPr="00C60F35" w:rsidTr="003E1530">
        <w:trPr>
          <w:trHeight w:val="402"/>
        </w:trPr>
        <w:tc>
          <w:tcPr>
            <w:tcW w:w="473" w:type="dxa"/>
            <w:tcBorders>
              <w:top w:val="nil"/>
              <w:left w:val="single" w:sz="8" w:space="0" w:color="auto"/>
              <w:bottom w:val="single" w:sz="4" w:space="0" w:color="auto"/>
              <w:right w:val="single" w:sz="4" w:space="0" w:color="auto"/>
            </w:tcBorders>
            <w:shd w:val="clear" w:color="000000" w:fill="FFFF00"/>
            <w:noWrap/>
            <w:vAlign w:val="center"/>
            <w:hideMark/>
          </w:tcPr>
          <w:p w:rsidR="007D1D6F" w:rsidRPr="00C60F35" w:rsidRDefault="007D1D6F" w:rsidP="003E1530">
            <w:pPr>
              <w:spacing w:line="240" w:lineRule="auto"/>
              <w:jc w:val="center"/>
              <w:rPr>
                <w:b/>
                <w:bCs/>
                <w:sz w:val="20"/>
                <w:szCs w:val="20"/>
                <w:lang w:eastAsia="pl-PL"/>
              </w:rPr>
            </w:pPr>
            <w:r w:rsidRPr="00C60F35">
              <w:rPr>
                <w:b/>
                <w:bCs/>
                <w:sz w:val="20"/>
                <w:szCs w:val="20"/>
                <w:lang w:eastAsia="pl-PL"/>
              </w:rPr>
              <w:t>II</w:t>
            </w:r>
          </w:p>
        </w:tc>
        <w:tc>
          <w:tcPr>
            <w:tcW w:w="2900" w:type="dxa"/>
            <w:tcBorders>
              <w:top w:val="nil"/>
              <w:left w:val="nil"/>
              <w:bottom w:val="single" w:sz="4" w:space="0" w:color="auto"/>
              <w:right w:val="single" w:sz="4" w:space="0" w:color="auto"/>
            </w:tcBorders>
            <w:shd w:val="clear" w:color="000000" w:fill="FFFF00"/>
            <w:vAlign w:val="center"/>
            <w:hideMark/>
          </w:tcPr>
          <w:p w:rsidR="007D1D6F" w:rsidRPr="00C60F35" w:rsidRDefault="007D1D6F" w:rsidP="003E1530">
            <w:pPr>
              <w:spacing w:line="240" w:lineRule="auto"/>
              <w:rPr>
                <w:b/>
                <w:bCs/>
                <w:sz w:val="20"/>
                <w:szCs w:val="20"/>
                <w:lang w:eastAsia="pl-PL"/>
              </w:rPr>
            </w:pPr>
            <w:r w:rsidRPr="00C60F35">
              <w:rPr>
                <w:b/>
                <w:bCs/>
                <w:sz w:val="20"/>
                <w:szCs w:val="20"/>
                <w:lang w:eastAsia="pl-PL"/>
              </w:rPr>
              <w:t>dochody rozporządzalne</w:t>
            </w:r>
          </w:p>
        </w:tc>
        <w:tc>
          <w:tcPr>
            <w:tcW w:w="1011" w:type="dxa"/>
            <w:tcBorders>
              <w:top w:val="nil"/>
              <w:left w:val="nil"/>
              <w:bottom w:val="single" w:sz="4" w:space="0" w:color="auto"/>
              <w:right w:val="single" w:sz="4" w:space="0" w:color="auto"/>
            </w:tcBorders>
            <w:shd w:val="clear" w:color="000000" w:fill="FFFF0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460 953</w:t>
            </w:r>
          </w:p>
        </w:tc>
        <w:tc>
          <w:tcPr>
            <w:tcW w:w="993" w:type="dxa"/>
            <w:tcBorders>
              <w:top w:val="nil"/>
              <w:left w:val="nil"/>
              <w:bottom w:val="single" w:sz="4" w:space="0" w:color="auto"/>
              <w:right w:val="single" w:sz="4" w:space="0" w:color="auto"/>
            </w:tcBorders>
            <w:shd w:val="clear" w:color="000000" w:fill="FFFF00"/>
            <w:noWrap/>
            <w:vAlign w:val="center"/>
            <w:hideMark/>
          </w:tcPr>
          <w:p w:rsidR="007D1D6F" w:rsidRPr="00C60F35" w:rsidRDefault="007D1D6F" w:rsidP="003E1530">
            <w:pPr>
              <w:spacing w:line="240" w:lineRule="auto"/>
              <w:jc w:val="right"/>
              <w:rPr>
                <w:b/>
                <w:bCs/>
                <w:sz w:val="20"/>
                <w:szCs w:val="20"/>
                <w:lang w:eastAsia="pl-PL"/>
              </w:rPr>
            </w:pPr>
            <w:r>
              <w:rPr>
                <w:b/>
                <w:bCs/>
                <w:sz w:val="20"/>
                <w:szCs w:val="20"/>
                <w:lang w:eastAsia="pl-PL"/>
              </w:rPr>
              <w:t>497</w:t>
            </w:r>
            <w:r w:rsidRPr="00C60F35">
              <w:rPr>
                <w:b/>
                <w:bCs/>
                <w:sz w:val="20"/>
                <w:szCs w:val="20"/>
                <w:lang w:eastAsia="pl-PL"/>
              </w:rPr>
              <w:t xml:space="preserve"> 3</w:t>
            </w:r>
            <w:r>
              <w:rPr>
                <w:b/>
                <w:bCs/>
                <w:sz w:val="20"/>
                <w:szCs w:val="20"/>
                <w:lang w:eastAsia="pl-PL"/>
              </w:rPr>
              <w:t>34</w:t>
            </w:r>
          </w:p>
        </w:tc>
        <w:tc>
          <w:tcPr>
            <w:tcW w:w="992" w:type="dxa"/>
            <w:tcBorders>
              <w:top w:val="nil"/>
              <w:left w:val="nil"/>
              <w:bottom w:val="single" w:sz="4" w:space="0" w:color="auto"/>
              <w:right w:val="single" w:sz="4" w:space="0" w:color="auto"/>
            </w:tcBorders>
            <w:shd w:val="clear" w:color="000000" w:fill="FFFF0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528 706</w:t>
            </w:r>
          </w:p>
        </w:tc>
        <w:tc>
          <w:tcPr>
            <w:tcW w:w="992" w:type="dxa"/>
            <w:tcBorders>
              <w:top w:val="nil"/>
              <w:left w:val="nil"/>
              <w:bottom w:val="single" w:sz="4" w:space="0" w:color="auto"/>
              <w:right w:val="nil"/>
            </w:tcBorders>
            <w:shd w:val="clear" w:color="000000" w:fill="FFFF0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551 487</w:t>
            </w:r>
          </w:p>
        </w:tc>
        <w:tc>
          <w:tcPr>
            <w:tcW w:w="989" w:type="dxa"/>
            <w:tcBorders>
              <w:top w:val="nil"/>
              <w:left w:val="single" w:sz="4" w:space="0" w:color="auto"/>
              <w:bottom w:val="single" w:sz="4" w:space="0" w:color="auto"/>
              <w:right w:val="single" w:sz="8" w:space="0" w:color="auto"/>
            </w:tcBorders>
            <w:shd w:val="clear" w:color="000000" w:fill="FFFF0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529 280</w:t>
            </w:r>
          </w:p>
        </w:tc>
        <w:tc>
          <w:tcPr>
            <w:tcW w:w="996" w:type="dxa"/>
            <w:tcBorders>
              <w:top w:val="nil"/>
              <w:left w:val="single" w:sz="4" w:space="0" w:color="auto"/>
              <w:bottom w:val="single" w:sz="4" w:space="0" w:color="auto"/>
              <w:right w:val="single" w:sz="8" w:space="0" w:color="auto"/>
            </w:tcBorders>
            <w:shd w:val="clear" w:color="000000" w:fill="FFFF00"/>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115%</w:t>
            </w:r>
          </w:p>
        </w:tc>
      </w:tr>
      <w:tr w:rsidR="007D1D6F" w:rsidRPr="00C60F35" w:rsidTr="003E1530">
        <w:trPr>
          <w:trHeight w:val="402"/>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a</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PIT</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262 826</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291 861</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316 297</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329 000</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306 847</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117%</w:t>
            </w:r>
          </w:p>
        </w:tc>
      </w:tr>
      <w:tr w:rsidR="007D1D6F" w:rsidRPr="00C60F35" w:rsidTr="003E1530">
        <w:trPr>
          <w:trHeight w:val="402"/>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b</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CIT</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19 745</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22 533</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22 522</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23 500</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29 057</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147%</w:t>
            </w:r>
          </w:p>
        </w:tc>
      </w:tr>
      <w:tr w:rsidR="007D1D6F" w:rsidRPr="00C60F35" w:rsidTr="003E1530">
        <w:trPr>
          <w:trHeight w:val="1305"/>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c</w:t>
            </w:r>
          </w:p>
        </w:tc>
        <w:tc>
          <w:tcPr>
            <w:tcW w:w="2900" w:type="dxa"/>
            <w:tcBorders>
              <w:top w:val="nil"/>
              <w:left w:val="nil"/>
              <w:bottom w:val="single" w:sz="4"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podatek od nieruchomości i środków transportowych, pcc, opłata skarbowa, karta podatkowa,podatek od spadków i  darowizn, subwencja równoważąca</w:t>
            </w:r>
          </w:p>
        </w:tc>
        <w:tc>
          <w:tcPr>
            <w:tcW w:w="1011"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159 120</w:t>
            </w:r>
          </w:p>
        </w:tc>
        <w:tc>
          <w:tcPr>
            <w:tcW w:w="993"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w:t>
            </w:r>
            <w:r>
              <w:rPr>
                <w:sz w:val="20"/>
                <w:szCs w:val="20"/>
                <w:lang w:eastAsia="pl-PL"/>
              </w:rPr>
              <w:t>63522</w:t>
            </w:r>
          </w:p>
        </w:tc>
        <w:tc>
          <w:tcPr>
            <w:tcW w:w="992" w:type="dxa"/>
            <w:tcBorders>
              <w:top w:val="nil"/>
              <w:left w:val="nil"/>
              <w:bottom w:val="single" w:sz="4"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171 733</w:t>
            </w:r>
          </w:p>
        </w:tc>
        <w:tc>
          <w:tcPr>
            <w:tcW w:w="992" w:type="dxa"/>
            <w:tcBorders>
              <w:top w:val="nil"/>
              <w:left w:val="nil"/>
              <w:bottom w:val="single" w:sz="4"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181 054</w:t>
            </w:r>
          </w:p>
        </w:tc>
        <w:tc>
          <w:tcPr>
            <w:tcW w:w="989"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175 472</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110%</w:t>
            </w:r>
          </w:p>
        </w:tc>
      </w:tr>
      <w:tr w:rsidR="007D1D6F" w:rsidRPr="00C60F35" w:rsidTr="003E1530">
        <w:trPr>
          <w:trHeight w:val="645"/>
        </w:trPr>
        <w:tc>
          <w:tcPr>
            <w:tcW w:w="473" w:type="dxa"/>
            <w:tcBorders>
              <w:top w:val="nil"/>
              <w:left w:val="single" w:sz="8" w:space="0" w:color="auto"/>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center"/>
              <w:rPr>
                <w:sz w:val="20"/>
                <w:szCs w:val="20"/>
                <w:lang w:eastAsia="pl-PL"/>
              </w:rPr>
            </w:pPr>
            <w:r w:rsidRPr="00C60F35">
              <w:rPr>
                <w:sz w:val="20"/>
                <w:szCs w:val="20"/>
                <w:lang w:eastAsia="pl-PL"/>
              </w:rPr>
              <w:t>d</w:t>
            </w:r>
          </w:p>
        </w:tc>
        <w:tc>
          <w:tcPr>
            <w:tcW w:w="2900" w:type="dxa"/>
            <w:tcBorders>
              <w:top w:val="nil"/>
              <w:left w:val="nil"/>
              <w:bottom w:val="single" w:sz="8" w:space="0" w:color="auto"/>
              <w:right w:val="single" w:sz="4" w:space="0" w:color="auto"/>
            </w:tcBorders>
            <w:shd w:val="clear" w:color="auto" w:fill="auto"/>
            <w:vAlign w:val="center"/>
            <w:hideMark/>
          </w:tcPr>
          <w:p w:rsidR="007D1D6F" w:rsidRPr="00C60F35" w:rsidRDefault="007D1D6F" w:rsidP="003E1530">
            <w:pPr>
              <w:spacing w:line="240" w:lineRule="auto"/>
              <w:rPr>
                <w:sz w:val="20"/>
                <w:szCs w:val="20"/>
                <w:lang w:eastAsia="pl-PL"/>
              </w:rPr>
            </w:pPr>
            <w:r w:rsidRPr="00C60F35">
              <w:rPr>
                <w:sz w:val="20"/>
                <w:szCs w:val="20"/>
                <w:lang w:eastAsia="pl-PL"/>
              </w:rPr>
              <w:t>użytkowanie wieczyste, najem, dzierżawa, dywidendy, odsetki</w:t>
            </w:r>
          </w:p>
        </w:tc>
        <w:tc>
          <w:tcPr>
            <w:tcW w:w="1011" w:type="dxa"/>
            <w:tcBorders>
              <w:top w:val="nil"/>
              <w:left w:val="nil"/>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19 262</w:t>
            </w:r>
          </w:p>
        </w:tc>
        <w:tc>
          <w:tcPr>
            <w:tcW w:w="993" w:type="dxa"/>
            <w:tcBorders>
              <w:top w:val="nil"/>
              <w:left w:val="nil"/>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19 418</w:t>
            </w:r>
          </w:p>
        </w:tc>
        <w:tc>
          <w:tcPr>
            <w:tcW w:w="992" w:type="dxa"/>
            <w:tcBorders>
              <w:top w:val="nil"/>
              <w:left w:val="nil"/>
              <w:bottom w:val="single" w:sz="8" w:space="0" w:color="auto"/>
              <w:right w:val="single" w:sz="4"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18 154</w:t>
            </w:r>
          </w:p>
        </w:tc>
        <w:tc>
          <w:tcPr>
            <w:tcW w:w="992" w:type="dxa"/>
            <w:tcBorders>
              <w:top w:val="nil"/>
              <w:left w:val="nil"/>
              <w:bottom w:val="single" w:sz="8" w:space="0" w:color="auto"/>
              <w:right w:val="nil"/>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17 933</w:t>
            </w:r>
          </w:p>
        </w:tc>
        <w:tc>
          <w:tcPr>
            <w:tcW w:w="989" w:type="dxa"/>
            <w:tcBorders>
              <w:top w:val="nil"/>
              <w:left w:val="single" w:sz="4" w:space="0" w:color="auto"/>
              <w:bottom w:val="single" w:sz="8"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17 904</w:t>
            </w:r>
          </w:p>
        </w:tc>
        <w:tc>
          <w:tcPr>
            <w:tcW w:w="996" w:type="dxa"/>
            <w:tcBorders>
              <w:top w:val="nil"/>
              <w:left w:val="single" w:sz="4" w:space="0" w:color="auto"/>
              <w:bottom w:val="single" w:sz="8" w:space="0" w:color="auto"/>
              <w:right w:val="single" w:sz="8" w:space="0" w:color="auto"/>
            </w:tcBorders>
            <w:shd w:val="clear" w:color="auto" w:fill="auto"/>
            <w:noWrap/>
            <w:vAlign w:val="center"/>
            <w:hideMark/>
          </w:tcPr>
          <w:p w:rsidR="007D1D6F" w:rsidRPr="00C60F35" w:rsidRDefault="007D1D6F" w:rsidP="003E1530">
            <w:pPr>
              <w:spacing w:line="240" w:lineRule="auto"/>
              <w:jc w:val="right"/>
              <w:rPr>
                <w:sz w:val="20"/>
                <w:szCs w:val="20"/>
                <w:lang w:eastAsia="pl-PL"/>
              </w:rPr>
            </w:pPr>
            <w:r w:rsidRPr="00C60F35">
              <w:rPr>
                <w:sz w:val="20"/>
                <w:szCs w:val="20"/>
                <w:lang w:eastAsia="pl-PL"/>
              </w:rPr>
              <w:t>93%</w:t>
            </w:r>
          </w:p>
        </w:tc>
      </w:tr>
      <w:tr w:rsidR="007D1D6F" w:rsidRPr="00C60F35" w:rsidTr="003E1530">
        <w:trPr>
          <w:trHeight w:val="402"/>
        </w:trPr>
        <w:tc>
          <w:tcPr>
            <w:tcW w:w="473" w:type="dxa"/>
            <w:tcBorders>
              <w:top w:val="single" w:sz="4" w:space="0" w:color="auto"/>
              <w:left w:val="single" w:sz="8" w:space="0" w:color="auto"/>
              <w:bottom w:val="single" w:sz="8" w:space="0" w:color="auto"/>
              <w:right w:val="single" w:sz="4" w:space="0" w:color="auto"/>
            </w:tcBorders>
            <w:shd w:val="clear" w:color="000000" w:fill="D8E4BC"/>
            <w:noWrap/>
            <w:vAlign w:val="center"/>
            <w:hideMark/>
          </w:tcPr>
          <w:p w:rsidR="007D1D6F" w:rsidRPr="00C60F35" w:rsidRDefault="007D1D6F" w:rsidP="003E1530">
            <w:pPr>
              <w:spacing w:line="240" w:lineRule="auto"/>
              <w:jc w:val="center"/>
              <w:rPr>
                <w:b/>
                <w:bCs/>
                <w:sz w:val="20"/>
                <w:szCs w:val="20"/>
                <w:lang w:eastAsia="pl-PL"/>
              </w:rPr>
            </w:pPr>
            <w:r w:rsidRPr="00C60F35">
              <w:rPr>
                <w:b/>
                <w:bCs/>
                <w:sz w:val="20"/>
                <w:szCs w:val="20"/>
                <w:lang w:eastAsia="pl-PL"/>
              </w:rPr>
              <w:t>III</w:t>
            </w:r>
          </w:p>
        </w:tc>
        <w:tc>
          <w:tcPr>
            <w:tcW w:w="2900" w:type="dxa"/>
            <w:tcBorders>
              <w:top w:val="single" w:sz="4" w:space="0" w:color="auto"/>
              <w:left w:val="nil"/>
              <w:bottom w:val="single" w:sz="8" w:space="0" w:color="auto"/>
              <w:right w:val="single" w:sz="4" w:space="0" w:color="auto"/>
            </w:tcBorders>
            <w:shd w:val="clear" w:color="000000" w:fill="D8E4BC"/>
            <w:vAlign w:val="center"/>
            <w:hideMark/>
          </w:tcPr>
          <w:p w:rsidR="007D1D6F" w:rsidRPr="00C60F35" w:rsidRDefault="007D1D6F" w:rsidP="003E1530">
            <w:pPr>
              <w:spacing w:line="240" w:lineRule="auto"/>
              <w:rPr>
                <w:b/>
                <w:bCs/>
                <w:sz w:val="20"/>
                <w:szCs w:val="20"/>
                <w:lang w:eastAsia="pl-PL"/>
              </w:rPr>
            </w:pPr>
            <w:r w:rsidRPr="00C60F35">
              <w:rPr>
                <w:b/>
                <w:bCs/>
                <w:sz w:val="20"/>
                <w:szCs w:val="20"/>
                <w:lang w:eastAsia="pl-PL"/>
              </w:rPr>
              <w:t>dochody ogółem</w:t>
            </w:r>
          </w:p>
        </w:tc>
        <w:tc>
          <w:tcPr>
            <w:tcW w:w="1011" w:type="dxa"/>
            <w:tcBorders>
              <w:top w:val="single" w:sz="4" w:space="0" w:color="auto"/>
              <w:left w:val="nil"/>
              <w:bottom w:val="single" w:sz="8" w:space="0" w:color="auto"/>
              <w:right w:val="single" w:sz="4" w:space="0" w:color="auto"/>
            </w:tcBorders>
            <w:shd w:val="clear" w:color="000000" w:fill="D8E4BC"/>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1 089 391</w:t>
            </w:r>
          </w:p>
        </w:tc>
        <w:tc>
          <w:tcPr>
            <w:tcW w:w="993" w:type="dxa"/>
            <w:tcBorders>
              <w:top w:val="single" w:sz="4" w:space="0" w:color="auto"/>
              <w:left w:val="nil"/>
              <w:bottom w:val="single" w:sz="8" w:space="0" w:color="auto"/>
              <w:right w:val="single" w:sz="4" w:space="0" w:color="auto"/>
            </w:tcBorders>
            <w:shd w:val="clear" w:color="000000" w:fill="D8E4BC"/>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 xml:space="preserve">1 </w:t>
            </w:r>
            <w:r>
              <w:rPr>
                <w:b/>
                <w:bCs/>
                <w:sz w:val="20"/>
                <w:szCs w:val="20"/>
                <w:lang w:eastAsia="pl-PL"/>
              </w:rPr>
              <w:t>196973</w:t>
            </w:r>
          </w:p>
        </w:tc>
        <w:tc>
          <w:tcPr>
            <w:tcW w:w="992" w:type="dxa"/>
            <w:tcBorders>
              <w:top w:val="single" w:sz="4" w:space="0" w:color="auto"/>
              <w:left w:val="nil"/>
              <w:bottom w:val="single" w:sz="8" w:space="0" w:color="auto"/>
              <w:right w:val="single" w:sz="4" w:space="0" w:color="auto"/>
            </w:tcBorders>
            <w:shd w:val="clear" w:color="000000" w:fill="D8E4BC"/>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1 288 639</w:t>
            </w:r>
          </w:p>
        </w:tc>
        <w:tc>
          <w:tcPr>
            <w:tcW w:w="992" w:type="dxa"/>
            <w:tcBorders>
              <w:top w:val="single" w:sz="4" w:space="0" w:color="auto"/>
              <w:left w:val="nil"/>
              <w:bottom w:val="single" w:sz="8" w:space="0" w:color="auto"/>
              <w:right w:val="single" w:sz="4" w:space="0" w:color="auto"/>
            </w:tcBorders>
            <w:shd w:val="clear" w:color="000000" w:fill="D8E4BC"/>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1 399 600</w:t>
            </w:r>
          </w:p>
        </w:tc>
        <w:tc>
          <w:tcPr>
            <w:tcW w:w="989" w:type="dxa"/>
            <w:tcBorders>
              <w:top w:val="single" w:sz="4" w:space="0" w:color="auto"/>
              <w:left w:val="nil"/>
              <w:bottom w:val="single" w:sz="8" w:space="0" w:color="auto"/>
              <w:right w:val="single" w:sz="4" w:space="0" w:color="auto"/>
            </w:tcBorders>
            <w:shd w:val="clear" w:color="000000" w:fill="D8E4BC"/>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1 439 024</w:t>
            </w:r>
          </w:p>
        </w:tc>
        <w:tc>
          <w:tcPr>
            <w:tcW w:w="996" w:type="dxa"/>
            <w:tcBorders>
              <w:top w:val="single" w:sz="4" w:space="0" w:color="auto"/>
              <w:left w:val="nil"/>
              <w:bottom w:val="single" w:sz="8" w:space="0" w:color="auto"/>
              <w:right w:val="single" w:sz="8" w:space="0" w:color="auto"/>
            </w:tcBorders>
            <w:shd w:val="clear" w:color="000000" w:fill="D8E4BC"/>
            <w:noWrap/>
            <w:vAlign w:val="center"/>
            <w:hideMark/>
          </w:tcPr>
          <w:p w:rsidR="007D1D6F" w:rsidRPr="00C60F35" w:rsidRDefault="007D1D6F" w:rsidP="003E1530">
            <w:pPr>
              <w:spacing w:line="240" w:lineRule="auto"/>
              <w:jc w:val="right"/>
              <w:rPr>
                <w:b/>
                <w:bCs/>
                <w:sz w:val="20"/>
                <w:szCs w:val="20"/>
                <w:lang w:eastAsia="pl-PL"/>
              </w:rPr>
            </w:pPr>
            <w:r w:rsidRPr="00C60F35">
              <w:rPr>
                <w:b/>
                <w:bCs/>
                <w:sz w:val="20"/>
                <w:szCs w:val="20"/>
                <w:lang w:eastAsia="pl-PL"/>
              </w:rPr>
              <w:t>132%</w:t>
            </w:r>
          </w:p>
        </w:tc>
      </w:tr>
    </w:tbl>
    <w:p w:rsidR="007D1D6F" w:rsidRDefault="007D1D6F" w:rsidP="007D1D6F">
      <w:pPr>
        <w:spacing w:line="240" w:lineRule="auto"/>
        <w:ind w:firstLine="708"/>
        <w:jc w:val="both"/>
        <w:rPr>
          <w:b/>
        </w:rPr>
      </w:pPr>
    </w:p>
    <w:p w:rsidR="007D1D6F" w:rsidRDefault="007D1D6F" w:rsidP="007D1D6F">
      <w:pPr>
        <w:spacing w:line="240" w:lineRule="auto"/>
        <w:ind w:firstLine="708"/>
        <w:jc w:val="both"/>
      </w:pPr>
      <w:r w:rsidRPr="00D63C75">
        <w:rPr>
          <w:b/>
        </w:rPr>
        <w:t>W strukturze wydatków</w:t>
      </w:r>
      <w:r>
        <w:rPr>
          <w:b/>
        </w:rPr>
        <w:t xml:space="preserve"> budżetu miasta, </w:t>
      </w:r>
      <w:r w:rsidRPr="008C3D4A">
        <w:t>podobnie jak w dochodach</w:t>
      </w:r>
      <w:r>
        <w:rPr>
          <w:b/>
        </w:rPr>
        <w:t>,</w:t>
      </w:r>
      <w:r w:rsidRPr="00C1187E">
        <w:t>w</w:t>
      </w:r>
      <w:r>
        <w:t xml:space="preserve">yodrębnić można wydatki bieżące </w:t>
      </w:r>
      <w:r w:rsidRPr="00C1187E">
        <w:t>i inwestycyjne. Zgodnie z ustawą o finansach publicz</w:t>
      </w:r>
      <w:r>
        <w:t xml:space="preserve">nych wydatki bieżące – związane </w:t>
      </w:r>
      <w:r w:rsidRPr="00C1187E">
        <w:t xml:space="preserve">z zapewnieniem bieżącego funkcjonowania miasta i jego jednostek organizacyjnych – finansowane mogą być wyłącznie z dochodów bieżących i dochodów ze sprzedaży majątku. Wydatki inwestycyjne finansowane mogą być </w:t>
      </w:r>
      <w:r>
        <w:t xml:space="preserve">z dwóch ww. źródeł, </w:t>
      </w:r>
      <w:r>
        <w:br/>
        <w:t xml:space="preserve">a </w:t>
      </w:r>
      <w:r w:rsidRPr="00C1187E">
        <w:t xml:space="preserve">ponadto dotacjami inwestycyjnymi, a także kredytami i pożyczkami.  Polityka finansowa Torunia prowadzona jest w taki sposób, aby dochody ze sprzedaży majątku służyły jego powiększaniu, a zatem przeznaczane były na inwestycje. </w:t>
      </w:r>
    </w:p>
    <w:p w:rsidR="007D1D6F" w:rsidRPr="00AD1A73" w:rsidRDefault="007D1D6F" w:rsidP="007D1D6F">
      <w:pPr>
        <w:spacing w:line="240" w:lineRule="auto"/>
        <w:jc w:val="both"/>
      </w:pPr>
      <w:r w:rsidRPr="00C1187E">
        <w:t>W strukturze wydatków Torunia, podobnie jak w innych miastach kraju, wydatki bieżące stanowią ok</w:t>
      </w:r>
      <w:r w:rsidRPr="00C62005">
        <w:t>. 80%</w:t>
      </w:r>
      <w:r w:rsidRPr="00C1187E">
        <w:t xml:space="preserve"> wydatków ogółem. </w:t>
      </w:r>
      <w:r w:rsidRPr="00C91C45">
        <w:t>W wydatk</w:t>
      </w:r>
      <w:r>
        <w:t>ach</w:t>
      </w:r>
      <w:r w:rsidRPr="00C91C45">
        <w:t xml:space="preserve"> bieżących</w:t>
      </w:r>
      <w:r w:rsidRPr="00C1187E">
        <w:t xml:space="preserve"> największy udział mają wydatki na utrzymanie systemu oświaty (w roku </w:t>
      </w:r>
      <w:r w:rsidRPr="00C62005">
        <w:t>2020 w 70%</w:t>
      </w:r>
      <w:r w:rsidRPr="00C1187E">
        <w:t xml:space="preserve"> finansowane środkami budżetu państwa), następnie na zadania z zakresu pomocy społecznej, polityki społecznej i ochrony zdrowia, a </w:t>
      </w:r>
      <w:r>
        <w:t xml:space="preserve">w </w:t>
      </w:r>
      <w:r w:rsidRPr="00C1187E">
        <w:t>dalszej kolejności</w:t>
      </w:r>
      <w:r w:rsidR="00963FBF">
        <w:t xml:space="preserve"> </w:t>
      </w:r>
      <w:r>
        <w:t>–</w:t>
      </w:r>
      <w:r w:rsidR="00963FBF">
        <w:t xml:space="preserve"> </w:t>
      </w:r>
      <w:r>
        <w:t xml:space="preserve">na </w:t>
      </w:r>
      <w:r w:rsidRPr="00C1187E">
        <w:t>utrzymani</w:t>
      </w:r>
      <w:r>
        <w:t xml:space="preserve">e systemu komunikacji miejskiej; </w:t>
      </w:r>
      <w:r w:rsidRPr="00C1187E">
        <w:t xml:space="preserve">utrzymanie, </w:t>
      </w:r>
      <w:r>
        <w:t>oświetlenie i oczyszczanie dróg;</w:t>
      </w:r>
      <w:r w:rsidRPr="00C1187E">
        <w:t xml:space="preserve"> od</w:t>
      </w:r>
      <w:r>
        <w:t xml:space="preserve">biór i zagospodarowanie odpadów; </w:t>
      </w:r>
      <w:r w:rsidRPr="00C1187E">
        <w:t>utrzym</w:t>
      </w:r>
      <w:r>
        <w:t>anie zieleni, terenów miejskich;  utrzymanie administracji;  obsługę długu;  kulturę;  sport; promocję, remonty. Około 85</w:t>
      </w:r>
      <w:r w:rsidRPr="00C1187E">
        <w:t>% wydatków bieżących to tzw. „wydatki sztywne” związane</w:t>
      </w:r>
      <w:r w:rsidR="00963FBF">
        <w:t xml:space="preserve"> </w:t>
      </w:r>
      <w:r w:rsidRPr="00C1187E">
        <w:t xml:space="preserve">z realizacją zadań obligatoryjnie nałożonych na samorząd ustawami. </w:t>
      </w:r>
      <w:r>
        <w:t xml:space="preserve">W celu niedopuszczenia </w:t>
      </w:r>
      <w:r w:rsidR="00963FBF">
        <w:br/>
      </w:r>
      <w:r>
        <w:t xml:space="preserve">do znacznego spadku nadwyżki operacyjnej (różnicy pomiędzy dochodami bieżącymi </w:t>
      </w:r>
      <w:r w:rsidR="00963FBF">
        <w:br/>
      </w:r>
      <w:r>
        <w:t xml:space="preserve">a wydatkami bieżącymi), z uwagi na spadek dochodów, od kwietnia 2020 roku podejmowano działania zmierzające do ograniczenia wydatków bieżących. Okresowe blokowanie wydatków </w:t>
      </w:r>
      <w:r>
        <w:lastRenderedPageBreak/>
        <w:t xml:space="preserve">w trakcie roku i </w:t>
      </w:r>
      <w:r w:rsidRPr="004F5522">
        <w:t>stały monitor</w:t>
      </w:r>
      <w:r>
        <w:t>ing</w:t>
      </w:r>
      <w:r w:rsidRPr="004F5522">
        <w:t xml:space="preserve"> realizowanych zadań pozwoliły na podjęcie przez Radę Miasta uchwał ws. zmian w budżecie zmniejszających poziom wydatków bieżących </w:t>
      </w:r>
      <w:r w:rsidR="00963FBF">
        <w:br/>
      </w:r>
      <w:r w:rsidRPr="004F5522">
        <w:t xml:space="preserve">o 36.180 tys. zł, inwestycyjnych o 23.795 tys. zł. </w:t>
      </w:r>
      <w:r w:rsidRPr="00D76D7C">
        <w:t>W kwocie zmniejszonych wydatków bieżących 10.392 tys. zł stanowiły wynagrodzenia w jednostkach organizacyjnych gminy</w:t>
      </w:r>
      <w:r w:rsidR="00963FBF">
        <w:br/>
      </w:r>
      <w:r w:rsidRPr="00D76D7C">
        <w:t xml:space="preserve"> (w tym w Urzędzie Miasta: 4.355 tys. zł), których ograniczenie uzyskano poprzez</w:t>
      </w:r>
      <w:r w:rsidR="00963FBF">
        <w:t>:</w:t>
      </w:r>
      <w:r w:rsidRPr="00D76D7C">
        <w:t xml:space="preserve"> rezygnację z zaplanowanych syste</w:t>
      </w:r>
      <w:r w:rsidR="00963FBF">
        <w:t>mowych podwyżek płac, rezygnację</w:t>
      </w:r>
      <w:r w:rsidRPr="00D76D7C">
        <w:t xml:space="preserve"> w części jednostek </w:t>
      </w:r>
      <w:r w:rsidR="00963FBF">
        <w:br/>
      </w:r>
      <w:r w:rsidRPr="00D76D7C">
        <w:t xml:space="preserve">z wypłaty premii i nagród w II kwartale roku, ograniczenia poziomu premii wypłacanych </w:t>
      </w:r>
      <w:r w:rsidR="00963FBF">
        <w:br/>
      </w:r>
      <w:r w:rsidRPr="00D76D7C">
        <w:t>w pozostałej części roku max. do 10% wynagro</w:t>
      </w:r>
      <w:r w:rsidR="00963FBF">
        <w:t>dzeń zasadniczych, zmniejszanie</w:t>
      </w:r>
      <w:r w:rsidRPr="00D76D7C">
        <w:t xml:space="preserve"> zatrudnienia poprzez decyzje o niezatrudnianiu pracowników w miejsce osób odchodzących na emeryturę, oszczędności z tytułu absencji i nieobecności w związku ze sprawowaniem opieki nad dziećmi. Zmniejszenie wydatków bieżących innych, niż wynagrodzenia, obejmowały przede wszystkim oszczędności </w:t>
      </w:r>
      <w:r w:rsidRPr="00AD1A73">
        <w:t xml:space="preserve">powstałe w trakcie realizacji zadań, a także niewydatkowane środki wynikające z ograniczenia zakresów rzeczowych w związku z obostrzeniami sanitarnymi </w:t>
      </w:r>
      <w:r w:rsidR="00963FBF">
        <w:br/>
      </w:r>
      <w:r w:rsidRPr="00AD1A73">
        <w:t xml:space="preserve">i obowiązkiem zachowania dystansu społecznego (przede wszystkim w zakresie kultury, sporu, rekreacji, promocji, komunikacji publicznej). </w:t>
      </w:r>
    </w:p>
    <w:p w:rsidR="007D1D6F" w:rsidRPr="00AD1A73" w:rsidRDefault="007D1D6F" w:rsidP="00963FBF">
      <w:pPr>
        <w:spacing w:line="240" w:lineRule="auto"/>
        <w:ind w:firstLine="708"/>
        <w:jc w:val="both"/>
      </w:pPr>
      <w:r w:rsidRPr="00AD1A73">
        <w:t xml:space="preserve">Jedyną sferą wydatków, w której nie </w:t>
      </w:r>
      <w:r>
        <w:t>wygospodarowano oszczędności, a przeciwnie</w:t>
      </w:r>
      <w:r w:rsidR="00963FBF">
        <w:t xml:space="preserve"> </w:t>
      </w:r>
      <w:r>
        <w:t>- zwiększono poziom wydatków bieżących, była sfera oświaty i edukacyjnej opieki wychowawczej. Wydatki na te dziedziny (bez remontów i zakupu wyposażenia) zaplanowano na początek roku w kwocie 408 mln zł. W związku z koniecznością sfinansowania ustawowej  6% podwyżki płac dla nauczycieli od września 2020 r., wydatki do końca roku w tej sferze uległy zwiększeniu o 13,5 mln zł, z czego 7,8 mln zł pokryła zwiększona subwencja oświatowa, 5,7 mln zł dopłata z dochodów własnych miasta. Ogółem dopłata ze środków własnych miasta do systemu oświaty (ponad subwencję) wyniosła 133,8 mln zł, c</w:t>
      </w:r>
      <w:r w:rsidR="00963FBF">
        <w:t xml:space="preserve">o stanowi całość wpływów </w:t>
      </w:r>
      <w:r>
        <w:t xml:space="preserve">z podatku od nieruchomości uzupełnioną o dochody z podatku od środków transportowych.  </w:t>
      </w:r>
    </w:p>
    <w:p w:rsidR="007D1D6F" w:rsidRDefault="007D1D6F" w:rsidP="007D1D6F">
      <w:pPr>
        <w:spacing w:line="240" w:lineRule="auto"/>
        <w:jc w:val="both"/>
      </w:pPr>
    </w:p>
    <w:p w:rsidR="007D1D6F" w:rsidRPr="002601BF" w:rsidRDefault="00D948BF" w:rsidP="007D1D6F">
      <w:pPr>
        <w:spacing w:line="240" w:lineRule="auto"/>
        <w:jc w:val="both"/>
      </w:pPr>
      <w:r>
        <w:rPr>
          <w:noProof/>
          <w:lang w:val="pl-PL" w:eastAsia="pl-PL"/>
        </w:rPr>
        <w:drawing>
          <wp:inline distT="0" distB="0" distL="0" distR="0">
            <wp:extent cx="5972175" cy="4086225"/>
            <wp:effectExtent l="1905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5972175" cy="4086225"/>
                    </a:xfrm>
                    <a:prstGeom prst="rect">
                      <a:avLst/>
                    </a:prstGeom>
                    <a:noFill/>
                    <a:ln w="9525">
                      <a:noFill/>
                      <a:miter lim="800000"/>
                      <a:headEnd/>
                      <a:tailEnd/>
                    </a:ln>
                  </pic:spPr>
                </pic:pic>
              </a:graphicData>
            </a:graphic>
          </wp:inline>
        </w:drawing>
      </w:r>
    </w:p>
    <w:p w:rsidR="007D1D6F" w:rsidRDefault="007D1D6F" w:rsidP="007D1D6F">
      <w:pPr>
        <w:spacing w:line="240" w:lineRule="auto"/>
        <w:ind w:firstLine="357"/>
        <w:jc w:val="both"/>
      </w:pPr>
      <w:r w:rsidRPr="00C607AE">
        <w:rPr>
          <w:b/>
        </w:rPr>
        <w:lastRenderedPageBreak/>
        <w:t xml:space="preserve">Plany zamierzeń inwestycyjnych </w:t>
      </w:r>
      <w:r w:rsidRPr="009346D9">
        <w:t>Torunia ustalan</w:t>
      </w:r>
      <w:r>
        <w:t xml:space="preserve">e są </w:t>
      </w:r>
      <w:r w:rsidRPr="009346D9">
        <w:t>w oparciu o uchwalone przez Radę Miasta</w:t>
      </w:r>
      <w:r w:rsidR="00963FBF">
        <w:t xml:space="preserve"> </w:t>
      </w:r>
      <w:r w:rsidRPr="009346D9">
        <w:t xml:space="preserve"> </w:t>
      </w:r>
      <w:r w:rsidRPr="00963FBF">
        <w:rPr>
          <w:b/>
          <w:i/>
        </w:rPr>
        <w:t>Studium uwarunkowań i kierunków zagospodarowania przestrzennego miasta Torunia</w:t>
      </w:r>
      <w:r w:rsidRPr="009346D9">
        <w:t xml:space="preserve"> określające główne kierunku rozwoju oraz o pozostałe</w:t>
      </w:r>
      <w:r w:rsidRPr="00C1187E">
        <w:t xml:space="preserve"> dokumenty planistyczne </w:t>
      </w:r>
      <w:r w:rsidR="00963FBF">
        <w:br/>
      </w:r>
      <w:r w:rsidRPr="00C1187E">
        <w:t xml:space="preserve">i programowe opisane w niniejszym raporcie. Ze względu na ograniczone możliwości finansowe polskich samorządów, w planach Torunia priorytetowo traktowane są te </w:t>
      </w:r>
      <w:r w:rsidR="00963FBF">
        <w:t xml:space="preserve">inwestycje, które mogą uzyskać </w:t>
      </w:r>
      <w:r w:rsidRPr="00C1187E">
        <w:t xml:space="preserve">wsparcie ze środków Unii Europejskiej lub wpisują się </w:t>
      </w:r>
      <w:r w:rsidR="00963FBF">
        <w:br/>
      </w:r>
      <w:r w:rsidRPr="00C1187E">
        <w:t>w programy rządowe gwarantujące dofin</w:t>
      </w:r>
      <w:r>
        <w:t xml:space="preserve">ansowanie ze źródeł krajowych. </w:t>
      </w:r>
      <w:r w:rsidRPr="00C1187E">
        <w:t xml:space="preserve">Kwota wydatkowanych środków na inwestycje zdeterminowana jest w dużej mierze poziomem pozyskanych środków zewnętrznych na ich realizację. Od lat Toruń stara się inwestować corocznie w każdą dziedzinę życia miasta zapewniając mu tym samym zrównoważony rozwój. </w:t>
      </w:r>
    </w:p>
    <w:p w:rsidR="007D1D6F" w:rsidRDefault="007D1D6F" w:rsidP="007D1D6F">
      <w:pPr>
        <w:spacing w:line="240" w:lineRule="auto"/>
        <w:ind w:firstLine="357"/>
        <w:jc w:val="both"/>
      </w:pPr>
      <w:r>
        <w:t xml:space="preserve">Inwestycje, poza poprawą miejskiej infrastruktury, wpływają także korzystnie na ogólny rozwój gospodarczy tworząc łańcuch dostaw i wpływając tym samym na utrzymanie </w:t>
      </w:r>
      <w:r>
        <w:br/>
        <w:t>i zwiększanie miejsc pracy. Z tego też względu, pomimo konieczności zmniejszania wydatków miasta, w trakcie 2020 roku z</w:t>
      </w:r>
      <w:r w:rsidRPr="009346D9">
        <w:t>m</w:t>
      </w:r>
      <w:r>
        <w:t>iany planu w tej dziedz</w:t>
      </w:r>
      <w:r w:rsidR="00963FBF">
        <w:t xml:space="preserve">inie wynikały przede wszystkim </w:t>
      </w:r>
      <w:r>
        <w:t xml:space="preserve">z </w:t>
      </w:r>
      <w:r w:rsidRPr="009346D9">
        <w:t>oszczędności</w:t>
      </w:r>
      <w:r>
        <w:t xml:space="preserve"> lub przesunięć </w:t>
      </w:r>
      <w:r w:rsidRPr="009346D9">
        <w:t xml:space="preserve">części wydatków na rok 2021 w związku </w:t>
      </w:r>
      <w:r w:rsidR="00963FBF">
        <w:br/>
      </w:r>
      <w:r w:rsidRPr="009346D9">
        <w:t>z aktualizacją harmonogramów ich realizacji.</w:t>
      </w:r>
    </w:p>
    <w:p w:rsidR="007D1D6F" w:rsidRDefault="007D1D6F" w:rsidP="007D1D6F">
      <w:pPr>
        <w:spacing w:line="240" w:lineRule="auto"/>
        <w:ind w:firstLine="357"/>
        <w:jc w:val="both"/>
      </w:pPr>
      <w:r>
        <w:t>W 2020 roku w fazę realizacyjną wkroczyły prace związane z rozbudową mostu drogowego im. J. Piłsudskiego. Z uwagi na znaczny koszt tego zadania udział inwestycji drogowych stanowił 52% puli wydatków inwestycyjnych.</w:t>
      </w:r>
    </w:p>
    <w:p w:rsidR="007D1D6F" w:rsidRDefault="007D1D6F" w:rsidP="007D1D6F">
      <w:pPr>
        <w:spacing w:line="240" w:lineRule="auto"/>
        <w:ind w:firstLine="357"/>
        <w:jc w:val="both"/>
      </w:pPr>
    </w:p>
    <w:p w:rsidR="007D1D6F" w:rsidRPr="00C1187E" w:rsidRDefault="00D948BF" w:rsidP="007D1D6F">
      <w:pPr>
        <w:ind w:firstLine="357"/>
        <w:jc w:val="both"/>
      </w:pPr>
      <w:r>
        <w:rPr>
          <w:noProof/>
          <w:lang w:val="pl-PL" w:eastAsia="pl-PL"/>
        </w:rPr>
        <w:drawing>
          <wp:inline distT="0" distB="0" distL="0" distR="0">
            <wp:extent cx="5705475" cy="3514725"/>
            <wp:effectExtent l="19050" t="0" r="9525"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a:stretch>
                      <a:fillRect/>
                    </a:stretch>
                  </pic:blipFill>
                  <pic:spPr bwMode="auto">
                    <a:xfrm>
                      <a:off x="0" y="0"/>
                      <a:ext cx="5705475" cy="3514725"/>
                    </a:xfrm>
                    <a:prstGeom prst="rect">
                      <a:avLst/>
                    </a:prstGeom>
                    <a:noFill/>
                    <a:ln w="9525">
                      <a:noFill/>
                      <a:miter lim="800000"/>
                      <a:headEnd/>
                      <a:tailEnd/>
                    </a:ln>
                  </pic:spPr>
                </pic:pic>
              </a:graphicData>
            </a:graphic>
          </wp:inline>
        </w:drawing>
      </w:r>
    </w:p>
    <w:p w:rsidR="007D1D6F" w:rsidRDefault="007D1D6F" w:rsidP="007D1D6F">
      <w:pPr>
        <w:spacing w:line="240" w:lineRule="auto"/>
        <w:ind w:firstLine="709"/>
        <w:jc w:val="both"/>
      </w:pPr>
      <w:r w:rsidRPr="00322439">
        <w:t xml:space="preserve">Źródłami finansowania inwestycji w Toruniu są środki własne, pozyskane dotacje oraz kredyty. Możliwość pozyskania dotacji inwestycyjnych z UE uzależniona jest od priorytetów ustalonych przez Komisję Europejską dla wspierania inwestycji w państwach członkowskich, </w:t>
      </w:r>
      <w:r w:rsidRPr="00322439">
        <w:br/>
        <w:t xml:space="preserve">a także od celów i programów operacyjnych na poziomie krajowym. Środki europejskie wspierają także inwestycje realizowane przez miejskie </w:t>
      </w:r>
      <w:r>
        <w:t xml:space="preserve">spółki, w tym przede wszystkim </w:t>
      </w:r>
      <w:r>
        <w:br/>
      </w:r>
      <w:r w:rsidRPr="00322439">
        <w:t xml:space="preserve">w zakresie rozwoju transportu publicznego, sieci wod-kan, gospodarki odpadami. </w:t>
      </w:r>
      <w:r>
        <w:t xml:space="preserve">W 2020r. Gmina Miasta Toruń otrzymała dodatkowe środki na inwestycje, pochodzące z  Funduszu Przeciwdziałania Covid-19, w kwocie 29,3 mln zł. </w:t>
      </w:r>
    </w:p>
    <w:p w:rsidR="007D1D6F" w:rsidRPr="00322439" w:rsidRDefault="00D948BF" w:rsidP="007D1D6F">
      <w:pPr>
        <w:jc w:val="both"/>
      </w:pPr>
      <w:r>
        <w:rPr>
          <w:noProof/>
          <w:lang w:val="pl-PL" w:eastAsia="pl-PL"/>
        </w:rPr>
        <w:lastRenderedPageBreak/>
        <w:drawing>
          <wp:inline distT="0" distB="0" distL="0" distR="0">
            <wp:extent cx="5419725" cy="2905125"/>
            <wp:effectExtent l="19050" t="0" r="9525"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cstate="print"/>
                    <a:srcRect/>
                    <a:stretch>
                      <a:fillRect/>
                    </a:stretch>
                  </pic:blipFill>
                  <pic:spPr bwMode="auto">
                    <a:xfrm>
                      <a:off x="0" y="0"/>
                      <a:ext cx="5419725" cy="2905125"/>
                    </a:xfrm>
                    <a:prstGeom prst="rect">
                      <a:avLst/>
                    </a:prstGeom>
                    <a:noFill/>
                    <a:ln w="9525">
                      <a:noFill/>
                      <a:miter lim="800000"/>
                      <a:headEnd/>
                      <a:tailEnd/>
                    </a:ln>
                  </pic:spPr>
                </pic:pic>
              </a:graphicData>
            </a:graphic>
          </wp:inline>
        </w:drawing>
      </w:r>
    </w:p>
    <w:p w:rsidR="007D1D6F" w:rsidRDefault="007D1D6F" w:rsidP="007D1D6F">
      <w:pPr>
        <w:spacing w:line="240" w:lineRule="auto"/>
        <w:ind w:firstLine="708"/>
        <w:jc w:val="both"/>
      </w:pPr>
      <w:r>
        <w:t xml:space="preserve">W ciągu prezentowanych </w:t>
      </w:r>
      <w:r w:rsidRPr="00C1187E">
        <w:t xml:space="preserve">lat </w:t>
      </w:r>
      <w:r w:rsidRPr="00C94634">
        <w:rPr>
          <w:b/>
        </w:rPr>
        <w:t>kredyty bankowe</w:t>
      </w:r>
      <w:r w:rsidRPr="00C1187E">
        <w:t xml:space="preserve"> stanowiły średniorocznie ok. 20% źródeł finansowania inwestycji. Dla obniżenia kosztów ich obsługi Toruń poszukuje najtańszych źródeł zadłużenia i w tym celu skutecznie współpracuje od wielu lat z Eu</w:t>
      </w:r>
      <w:r>
        <w:t>ropejskim Bankiem Inwestycyjnym,</w:t>
      </w:r>
      <w:r w:rsidRPr="00C1187E">
        <w:t xml:space="preserve"> oferującym kredyty spłacane w okresie 25 lat z preferencyjnym oprocentowaniem- niższym, niż kredyty krajowe o ok. 1% rocznie. Na ogólną kwotę długu wynoszącą na </w:t>
      </w:r>
      <w:r w:rsidRPr="00C62005">
        <w:t>koniec 2020 roku 1.112,7</w:t>
      </w:r>
      <w:r w:rsidRPr="00110A9D">
        <w:t xml:space="preserve"> mln</w:t>
      </w:r>
      <w:r>
        <w:t xml:space="preserve"> zł</w:t>
      </w:r>
      <w:r w:rsidRPr="00C1187E">
        <w:t>, 5</w:t>
      </w:r>
      <w:r>
        <w:t>7% pochodziło z tego źródła (637</w:t>
      </w:r>
      <w:r w:rsidRPr="00C1187E">
        <w:t xml:space="preserve"> mln zł).  </w:t>
      </w:r>
      <w:r>
        <w:t xml:space="preserve">W roku 2020, po raz pierwszy w historii miasta, dla sfinansowania planowanego deficytu, wyemitowano obligacje komunalne w ramach planu obligacji 30 letnich. Wykorzystanie tego  instrumentu dłużnego pozwoli na zmniejszenie rocznych </w:t>
      </w:r>
      <w:r w:rsidR="00BC37AC">
        <w:t xml:space="preserve">wydatków na obsługę zadłużenia </w:t>
      </w:r>
      <w:r>
        <w:t>i tym samym poprawę wskaźników zdolności kredytowej.</w:t>
      </w:r>
    </w:p>
    <w:p w:rsidR="007D1D6F" w:rsidRPr="005B4DF1" w:rsidRDefault="00D948BF" w:rsidP="007D1D6F">
      <w:pPr>
        <w:spacing w:line="240" w:lineRule="auto"/>
        <w:ind w:firstLine="708"/>
        <w:jc w:val="both"/>
      </w:pPr>
      <w:r>
        <w:rPr>
          <w:noProof/>
          <w:lang w:val="pl-PL" w:eastAsia="pl-PL"/>
        </w:rPr>
        <w:drawing>
          <wp:inline distT="0" distB="0" distL="0" distR="0">
            <wp:extent cx="5715000" cy="3105150"/>
            <wp:effectExtent l="1905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7D1D6F" w:rsidRDefault="007D1D6F" w:rsidP="007D1D6F">
      <w:pPr>
        <w:spacing w:line="240" w:lineRule="auto"/>
        <w:ind w:firstLine="708"/>
        <w:jc w:val="both"/>
      </w:pPr>
      <w:r w:rsidRPr="003E4D71">
        <w:t xml:space="preserve">Zgodnie z  ustawą o finansach publicznych, od roku 2014, miernikiem dopuszczalnego poziomu zadłużenia miasta nie jest (stosowany przed 2014 rokiem) wskaźnik udziału nominalnej kwoty długu w dochodach ogółem, a indywidualnie dla każdego samorządu obliczany wskaźnik rocznej obsługi zadłużenia. Wskazuje on, jaki procent dochodów miasta może być corocznie przeznaczany na wydatki związane ze spłatą rat </w:t>
      </w:r>
      <w:r w:rsidRPr="003E4D71">
        <w:lastRenderedPageBreak/>
        <w:t xml:space="preserve">kapitałowych i odsetek. Wskaźnik obliczony dla Torunia w </w:t>
      </w:r>
      <w:r w:rsidRPr="00C62005">
        <w:t>roku 2020 wynosił 16,56%,</w:t>
      </w:r>
      <w:r w:rsidR="00BC37AC">
        <w:t xml:space="preserve"> co oznacza, że miasto mogło </w:t>
      </w:r>
      <w:r w:rsidRPr="003E4D71">
        <w:t xml:space="preserve">w </w:t>
      </w:r>
      <w:r w:rsidRPr="00C62005">
        <w:t>roku 2020 przeznaczyć</w:t>
      </w:r>
      <w:r w:rsidRPr="003E4D71">
        <w:t xml:space="preserve"> na obsługę zadłużenia 151 mln zł. </w:t>
      </w:r>
      <w:r w:rsidR="00BC37AC">
        <w:br/>
      </w:r>
      <w:r w:rsidRPr="003E4D71">
        <w:t xml:space="preserve">W rzeczywistości wydatkowano </w:t>
      </w:r>
      <w:r w:rsidRPr="00C62005">
        <w:t>20 mln zł na odsetki i 68 mln</w:t>
      </w:r>
      <w:r w:rsidRPr="003E4D71">
        <w:t xml:space="preserve"> zł na spłaty rat kapitałowych, co po uwzględnieniu ustawowych w</w:t>
      </w:r>
      <w:r>
        <w:t>y</w:t>
      </w:r>
      <w:r w:rsidRPr="003E4D71">
        <w:t>łączeń, st</w:t>
      </w:r>
      <w:r>
        <w:t>anowi 50% dopuszczalnego limitu i o</w:t>
      </w:r>
      <w:r w:rsidRPr="003E4D71">
        <w:t>znacza wysoki poziom bezpieczeństwa finansowego miasta</w:t>
      </w:r>
      <w:r>
        <w:t>.</w:t>
      </w:r>
    </w:p>
    <w:p w:rsidR="007D1D6F" w:rsidRDefault="007D1D6F" w:rsidP="007D1D6F">
      <w:pPr>
        <w:spacing w:line="240" w:lineRule="auto"/>
        <w:ind w:firstLine="708"/>
        <w:jc w:val="both"/>
      </w:pPr>
      <w:r w:rsidRPr="00DE41F5">
        <w:rPr>
          <w:b/>
        </w:rPr>
        <w:t>Podsumowując rok 2020</w:t>
      </w:r>
      <w:r>
        <w:t xml:space="preserve"> należy wskazać, że był to rok bezprecedensowy dla finansów miasta. Pokaźny ubytek dochodów bieżących, na skutek epidemii Covid-19 oraz ustawowych zmian w podatku PIT, wymusił podejmowanie zdecydowanych działań na rzecz ograniczania wydatków bieżących. Presji na oszczędzanie i dbałość o wpływy trzeba było przeciwstawić obowiązek realizacji obligatoryjnych zadań miasta, ponoszenia zwiększonych kosztów na poprawę bezpieczeństwa sanitarnego, czy wsparcie lokalnej przedsiębiorczości. Dzięki systematycznemu monitorowaniu stanu gospodarki, otoczenia prawnego, finansów miasta i ścisłej współpracy z Radą Miasta, te pozornie sprzeczne interesy udało się pogodzić </w:t>
      </w:r>
      <w:r w:rsidR="00BC37AC">
        <w:br/>
      </w:r>
      <w:r>
        <w:t xml:space="preserve">i miasto zakończyło rok wynikiem finansowym lepszym, od pierwotnie planowanego aż </w:t>
      </w:r>
      <w:r w:rsidR="00BC37AC">
        <w:br/>
      </w:r>
      <w:r>
        <w:t xml:space="preserve">o 102 mln zł. Rzeczywisty ubytek dochodów bieżących wyniósł 35 mln zł, </w:t>
      </w:r>
      <w:r w:rsidR="00BC37AC">
        <w:br/>
      </w:r>
      <w:r>
        <w:t xml:space="preserve">a z uwzględnieniem przewidzianego już w pierwotnym planie ubytku PIT – ok. 75 mln zł. Konsekwentnie prowadzona polityka optymalizacji wydatków oraz częściowo brak możliwości realizacji części zadań na skutek obostrzeń sanitarnych pozwoliły na wygospodarowanie oszczędności w wydatkach bieżących na poziomie 78 mln zł. Starania miasta o uzyskanie statusu miasta atrakcyjnego dla inwestorów zaowocowały rekordowymi wpływami ze sprzedaży nieruchomości, bo wynoszącymi aż 57 mln zł (o 27 mln zł więcej, niż planowano). Poprawę wyniku finansowego uzyskano także dzięki środkom otrzymanym z budżetu państwa w ramach Rządowego Funduszu Inwestycji Lokalnych w wys. 29 mln zł, które zostaną przeznaczone na kontynuację remontu mostu im. J. Piłsudskiego w roku 2021. </w:t>
      </w:r>
    </w:p>
    <w:p w:rsidR="007D1D6F" w:rsidRDefault="007D1D6F" w:rsidP="007D1D6F">
      <w:pPr>
        <w:spacing w:line="240" w:lineRule="auto"/>
        <w:ind w:firstLine="708"/>
        <w:jc w:val="both"/>
      </w:pPr>
      <w:r>
        <w:t>Informację o wynikach uzyskanych na poszczególnych działalnościach miasta przedstawia tabel (w tys. zł):</w:t>
      </w:r>
    </w:p>
    <w:p w:rsidR="00BC37AC" w:rsidRDefault="00BC37AC" w:rsidP="007D1D6F">
      <w:pPr>
        <w:spacing w:line="240" w:lineRule="auto"/>
        <w:ind w:firstLine="708"/>
        <w:jc w:val="both"/>
      </w:pPr>
    </w:p>
    <w:tbl>
      <w:tblPr>
        <w:tblW w:w="9140" w:type="dxa"/>
        <w:tblCellMar>
          <w:left w:w="70" w:type="dxa"/>
          <w:right w:w="70" w:type="dxa"/>
        </w:tblCellMar>
        <w:tblLook w:val="04A0"/>
      </w:tblPr>
      <w:tblGrid>
        <w:gridCol w:w="500"/>
        <w:gridCol w:w="4720"/>
        <w:gridCol w:w="1300"/>
        <w:gridCol w:w="1180"/>
        <w:gridCol w:w="1440"/>
      </w:tblGrid>
      <w:tr w:rsidR="007D1D6F" w:rsidRPr="004B0B5B" w:rsidTr="003E1530">
        <w:trPr>
          <w:trHeight w:val="485"/>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lp</w:t>
            </w:r>
          </w:p>
        </w:tc>
        <w:tc>
          <w:tcPr>
            <w:tcW w:w="4720" w:type="dxa"/>
            <w:tcBorders>
              <w:top w:val="single" w:sz="8" w:space="0" w:color="auto"/>
              <w:left w:val="nil"/>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dochody i wydatki wg struktury</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plan 2020</w:t>
            </w:r>
          </w:p>
        </w:tc>
        <w:tc>
          <w:tcPr>
            <w:tcW w:w="1180" w:type="dxa"/>
            <w:tcBorders>
              <w:top w:val="single" w:sz="8" w:space="0" w:color="auto"/>
              <w:left w:val="nil"/>
              <w:bottom w:val="single" w:sz="4" w:space="0" w:color="auto"/>
              <w:right w:val="nil"/>
            </w:tcBorders>
            <w:shd w:val="clear" w:color="auto" w:fill="auto"/>
            <w:noWrap/>
            <w:vAlign w:val="center"/>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2020</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różnica plan/                wykonanie</w:t>
            </w:r>
          </w:p>
        </w:tc>
      </w:tr>
      <w:tr w:rsidR="007D1D6F" w:rsidRPr="004B0B5B" w:rsidTr="003E1530">
        <w:trPr>
          <w:trHeight w:val="51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1</w:t>
            </w:r>
          </w:p>
        </w:tc>
        <w:tc>
          <w:tcPr>
            <w:tcW w:w="4720" w:type="dxa"/>
            <w:tcBorders>
              <w:top w:val="nil"/>
              <w:left w:val="nil"/>
              <w:bottom w:val="single" w:sz="4" w:space="0" w:color="auto"/>
              <w:right w:val="single" w:sz="4" w:space="0" w:color="auto"/>
            </w:tcBorders>
            <w:shd w:val="clear" w:color="auto" w:fill="auto"/>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dochody rozporządzalne i z opłat pobieranych na pokrycie kosztów realizowanych zadań</w:t>
            </w:r>
          </w:p>
        </w:tc>
        <w:tc>
          <w:tcPr>
            <w:tcW w:w="1300" w:type="dxa"/>
            <w:tcBorders>
              <w:top w:val="nil"/>
              <w:left w:val="nil"/>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654 275</w:t>
            </w:r>
          </w:p>
        </w:tc>
        <w:tc>
          <w:tcPr>
            <w:tcW w:w="1180" w:type="dxa"/>
            <w:tcBorders>
              <w:top w:val="nil"/>
              <w:left w:val="nil"/>
              <w:bottom w:val="single" w:sz="4" w:space="0" w:color="auto"/>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619 478</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-34 797</w:t>
            </w:r>
          </w:p>
        </w:tc>
      </w:tr>
      <w:tr w:rsidR="007D1D6F" w:rsidRPr="004B0B5B" w:rsidTr="003E1530">
        <w:trPr>
          <w:trHeight w:val="326"/>
        </w:trPr>
        <w:tc>
          <w:tcPr>
            <w:tcW w:w="500" w:type="dxa"/>
            <w:tcBorders>
              <w:top w:val="nil"/>
              <w:left w:val="single" w:sz="8" w:space="0" w:color="auto"/>
              <w:bottom w:val="nil"/>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2</w:t>
            </w:r>
          </w:p>
        </w:tc>
        <w:tc>
          <w:tcPr>
            <w:tcW w:w="4720" w:type="dxa"/>
            <w:tcBorders>
              <w:top w:val="nil"/>
              <w:left w:val="nil"/>
              <w:bottom w:val="nil"/>
              <w:right w:val="single" w:sz="4" w:space="0" w:color="auto"/>
            </w:tcBorders>
            <w:shd w:val="clear" w:color="auto" w:fill="auto"/>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wydatki bieżące finansowane środkami z poz. 1</w:t>
            </w:r>
          </w:p>
        </w:tc>
        <w:tc>
          <w:tcPr>
            <w:tcW w:w="1300" w:type="dxa"/>
            <w:tcBorders>
              <w:top w:val="nil"/>
              <w:left w:val="nil"/>
              <w:bottom w:val="nil"/>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593 366</w:t>
            </w:r>
          </w:p>
        </w:tc>
        <w:tc>
          <w:tcPr>
            <w:tcW w:w="118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515 417</w:t>
            </w:r>
          </w:p>
        </w:tc>
        <w:tc>
          <w:tcPr>
            <w:tcW w:w="1440" w:type="dxa"/>
            <w:tcBorders>
              <w:top w:val="nil"/>
              <w:left w:val="single" w:sz="4" w:space="0" w:color="auto"/>
              <w:bottom w:val="nil"/>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-77 949</w:t>
            </w:r>
          </w:p>
        </w:tc>
      </w:tr>
      <w:tr w:rsidR="007D1D6F" w:rsidRPr="004B0B5B" w:rsidTr="003E1530">
        <w:trPr>
          <w:trHeight w:val="315"/>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3</w:t>
            </w:r>
          </w:p>
        </w:tc>
        <w:tc>
          <w:tcPr>
            <w:tcW w:w="4720" w:type="dxa"/>
            <w:tcBorders>
              <w:top w:val="single" w:sz="8" w:space="0" w:color="auto"/>
              <w:left w:val="nil"/>
              <w:bottom w:val="single" w:sz="8" w:space="0" w:color="auto"/>
              <w:right w:val="single" w:sz="4" w:space="0" w:color="auto"/>
            </w:tcBorders>
            <w:shd w:val="clear" w:color="auto" w:fill="auto"/>
            <w:vAlign w:val="center"/>
            <w:hideMark/>
          </w:tcPr>
          <w:p w:rsidR="007D1D6F" w:rsidRPr="004B0B5B" w:rsidRDefault="007D1D6F" w:rsidP="003E1530">
            <w:pPr>
              <w:spacing w:line="240" w:lineRule="auto"/>
              <w:rPr>
                <w:b/>
                <w:bCs/>
                <w:color w:val="000000"/>
                <w:sz w:val="20"/>
                <w:szCs w:val="20"/>
                <w:lang w:eastAsia="pl-PL"/>
              </w:rPr>
            </w:pPr>
            <w:r w:rsidRPr="004B0B5B">
              <w:rPr>
                <w:b/>
                <w:bCs/>
                <w:color w:val="000000"/>
                <w:sz w:val="20"/>
                <w:szCs w:val="20"/>
                <w:lang w:eastAsia="pl-PL"/>
              </w:rPr>
              <w:t>wynik (1-2)</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60 909</w:t>
            </w:r>
          </w:p>
        </w:tc>
        <w:tc>
          <w:tcPr>
            <w:tcW w:w="1180" w:type="dxa"/>
            <w:tcBorders>
              <w:top w:val="single" w:sz="8" w:space="0" w:color="auto"/>
              <w:left w:val="nil"/>
              <w:bottom w:val="single" w:sz="8" w:space="0" w:color="auto"/>
              <w:right w:val="nil"/>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104 061</w:t>
            </w:r>
          </w:p>
        </w:tc>
        <w:tc>
          <w:tcPr>
            <w:tcW w:w="1440" w:type="dxa"/>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43 152</w:t>
            </w:r>
          </w:p>
        </w:tc>
      </w:tr>
      <w:tr w:rsidR="007D1D6F" w:rsidRPr="004B0B5B" w:rsidTr="003E1530">
        <w:trPr>
          <w:trHeight w:val="175"/>
        </w:trPr>
        <w:tc>
          <w:tcPr>
            <w:tcW w:w="50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p>
        </w:tc>
        <w:tc>
          <w:tcPr>
            <w:tcW w:w="4720" w:type="dxa"/>
            <w:tcBorders>
              <w:top w:val="nil"/>
              <w:left w:val="nil"/>
              <w:bottom w:val="nil"/>
              <w:right w:val="nil"/>
            </w:tcBorders>
            <w:shd w:val="clear" w:color="auto" w:fill="auto"/>
            <w:vAlign w:val="center"/>
            <w:hideMark/>
          </w:tcPr>
          <w:p w:rsidR="007D1D6F" w:rsidRPr="004B0B5B" w:rsidRDefault="007D1D6F" w:rsidP="003E1530">
            <w:pPr>
              <w:spacing w:line="240" w:lineRule="auto"/>
              <w:jc w:val="center"/>
              <w:rPr>
                <w:sz w:val="20"/>
                <w:szCs w:val="20"/>
                <w:lang w:eastAsia="pl-PL"/>
              </w:rPr>
            </w:pPr>
          </w:p>
        </w:tc>
        <w:tc>
          <w:tcPr>
            <w:tcW w:w="130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c>
          <w:tcPr>
            <w:tcW w:w="118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c>
          <w:tcPr>
            <w:tcW w:w="144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r>
      <w:tr w:rsidR="007D1D6F" w:rsidRPr="004B0B5B" w:rsidTr="003E1530">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4</w:t>
            </w:r>
          </w:p>
        </w:tc>
        <w:tc>
          <w:tcPr>
            <w:tcW w:w="4720" w:type="dxa"/>
            <w:tcBorders>
              <w:top w:val="single" w:sz="8" w:space="0" w:color="auto"/>
              <w:left w:val="nil"/>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 xml:space="preserve">dotacje i subwencje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589 134</w:t>
            </w:r>
          </w:p>
        </w:tc>
        <w:tc>
          <w:tcPr>
            <w:tcW w:w="1180" w:type="dxa"/>
            <w:tcBorders>
              <w:top w:val="single" w:sz="8" w:space="0" w:color="auto"/>
              <w:left w:val="nil"/>
              <w:bottom w:val="single" w:sz="4" w:space="0" w:color="auto"/>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637 436</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48 302</w:t>
            </w:r>
          </w:p>
        </w:tc>
      </w:tr>
      <w:tr w:rsidR="007D1D6F" w:rsidRPr="004B0B5B" w:rsidTr="003E1530">
        <w:trPr>
          <w:trHeight w:val="216"/>
        </w:trPr>
        <w:tc>
          <w:tcPr>
            <w:tcW w:w="500" w:type="dxa"/>
            <w:tcBorders>
              <w:top w:val="nil"/>
              <w:left w:val="single" w:sz="8" w:space="0" w:color="auto"/>
              <w:bottom w:val="nil"/>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5</w:t>
            </w:r>
          </w:p>
        </w:tc>
        <w:tc>
          <w:tcPr>
            <w:tcW w:w="4720" w:type="dxa"/>
            <w:tcBorders>
              <w:top w:val="nil"/>
              <w:left w:val="nil"/>
              <w:bottom w:val="nil"/>
              <w:right w:val="single" w:sz="4" w:space="0" w:color="auto"/>
            </w:tcBorders>
            <w:shd w:val="clear" w:color="auto" w:fill="auto"/>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wydatki z dotacji i subwencji</w:t>
            </w:r>
          </w:p>
        </w:tc>
        <w:tc>
          <w:tcPr>
            <w:tcW w:w="1300" w:type="dxa"/>
            <w:tcBorders>
              <w:top w:val="nil"/>
              <w:left w:val="nil"/>
              <w:bottom w:val="nil"/>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589 134</w:t>
            </w:r>
          </w:p>
        </w:tc>
        <w:tc>
          <w:tcPr>
            <w:tcW w:w="118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637 436</w:t>
            </w:r>
          </w:p>
        </w:tc>
        <w:tc>
          <w:tcPr>
            <w:tcW w:w="1440" w:type="dxa"/>
            <w:tcBorders>
              <w:top w:val="nil"/>
              <w:left w:val="single" w:sz="4" w:space="0" w:color="auto"/>
              <w:bottom w:val="nil"/>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48 302</w:t>
            </w:r>
          </w:p>
        </w:tc>
      </w:tr>
      <w:tr w:rsidR="007D1D6F" w:rsidRPr="004B0B5B" w:rsidTr="003E1530">
        <w:trPr>
          <w:trHeight w:val="239"/>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6</w:t>
            </w:r>
          </w:p>
        </w:tc>
        <w:tc>
          <w:tcPr>
            <w:tcW w:w="4720" w:type="dxa"/>
            <w:tcBorders>
              <w:top w:val="single" w:sz="8" w:space="0" w:color="auto"/>
              <w:left w:val="nil"/>
              <w:bottom w:val="single" w:sz="8" w:space="0" w:color="auto"/>
              <w:right w:val="single" w:sz="4" w:space="0" w:color="auto"/>
            </w:tcBorders>
            <w:shd w:val="clear" w:color="auto" w:fill="auto"/>
            <w:vAlign w:val="center"/>
            <w:hideMark/>
          </w:tcPr>
          <w:p w:rsidR="007D1D6F" w:rsidRPr="004B0B5B" w:rsidRDefault="007D1D6F" w:rsidP="003E1530">
            <w:pPr>
              <w:spacing w:line="240" w:lineRule="auto"/>
              <w:rPr>
                <w:b/>
                <w:bCs/>
                <w:color w:val="000000"/>
                <w:sz w:val="20"/>
                <w:szCs w:val="20"/>
                <w:lang w:eastAsia="pl-PL"/>
              </w:rPr>
            </w:pPr>
            <w:r w:rsidRPr="004B0B5B">
              <w:rPr>
                <w:b/>
                <w:bCs/>
                <w:color w:val="000000"/>
                <w:sz w:val="20"/>
                <w:szCs w:val="20"/>
                <w:lang w:eastAsia="pl-PL"/>
              </w:rPr>
              <w:t>wynik (4-5)</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0</w:t>
            </w:r>
          </w:p>
        </w:tc>
        <w:tc>
          <w:tcPr>
            <w:tcW w:w="1180" w:type="dxa"/>
            <w:tcBorders>
              <w:top w:val="single" w:sz="8" w:space="0" w:color="auto"/>
              <w:left w:val="nil"/>
              <w:bottom w:val="single" w:sz="8" w:space="0" w:color="auto"/>
              <w:right w:val="nil"/>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0</w:t>
            </w:r>
          </w:p>
        </w:tc>
        <w:tc>
          <w:tcPr>
            <w:tcW w:w="14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0</w:t>
            </w:r>
          </w:p>
        </w:tc>
      </w:tr>
      <w:tr w:rsidR="007D1D6F" w:rsidRPr="004B0B5B" w:rsidTr="003E1530">
        <w:trPr>
          <w:trHeight w:val="78"/>
        </w:trPr>
        <w:tc>
          <w:tcPr>
            <w:tcW w:w="50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p>
        </w:tc>
        <w:tc>
          <w:tcPr>
            <w:tcW w:w="472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center"/>
              <w:rPr>
                <w:sz w:val="20"/>
                <w:szCs w:val="20"/>
                <w:lang w:eastAsia="pl-PL"/>
              </w:rPr>
            </w:pPr>
          </w:p>
        </w:tc>
        <w:tc>
          <w:tcPr>
            <w:tcW w:w="130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c>
          <w:tcPr>
            <w:tcW w:w="118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c>
          <w:tcPr>
            <w:tcW w:w="144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r>
      <w:tr w:rsidR="007D1D6F" w:rsidRPr="004B0B5B" w:rsidTr="003E1530">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7</w:t>
            </w:r>
          </w:p>
        </w:tc>
        <w:tc>
          <w:tcPr>
            <w:tcW w:w="4720" w:type="dxa"/>
            <w:tcBorders>
              <w:top w:val="single" w:sz="8" w:space="0" w:color="auto"/>
              <w:left w:val="nil"/>
              <w:bottom w:val="single" w:sz="4" w:space="0" w:color="auto"/>
              <w:right w:val="single" w:sz="4" w:space="0" w:color="auto"/>
            </w:tcBorders>
            <w:shd w:val="clear" w:color="auto" w:fill="auto"/>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dochody majątkowe</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156 191</w:t>
            </w:r>
          </w:p>
        </w:tc>
        <w:tc>
          <w:tcPr>
            <w:tcW w:w="1180" w:type="dxa"/>
            <w:tcBorders>
              <w:top w:val="single" w:sz="8" w:space="0" w:color="auto"/>
              <w:left w:val="nil"/>
              <w:bottom w:val="single" w:sz="4" w:space="0" w:color="auto"/>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182 110</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25 919</w:t>
            </w:r>
          </w:p>
        </w:tc>
      </w:tr>
      <w:tr w:rsidR="007D1D6F" w:rsidRPr="004B0B5B" w:rsidTr="003E1530">
        <w:trPr>
          <w:trHeight w:val="315"/>
        </w:trPr>
        <w:tc>
          <w:tcPr>
            <w:tcW w:w="500" w:type="dxa"/>
            <w:tcBorders>
              <w:top w:val="nil"/>
              <w:left w:val="single" w:sz="8" w:space="0" w:color="auto"/>
              <w:bottom w:val="nil"/>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8</w:t>
            </w:r>
          </w:p>
        </w:tc>
        <w:tc>
          <w:tcPr>
            <w:tcW w:w="4720" w:type="dxa"/>
            <w:tcBorders>
              <w:top w:val="nil"/>
              <w:left w:val="nil"/>
              <w:bottom w:val="nil"/>
              <w:right w:val="single" w:sz="4" w:space="0" w:color="auto"/>
            </w:tcBorders>
            <w:shd w:val="clear" w:color="auto" w:fill="auto"/>
            <w:noWrap/>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wydatki inwestycyjne (majątkowe)</w:t>
            </w:r>
          </w:p>
        </w:tc>
        <w:tc>
          <w:tcPr>
            <w:tcW w:w="1300" w:type="dxa"/>
            <w:tcBorders>
              <w:top w:val="nil"/>
              <w:left w:val="nil"/>
              <w:bottom w:val="nil"/>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323 100</w:t>
            </w:r>
          </w:p>
        </w:tc>
        <w:tc>
          <w:tcPr>
            <w:tcW w:w="118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290 220</w:t>
            </w:r>
          </w:p>
        </w:tc>
        <w:tc>
          <w:tcPr>
            <w:tcW w:w="1440" w:type="dxa"/>
            <w:tcBorders>
              <w:top w:val="nil"/>
              <w:left w:val="single" w:sz="4" w:space="0" w:color="auto"/>
              <w:bottom w:val="nil"/>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-32 880</w:t>
            </w:r>
          </w:p>
        </w:tc>
      </w:tr>
      <w:tr w:rsidR="007D1D6F" w:rsidRPr="004B0B5B" w:rsidTr="003E1530">
        <w:trPr>
          <w:trHeight w:val="218"/>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9</w:t>
            </w:r>
          </w:p>
        </w:tc>
        <w:tc>
          <w:tcPr>
            <w:tcW w:w="4720" w:type="dxa"/>
            <w:tcBorders>
              <w:top w:val="single" w:sz="8" w:space="0" w:color="auto"/>
              <w:left w:val="nil"/>
              <w:bottom w:val="single" w:sz="8" w:space="0" w:color="auto"/>
              <w:right w:val="single" w:sz="4" w:space="0" w:color="auto"/>
            </w:tcBorders>
            <w:shd w:val="clear" w:color="auto" w:fill="auto"/>
            <w:vAlign w:val="center"/>
            <w:hideMark/>
          </w:tcPr>
          <w:p w:rsidR="007D1D6F" w:rsidRPr="004B0B5B" w:rsidRDefault="007D1D6F" w:rsidP="003E1530">
            <w:pPr>
              <w:spacing w:line="240" w:lineRule="auto"/>
              <w:rPr>
                <w:b/>
                <w:bCs/>
                <w:color w:val="000000"/>
                <w:sz w:val="20"/>
                <w:szCs w:val="20"/>
                <w:lang w:eastAsia="pl-PL"/>
              </w:rPr>
            </w:pPr>
            <w:r w:rsidRPr="004B0B5B">
              <w:rPr>
                <w:b/>
                <w:bCs/>
                <w:color w:val="000000"/>
                <w:sz w:val="20"/>
                <w:szCs w:val="20"/>
                <w:lang w:eastAsia="pl-PL"/>
              </w:rPr>
              <w:t>wynik (7-8)</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-166 909</w:t>
            </w:r>
          </w:p>
        </w:tc>
        <w:tc>
          <w:tcPr>
            <w:tcW w:w="1180" w:type="dxa"/>
            <w:tcBorders>
              <w:top w:val="single" w:sz="8" w:space="0" w:color="auto"/>
              <w:left w:val="nil"/>
              <w:bottom w:val="single" w:sz="8" w:space="0" w:color="auto"/>
              <w:right w:val="nil"/>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-108 110</w:t>
            </w:r>
          </w:p>
        </w:tc>
        <w:tc>
          <w:tcPr>
            <w:tcW w:w="1440" w:type="dxa"/>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58 799</w:t>
            </w:r>
          </w:p>
        </w:tc>
      </w:tr>
      <w:tr w:rsidR="007D1D6F" w:rsidRPr="004B0B5B" w:rsidTr="003E1530">
        <w:trPr>
          <w:trHeight w:val="124"/>
        </w:trPr>
        <w:tc>
          <w:tcPr>
            <w:tcW w:w="50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p>
        </w:tc>
        <w:tc>
          <w:tcPr>
            <w:tcW w:w="472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center"/>
              <w:rPr>
                <w:sz w:val="20"/>
                <w:szCs w:val="20"/>
                <w:lang w:eastAsia="pl-PL"/>
              </w:rPr>
            </w:pPr>
          </w:p>
        </w:tc>
        <w:tc>
          <w:tcPr>
            <w:tcW w:w="130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c>
          <w:tcPr>
            <w:tcW w:w="118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c>
          <w:tcPr>
            <w:tcW w:w="144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rPr>
                <w:sz w:val="20"/>
                <w:szCs w:val="20"/>
                <w:lang w:eastAsia="pl-PL"/>
              </w:rPr>
            </w:pPr>
          </w:p>
        </w:tc>
      </w:tr>
      <w:tr w:rsidR="007D1D6F" w:rsidRPr="004B0B5B" w:rsidTr="003E1530">
        <w:trPr>
          <w:trHeight w:val="198"/>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10</w:t>
            </w:r>
          </w:p>
        </w:tc>
        <w:tc>
          <w:tcPr>
            <w:tcW w:w="4720" w:type="dxa"/>
            <w:tcBorders>
              <w:top w:val="single" w:sz="8" w:space="0" w:color="auto"/>
              <w:left w:val="nil"/>
              <w:bottom w:val="single" w:sz="4" w:space="0" w:color="auto"/>
              <w:right w:val="single" w:sz="4" w:space="0" w:color="auto"/>
            </w:tcBorders>
            <w:shd w:val="clear" w:color="auto" w:fill="auto"/>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razem dochody (1+4+7)</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1 399 600</w:t>
            </w:r>
          </w:p>
        </w:tc>
        <w:tc>
          <w:tcPr>
            <w:tcW w:w="1180" w:type="dxa"/>
            <w:tcBorders>
              <w:top w:val="single" w:sz="8" w:space="0" w:color="auto"/>
              <w:left w:val="nil"/>
              <w:bottom w:val="single" w:sz="4" w:space="0" w:color="auto"/>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1 439 024</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39 424</w:t>
            </w:r>
          </w:p>
        </w:tc>
      </w:tr>
      <w:tr w:rsidR="007D1D6F" w:rsidRPr="004B0B5B" w:rsidTr="003E1530">
        <w:trPr>
          <w:trHeight w:val="315"/>
        </w:trPr>
        <w:tc>
          <w:tcPr>
            <w:tcW w:w="500" w:type="dxa"/>
            <w:tcBorders>
              <w:top w:val="nil"/>
              <w:left w:val="single" w:sz="8" w:space="0" w:color="auto"/>
              <w:bottom w:val="nil"/>
              <w:right w:val="single" w:sz="4" w:space="0" w:color="auto"/>
            </w:tcBorders>
            <w:shd w:val="clear" w:color="auto" w:fill="auto"/>
            <w:noWrap/>
            <w:vAlign w:val="center"/>
            <w:hideMark/>
          </w:tcPr>
          <w:p w:rsidR="007D1D6F" w:rsidRPr="004B0B5B" w:rsidRDefault="007D1D6F" w:rsidP="003E1530">
            <w:pPr>
              <w:spacing w:line="240" w:lineRule="auto"/>
              <w:jc w:val="center"/>
              <w:rPr>
                <w:color w:val="000000"/>
                <w:sz w:val="20"/>
                <w:szCs w:val="20"/>
                <w:lang w:eastAsia="pl-PL"/>
              </w:rPr>
            </w:pPr>
            <w:r w:rsidRPr="004B0B5B">
              <w:rPr>
                <w:color w:val="000000"/>
                <w:sz w:val="20"/>
                <w:szCs w:val="20"/>
                <w:lang w:eastAsia="pl-PL"/>
              </w:rPr>
              <w:t>11</w:t>
            </w:r>
          </w:p>
        </w:tc>
        <w:tc>
          <w:tcPr>
            <w:tcW w:w="4720" w:type="dxa"/>
            <w:tcBorders>
              <w:top w:val="nil"/>
              <w:left w:val="nil"/>
              <w:bottom w:val="nil"/>
              <w:right w:val="single" w:sz="4" w:space="0" w:color="auto"/>
            </w:tcBorders>
            <w:shd w:val="clear" w:color="auto" w:fill="auto"/>
            <w:noWrap/>
            <w:vAlign w:val="center"/>
            <w:hideMark/>
          </w:tcPr>
          <w:p w:rsidR="007D1D6F" w:rsidRPr="004B0B5B" w:rsidRDefault="007D1D6F" w:rsidP="003E1530">
            <w:pPr>
              <w:spacing w:line="240" w:lineRule="auto"/>
              <w:rPr>
                <w:color w:val="000000"/>
                <w:sz w:val="20"/>
                <w:szCs w:val="20"/>
                <w:lang w:eastAsia="pl-PL"/>
              </w:rPr>
            </w:pPr>
            <w:r w:rsidRPr="004B0B5B">
              <w:rPr>
                <w:color w:val="000000"/>
                <w:sz w:val="20"/>
                <w:szCs w:val="20"/>
                <w:lang w:eastAsia="pl-PL"/>
              </w:rPr>
              <w:t>razem wydatki (2+5+8)</w:t>
            </w:r>
          </w:p>
        </w:tc>
        <w:tc>
          <w:tcPr>
            <w:tcW w:w="1300" w:type="dxa"/>
            <w:tcBorders>
              <w:top w:val="nil"/>
              <w:left w:val="nil"/>
              <w:bottom w:val="nil"/>
              <w:right w:val="single" w:sz="4"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1 505 600</w:t>
            </w:r>
          </w:p>
        </w:tc>
        <w:tc>
          <w:tcPr>
            <w:tcW w:w="1180" w:type="dxa"/>
            <w:tcBorders>
              <w:top w:val="nil"/>
              <w:left w:val="nil"/>
              <w:bottom w:val="nil"/>
              <w:right w:val="nil"/>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1 443 073</w:t>
            </w:r>
          </w:p>
        </w:tc>
        <w:tc>
          <w:tcPr>
            <w:tcW w:w="1440" w:type="dxa"/>
            <w:tcBorders>
              <w:top w:val="nil"/>
              <w:left w:val="single" w:sz="4" w:space="0" w:color="auto"/>
              <w:bottom w:val="nil"/>
              <w:right w:val="single" w:sz="8" w:space="0" w:color="auto"/>
            </w:tcBorders>
            <w:shd w:val="clear" w:color="auto" w:fill="auto"/>
            <w:noWrap/>
            <w:vAlign w:val="center"/>
            <w:hideMark/>
          </w:tcPr>
          <w:p w:rsidR="007D1D6F" w:rsidRPr="004B0B5B" w:rsidRDefault="007D1D6F" w:rsidP="003E1530">
            <w:pPr>
              <w:spacing w:line="240" w:lineRule="auto"/>
              <w:jc w:val="right"/>
              <w:rPr>
                <w:color w:val="000000"/>
                <w:sz w:val="20"/>
                <w:szCs w:val="20"/>
                <w:lang w:eastAsia="pl-PL"/>
              </w:rPr>
            </w:pPr>
            <w:r w:rsidRPr="004B0B5B">
              <w:rPr>
                <w:color w:val="000000"/>
                <w:sz w:val="20"/>
                <w:szCs w:val="20"/>
                <w:lang w:eastAsia="pl-PL"/>
              </w:rPr>
              <w:t>-62 527</w:t>
            </w:r>
          </w:p>
        </w:tc>
      </w:tr>
      <w:tr w:rsidR="007D1D6F" w:rsidRPr="004B0B5B" w:rsidTr="003E1530">
        <w:trPr>
          <w:trHeight w:val="264"/>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center"/>
              <w:rPr>
                <w:b/>
                <w:bCs/>
                <w:color w:val="000000"/>
                <w:sz w:val="20"/>
                <w:szCs w:val="20"/>
                <w:lang w:eastAsia="pl-PL"/>
              </w:rPr>
            </w:pPr>
            <w:r w:rsidRPr="004B0B5B">
              <w:rPr>
                <w:b/>
                <w:bCs/>
                <w:color w:val="000000"/>
                <w:sz w:val="20"/>
                <w:szCs w:val="20"/>
                <w:lang w:eastAsia="pl-PL"/>
              </w:rPr>
              <w:t>12</w:t>
            </w:r>
          </w:p>
        </w:tc>
        <w:tc>
          <w:tcPr>
            <w:tcW w:w="4720" w:type="dxa"/>
            <w:tcBorders>
              <w:top w:val="single" w:sz="8" w:space="0" w:color="auto"/>
              <w:left w:val="nil"/>
              <w:bottom w:val="single" w:sz="8" w:space="0" w:color="auto"/>
              <w:right w:val="single" w:sz="4" w:space="0" w:color="auto"/>
            </w:tcBorders>
            <w:shd w:val="clear" w:color="auto" w:fill="auto"/>
            <w:vAlign w:val="center"/>
            <w:hideMark/>
          </w:tcPr>
          <w:p w:rsidR="007D1D6F" w:rsidRPr="004B0B5B" w:rsidRDefault="007D1D6F" w:rsidP="003E1530">
            <w:pPr>
              <w:spacing w:line="240" w:lineRule="auto"/>
              <w:rPr>
                <w:b/>
                <w:bCs/>
                <w:color w:val="000000"/>
                <w:sz w:val="20"/>
                <w:szCs w:val="20"/>
                <w:lang w:eastAsia="pl-PL"/>
              </w:rPr>
            </w:pPr>
            <w:r w:rsidRPr="004B0B5B">
              <w:rPr>
                <w:b/>
                <w:bCs/>
                <w:color w:val="000000"/>
                <w:sz w:val="20"/>
                <w:szCs w:val="20"/>
                <w:lang w:eastAsia="pl-PL"/>
              </w:rPr>
              <w:t xml:space="preserve"> wynik = deficyt (10-11)</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-106 000</w:t>
            </w:r>
          </w:p>
        </w:tc>
        <w:tc>
          <w:tcPr>
            <w:tcW w:w="1180" w:type="dxa"/>
            <w:tcBorders>
              <w:top w:val="single" w:sz="8" w:space="0" w:color="auto"/>
              <w:left w:val="nil"/>
              <w:bottom w:val="single" w:sz="8" w:space="0" w:color="auto"/>
              <w:right w:val="nil"/>
            </w:tcBorders>
            <w:shd w:val="clear" w:color="auto" w:fill="auto"/>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-4 049</w:t>
            </w:r>
          </w:p>
        </w:tc>
        <w:tc>
          <w:tcPr>
            <w:tcW w:w="1440" w:type="dxa"/>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7D1D6F" w:rsidRPr="004B0B5B" w:rsidRDefault="007D1D6F" w:rsidP="003E1530">
            <w:pPr>
              <w:spacing w:line="240" w:lineRule="auto"/>
              <w:jc w:val="right"/>
              <w:rPr>
                <w:b/>
                <w:bCs/>
                <w:color w:val="000000"/>
                <w:sz w:val="20"/>
                <w:szCs w:val="20"/>
                <w:lang w:eastAsia="pl-PL"/>
              </w:rPr>
            </w:pPr>
            <w:r w:rsidRPr="004B0B5B">
              <w:rPr>
                <w:b/>
                <w:bCs/>
                <w:color w:val="000000"/>
                <w:sz w:val="20"/>
                <w:szCs w:val="20"/>
                <w:lang w:eastAsia="pl-PL"/>
              </w:rPr>
              <w:t>101 951</w:t>
            </w:r>
          </w:p>
        </w:tc>
      </w:tr>
    </w:tbl>
    <w:p w:rsidR="007D1D6F" w:rsidRDefault="007D1D6F" w:rsidP="007D1D6F">
      <w:pPr>
        <w:spacing w:line="240" w:lineRule="auto"/>
      </w:pPr>
    </w:p>
    <w:p w:rsidR="007D1D6F" w:rsidRDefault="007D1D6F" w:rsidP="007D1D6F">
      <w:pPr>
        <w:spacing w:line="240" w:lineRule="auto"/>
        <w:ind w:firstLine="709"/>
        <w:jc w:val="both"/>
      </w:pPr>
      <w:r>
        <w:t>Dobrą sytuację finansów miasta po roku 2020, pomimo bardzo trudnego otoczenia gospodarczego,</w:t>
      </w:r>
      <w:r w:rsidRPr="003E4D71">
        <w:t>potwierdzają coroczne badania renomowanej agencji ratingowej</w:t>
      </w:r>
      <w:r>
        <w:t xml:space="preserve"> Fitch Ratings SA, która w lutym 2021</w:t>
      </w:r>
      <w:r w:rsidRPr="003E4D71">
        <w:t xml:space="preserve"> roku po raz kolejny </w:t>
      </w:r>
      <w:r>
        <w:t xml:space="preserve">nadała Toruniowi </w:t>
      </w:r>
      <w:r w:rsidRPr="003E4D71">
        <w:t>międzynarodowy rating na poziomie BBB ze stabilną perspektywą.</w:t>
      </w:r>
    </w:p>
    <w:p w:rsidR="00AE6BCB" w:rsidRPr="00BC37AC" w:rsidRDefault="00AE6BCB" w:rsidP="00BC37AC">
      <w:pPr>
        <w:pStyle w:val="Nagwek1"/>
        <w:numPr>
          <w:ilvl w:val="0"/>
          <w:numId w:val="0"/>
        </w:numPr>
        <w:spacing w:line="240" w:lineRule="auto"/>
        <w:ind w:left="432" w:hanging="432"/>
        <w:rPr>
          <w:color w:val="0070C0"/>
          <w:lang w:val="pl-PL"/>
        </w:rPr>
      </w:pPr>
      <w:r w:rsidRPr="00BC37AC">
        <w:rPr>
          <w:color w:val="0070C0"/>
          <w:lang w:val="pl-PL"/>
        </w:rPr>
        <w:lastRenderedPageBreak/>
        <w:t xml:space="preserve">V. </w:t>
      </w:r>
      <w:r w:rsidR="00703980" w:rsidRPr="00BC37AC">
        <w:rPr>
          <w:color w:val="0070C0"/>
          <w:lang w:val="pl-PL"/>
        </w:rPr>
        <w:t>PARTYCYPACJA SPOŁECZNA I BUDŻET OBYWATELSKI</w:t>
      </w:r>
    </w:p>
    <w:p w:rsidR="00AE6BCB" w:rsidRDefault="00AE6BCB" w:rsidP="009C7C02">
      <w:pPr>
        <w:spacing w:line="240" w:lineRule="auto"/>
        <w:jc w:val="both"/>
        <w:rPr>
          <w:b/>
          <w:i/>
          <w:color w:val="FF0000"/>
          <w:lang w:val="pl-PL"/>
        </w:rPr>
      </w:pPr>
    </w:p>
    <w:p w:rsidR="00AE6BCB" w:rsidRPr="00703980" w:rsidRDefault="00AE6BCB" w:rsidP="009C7C02">
      <w:pPr>
        <w:pStyle w:val="Nagwek2"/>
        <w:spacing w:before="0" w:after="0" w:line="240" w:lineRule="auto"/>
        <w:rPr>
          <w:rFonts w:ascii="Times New Roman" w:hAnsi="Times New Roman" w:cs="Times New Roman"/>
          <w:sz w:val="24"/>
          <w:szCs w:val="24"/>
          <w:lang w:val="pl-PL"/>
        </w:rPr>
      </w:pPr>
      <w:bookmarkStart w:id="22" w:name="__RefHeading__31924_2082197896"/>
      <w:bookmarkStart w:id="23" w:name="_Toc69477677"/>
      <w:bookmarkStart w:id="24" w:name="_Toc69372225"/>
      <w:bookmarkEnd w:id="22"/>
      <w:r w:rsidRPr="00703980">
        <w:rPr>
          <w:rFonts w:ascii="Times New Roman" w:hAnsi="Times New Roman" w:cs="Times New Roman"/>
          <w:color w:val="0070C0"/>
          <w:sz w:val="24"/>
          <w:lang w:val="pl-PL"/>
        </w:rPr>
        <w:t>Konsultacje społeczne</w:t>
      </w:r>
      <w:bookmarkEnd w:id="23"/>
      <w:bookmarkEnd w:id="24"/>
    </w:p>
    <w:p w:rsidR="00AE6BCB" w:rsidRDefault="00AE6BCB" w:rsidP="009C7C02">
      <w:pPr>
        <w:spacing w:line="240" w:lineRule="auto"/>
        <w:ind w:firstLine="709"/>
        <w:jc w:val="both"/>
        <w:rPr>
          <w:lang w:val="pl-PL"/>
        </w:rPr>
      </w:pPr>
      <w:r>
        <w:rPr>
          <w:lang w:val="pl-PL"/>
        </w:rPr>
        <w:t xml:space="preserve"> „</w:t>
      </w:r>
      <w:r>
        <w:rPr>
          <w:b/>
          <w:lang w:val="pl-PL"/>
        </w:rPr>
        <w:t>Plan konsultacji społecznych</w:t>
      </w:r>
      <w:r>
        <w:rPr>
          <w:lang w:val="pl-PL"/>
        </w:rPr>
        <w:t xml:space="preserve"> </w:t>
      </w:r>
      <w:r>
        <w:rPr>
          <w:b/>
          <w:lang w:val="pl-PL"/>
        </w:rPr>
        <w:t>na 2020 r.</w:t>
      </w:r>
      <w:r>
        <w:rPr>
          <w:lang w:val="pl-PL"/>
        </w:rPr>
        <w:t>” zo</w:t>
      </w:r>
      <w:r w:rsidR="00584C30">
        <w:rPr>
          <w:lang w:val="pl-PL"/>
        </w:rPr>
        <w:t>stał zatwierdzony uchwałą 326/</w:t>
      </w:r>
      <w:r>
        <w:rPr>
          <w:lang w:val="pl-PL"/>
        </w:rPr>
        <w:t xml:space="preserve">20 </w:t>
      </w:r>
      <w:r w:rsidR="00703980">
        <w:rPr>
          <w:lang w:val="pl-PL"/>
        </w:rPr>
        <w:br/>
      </w:r>
      <w:r>
        <w:rPr>
          <w:lang w:val="pl-PL"/>
        </w:rPr>
        <w:t>z dnia 16 stycznia 2020 r. i zmieniony uchwałą nr 533/20 Rady Miasta Torunia z d</w:t>
      </w:r>
      <w:r w:rsidR="00584C30">
        <w:rPr>
          <w:lang w:val="pl-PL"/>
        </w:rPr>
        <w:t xml:space="preserve">nia </w:t>
      </w:r>
      <w:r w:rsidR="00703980">
        <w:rPr>
          <w:lang w:val="pl-PL"/>
        </w:rPr>
        <w:br/>
      </w:r>
      <w:r w:rsidR="00584C30">
        <w:rPr>
          <w:lang w:val="pl-PL"/>
        </w:rPr>
        <w:t xml:space="preserve">17 grudnia 2020 r. W </w:t>
      </w:r>
      <w:r w:rsidR="009B0577">
        <w:rPr>
          <w:lang w:val="pl-PL"/>
        </w:rPr>
        <w:t xml:space="preserve">roku </w:t>
      </w:r>
      <w:r w:rsidR="00584C30">
        <w:rPr>
          <w:lang w:val="pl-PL"/>
        </w:rPr>
        <w:t xml:space="preserve">sprawozdawanym </w:t>
      </w:r>
      <w:r w:rsidR="009B0577">
        <w:rPr>
          <w:lang w:val="pl-PL"/>
        </w:rPr>
        <w:t>Urząd</w:t>
      </w:r>
      <w:r>
        <w:rPr>
          <w:lang w:val="pl-PL"/>
        </w:rPr>
        <w:t xml:space="preserve"> Miasta Torunia przeprowadził łącznie </w:t>
      </w:r>
      <w:r w:rsidR="009B0577">
        <w:rPr>
          <w:lang w:val="pl-PL"/>
        </w:rPr>
        <w:br/>
      </w:r>
      <w:r>
        <w:rPr>
          <w:lang w:val="pl-PL"/>
        </w:rPr>
        <w:t xml:space="preserve">17 procesów konsultacyjnych, w tym procedurę budżetu obywatelskiego na 2021 r. Ich tematyka obejmowała: zagospodarowanie przestrzeni (5 tematów), problematykę społeczną </w:t>
      </w:r>
      <w:r w:rsidR="009B0577">
        <w:rPr>
          <w:lang w:val="pl-PL"/>
        </w:rPr>
        <w:br/>
      </w:r>
      <w:r>
        <w:rPr>
          <w:lang w:val="pl-PL"/>
        </w:rPr>
        <w:t>(4 tematy), ruch pieszy i drogowy (2 tematy), politykę zdrowotną (2 tematy), ochronę środowiska (2 tematy), współpracę Gminy z organizacjami pozarządowymi (1 temat).</w:t>
      </w:r>
    </w:p>
    <w:p w:rsidR="00AE6BCB" w:rsidRDefault="00AE6BCB" w:rsidP="009C7C02">
      <w:pPr>
        <w:spacing w:line="240" w:lineRule="auto"/>
        <w:ind w:firstLine="709"/>
        <w:jc w:val="both"/>
        <w:rPr>
          <w:lang w:val="pl-PL"/>
        </w:rPr>
      </w:pPr>
      <w:r>
        <w:rPr>
          <w:lang w:val="pl-PL"/>
        </w:rPr>
        <w:t xml:space="preserve">Spośród przeprowadzonych konsultacji 8 dotyczyło dokumentów programowych </w:t>
      </w:r>
      <w:r w:rsidR="00703980">
        <w:rPr>
          <w:lang w:val="pl-PL"/>
        </w:rPr>
        <w:br/>
      </w:r>
      <w:r>
        <w:rPr>
          <w:lang w:val="pl-PL"/>
        </w:rPr>
        <w:t xml:space="preserve">i projektów aktów prawnych, a 9 kwestii praktycznych, takich jak zagospodarowanie przestrzeni, ruch drogowy, itp. Łącznie w 2020 r. w konsultacjach społecznych wzięło udział </w:t>
      </w:r>
      <w:r w:rsidR="00584C30">
        <w:rPr>
          <w:lang w:val="pl-PL"/>
        </w:rPr>
        <w:t>ok. 10.</w:t>
      </w:r>
      <w:r>
        <w:rPr>
          <w:lang w:val="pl-PL"/>
        </w:rPr>
        <w:t>880 osób, z czego ok. 620 – w konsultacjach dokumentów programowych, strategicznych i pro</w:t>
      </w:r>
      <w:r w:rsidR="00584C30">
        <w:rPr>
          <w:lang w:val="pl-PL"/>
        </w:rPr>
        <w:t>jektów aktów prawnych, a ok. 10.</w:t>
      </w:r>
      <w:r>
        <w:rPr>
          <w:lang w:val="pl-PL"/>
        </w:rPr>
        <w:t>260 – w konsultacjach dotyczących szczegółowych rozwiązań praktycznych, w tym w procedurze budżetu obywatelskiego.</w:t>
      </w:r>
    </w:p>
    <w:p w:rsidR="00AE6BCB" w:rsidRDefault="00AE6BCB" w:rsidP="009C7C02">
      <w:pPr>
        <w:spacing w:line="240" w:lineRule="auto"/>
        <w:ind w:firstLine="709"/>
        <w:jc w:val="both"/>
        <w:rPr>
          <w:i/>
          <w:lang w:val="pl-PL"/>
        </w:rPr>
      </w:pPr>
      <w:r>
        <w:rPr>
          <w:lang w:val="pl-PL"/>
        </w:rPr>
        <w:t>14 maja 2020 r. Rada Miasta Torunia podjęła uchwałę zmieniającą uchwałę w sprawie Regulaminu konsultacj</w:t>
      </w:r>
      <w:r w:rsidR="00584C30">
        <w:rPr>
          <w:lang w:val="pl-PL"/>
        </w:rPr>
        <w:t>i społecznych (uchwała nr 381/</w:t>
      </w:r>
      <w:r>
        <w:rPr>
          <w:lang w:val="pl-PL"/>
        </w:rPr>
        <w:t xml:space="preserve">20). W związku z ograniczeniami wprowadzonymi w ramach przeciwdziałania rozprzestrzenianiu się epidemii wirusa SARS-Cov-2 nie było możliwe prowadzenie konsultacji społecznych w trybie zgodnym </w:t>
      </w:r>
      <w:r w:rsidR="009B376E">
        <w:rPr>
          <w:lang w:val="pl-PL"/>
        </w:rPr>
        <w:br/>
      </w:r>
      <w:r>
        <w:rPr>
          <w:lang w:val="pl-PL"/>
        </w:rPr>
        <w:t xml:space="preserve">z regulaminem obowiązującym w Gminie Miasta Toruń (każdorazowo - organizowanie otwartych spotkań, dyżurów lub warsztatów z udziałem mieszkańców). Zmiana regulaminu polegała na wprowadzeniu możliwości realizacji spotkań otwartych, dyżurów lub warsztatów w trybie on-line, z użyciem środków komunikacji elektronicznej na odległość i pozwoliła organizować te spotkania zdalnie, w trybie „na żywo”, z transmisją obrazu i dźwięku oraz możliwością zadawania pytań w czasie transmisji. </w:t>
      </w:r>
    </w:p>
    <w:p w:rsidR="00AE6BCB" w:rsidRDefault="00AE6BCB" w:rsidP="009B376E">
      <w:pPr>
        <w:spacing w:line="240" w:lineRule="auto"/>
        <w:jc w:val="both"/>
        <w:rPr>
          <w:color w:val="FF0000"/>
          <w:lang w:val="pl-PL"/>
        </w:rPr>
      </w:pPr>
      <w:r>
        <w:rPr>
          <w:i/>
          <w:lang w:val="pl-PL"/>
        </w:rPr>
        <w:t>Szczegółowe sprawozdanie z realizacji „Planu konsultacji społecznych na 2020 r.” zawiera odrębna informacja przedkładana Radzie Miasta Torunia zgodnie z procedurą.</w:t>
      </w:r>
    </w:p>
    <w:p w:rsidR="00AE6BCB" w:rsidRDefault="00AE6BCB" w:rsidP="009C7C02">
      <w:pPr>
        <w:spacing w:line="240" w:lineRule="auto"/>
        <w:ind w:firstLine="708"/>
        <w:jc w:val="both"/>
        <w:rPr>
          <w:color w:val="FF0000"/>
          <w:lang w:val="pl-PL"/>
        </w:rPr>
      </w:pPr>
    </w:p>
    <w:p w:rsidR="00AE6BCB" w:rsidRPr="009B376E" w:rsidRDefault="00AE6BCB" w:rsidP="009C7C02">
      <w:pPr>
        <w:pStyle w:val="Nagwek2"/>
        <w:spacing w:before="0" w:after="0" w:line="240" w:lineRule="auto"/>
        <w:rPr>
          <w:rFonts w:ascii="Times New Roman" w:hAnsi="Times New Roman" w:cs="Times New Roman"/>
          <w:sz w:val="24"/>
          <w:szCs w:val="24"/>
          <w:lang w:val="pl-PL"/>
        </w:rPr>
      </w:pPr>
      <w:bookmarkStart w:id="25" w:name="__RefHeading__31926_2082197896"/>
      <w:bookmarkStart w:id="26" w:name="_Toc69477678"/>
      <w:bookmarkStart w:id="27" w:name="_Toc69372226"/>
      <w:bookmarkEnd w:id="25"/>
      <w:r w:rsidRPr="009B376E">
        <w:rPr>
          <w:rFonts w:ascii="Times New Roman" w:hAnsi="Times New Roman" w:cs="Times New Roman"/>
          <w:color w:val="0070C0"/>
          <w:sz w:val="24"/>
          <w:lang w:val="pl-PL"/>
        </w:rPr>
        <w:t>Budżet obywatelski</w:t>
      </w:r>
      <w:bookmarkEnd w:id="26"/>
      <w:bookmarkEnd w:id="27"/>
      <w:r w:rsidRPr="009B376E">
        <w:rPr>
          <w:rFonts w:ascii="Times New Roman" w:hAnsi="Times New Roman" w:cs="Times New Roman"/>
          <w:color w:val="0070C0"/>
          <w:sz w:val="24"/>
          <w:lang w:val="pl-PL"/>
        </w:rPr>
        <w:t xml:space="preserve"> </w:t>
      </w:r>
    </w:p>
    <w:p w:rsidR="00584C30" w:rsidRDefault="00AE6BCB" w:rsidP="009C7C02">
      <w:pPr>
        <w:spacing w:line="240" w:lineRule="auto"/>
        <w:ind w:firstLine="709"/>
        <w:jc w:val="both"/>
        <w:rPr>
          <w:lang w:val="pl-PL"/>
        </w:rPr>
      </w:pPr>
      <w:r>
        <w:rPr>
          <w:lang w:val="pl-PL"/>
        </w:rPr>
        <w:t xml:space="preserve">Budżet obywatelski jest szczególną formą konsultacji społecznych, w których miasto zachęca mieszkańców do składania własnych propozycji działań i zobowiązuje się wykonać zadania wybrane przez mieszkańców w głosowaniu. W 2020 r. procedura odbyła się po raz ósmy – wybrano w niej zadania do realizacji w 2021 r. Torunianie decydowali o sposobie wydania 7,58 mln zł. Złożono 156 projektów, z czego 104 zostało poddanych pod głosowanie. Głosujący wybrali do realizacji 53 zadania, które zostały wpisane do budżetu miasta na 2021 r. </w:t>
      </w:r>
    </w:p>
    <w:p w:rsidR="00AE6BCB" w:rsidRDefault="00AE6BCB" w:rsidP="009C7C02">
      <w:pPr>
        <w:spacing w:line="240" w:lineRule="auto"/>
        <w:ind w:firstLine="709"/>
        <w:jc w:val="both"/>
        <w:rPr>
          <w:lang w:val="pl-PL"/>
        </w:rPr>
      </w:pPr>
      <w:r>
        <w:rPr>
          <w:lang w:val="pl-PL"/>
        </w:rPr>
        <w:t xml:space="preserve">W 2020 r. pierwotnie realizacji podlegały 73 projekty wybrane przez mieszkańców </w:t>
      </w:r>
      <w:r w:rsidR="009B376E">
        <w:rPr>
          <w:lang w:val="pl-PL"/>
        </w:rPr>
        <w:br/>
      </w:r>
      <w:r>
        <w:rPr>
          <w:lang w:val="pl-PL"/>
        </w:rPr>
        <w:t xml:space="preserve">w głosowaniu, dodatkowo w ramach oszczędności realizacyjnych wprowadzono do budżetu </w:t>
      </w:r>
      <w:r w:rsidR="009B376E">
        <w:rPr>
          <w:lang w:val="pl-PL"/>
        </w:rPr>
        <w:br/>
      </w:r>
      <w:r>
        <w:rPr>
          <w:lang w:val="pl-PL"/>
        </w:rPr>
        <w:t xml:space="preserve">6 zadań – łącznie 79 zadań, spośród których: </w:t>
      </w:r>
    </w:p>
    <w:p w:rsidR="00AE6BCB" w:rsidRDefault="00AE6BCB" w:rsidP="00912BD8">
      <w:pPr>
        <w:numPr>
          <w:ilvl w:val="0"/>
          <w:numId w:val="29"/>
        </w:numPr>
        <w:spacing w:line="240" w:lineRule="auto"/>
        <w:jc w:val="both"/>
        <w:rPr>
          <w:lang w:val="pl-PL"/>
        </w:rPr>
      </w:pPr>
      <w:r w:rsidRPr="00776A5D">
        <w:rPr>
          <w:lang w:val="pl-PL"/>
        </w:rPr>
        <w:t xml:space="preserve">70 wykonano w roku budżetowym 2020; </w:t>
      </w:r>
    </w:p>
    <w:p w:rsidR="00AE6BCB" w:rsidRDefault="00AE6BCB" w:rsidP="00912BD8">
      <w:pPr>
        <w:numPr>
          <w:ilvl w:val="0"/>
          <w:numId w:val="29"/>
        </w:numPr>
        <w:spacing w:line="240" w:lineRule="auto"/>
        <w:jc w:val="both"/>
        <w:rPr>
          <w:lang w:val="pl-PL"/>
        </w:rPr>
      </w:pPr>
      <w:r w:rsidRPr="00776A5D">
        <w:rPr>
          <w:lang w:val="pl-PL"/>
        </w:rPr>
        <w:t xml:space="preserve">5 ujęto w wykazie wydatków niewygasających z terminem realizacji do 30.06.2021 r.; </w:t>
      </w:r>
    </w:p>
    <w:p w:rsidR="00AE6BCB" w:rsidRDefault="00AE6BCB" w:rsidP="00912BD8">
      <w:pPr>
        <w:numPr>
          <w:ilvl w:val="0"/>
          <w:numId w:val="29"/>
        </w:numPr>
        <w:spacing w:line="240" w:lineRule="auto"/>
        <w:jc w:val="both"/>
        <w:rPr>
          <w:lang w:val="pl-PL"/>
        </w:rPr>
      </w:pPr>
      <w:r w:rsidRPr="00776A5D">
        <w:rPr>
          <w:lang w:val="pl-PL"/>
        </w:rPr>
        <w:t>1 zadanie zostało zapisane w budżecie miasta na 2021 r.;</w:t>
      </w:r>
    </w:p>
    <w:p w:rsidR="00AE6BCB" w:rsidRPr="00776A5D" w:rsidRDefault="00AE6BCB" w:rsidP="00912BD8">
      <w:pPr>
        <w:numPr>
          <w:ilvl w:val="0"/>
          <w:numId w:val="29"/>
        </w:numPr>
        <w:spacing w:line="240" w:lineRule="auto"/>
        <w:jc w:val="both"/>
        <w:rPr>
          <w:lang w:val="pl-PL"/>
        </w:rPr>
      </w:pPr>
      <w:r w:rsidRPr="00776A5D">
        <w:rPr>
          <w:lang w:val="pl-PL"/>
        </w:rPr>
        <w:t>ze względu na ograniczenia wynikające z trwającej pandemii nie było możliwe wykonanie 3 zadań.</w:t>
      </w:r>
    </w:p>
    <w:p w:rsidR="00AE6BCB" w:rsidRDefault="00AE6BCB" w:rsidP="009C7C02">
      <w:pPr>
        <w:pStyle w:val="ListParagraph"/>
        <w:spacing w:line="240" w:lineRule="auto"/>
        <w:ind w:left="357"/>
        <w:jc w:val="both"/>
        <w:rPr>
          <w:lang w:val="pl-PL"/>
        </w:rPr>
      </w:pPr>
    </w:p>
    <w:p w:rsidR="00EF7F2F" w:rsidRPr="00776A5D" w:rsidRDefault="00EF7F2F" w:rsidP="00EF7F2F">
      <w:pPr>
        <w:pStyle w:val="Nagwek2"/>
        <w:spacing w:before="0" w:after="0" w:line="276" w:lineRule="auto"/>
        <w:rPr>
          <w:rFonts w:ascii="Times New Roman" w:hAnsi="Times New Roman" w:cs="Times New Roman"/>
          <w:color w:val="0070C0"/>
          <w:sz w:val="24"/>
        </w:rPr>
      </w:pPr>
      <w:bookmarkStart w:id="28" w:name="__RefHeading__31928_2082197896"/>
      <w:bookmarkEnd w:id="28"/>
      <w:r w:rsidRPr="00776A5D">
        <w:rPr>
          <w:rFonts w:ascii="Times New Roman" w:hAnsi="Times New Roman" w:cs="Times New Roman"/>
          <w:color w:val="0070C0"/>
          <w:sz w:val="24"/>
        </w:rPr>
        <w:t>Spotkania Prezydenta Miasta Torunia z mieszkańcami</w:t>
      </w:r>
    </w:p>
    <w:p w:rsidR="00EF7F2F" w:rsidRPr="00AD0A97" w:rsidRDefault="00EF7F2F" w:rsidP="00EF7F2F">
      <w:pPr>
        <w:ind w:firstLine="709"/>
        <w:jc w:val="both"/>
      </w:pPr>
      <w:r w:rsidRPr="00F87766">
        <w:t xml:space="preserve">W 2020 r. odbył się osiemnasty cykl spotkań Prezydenta Miasta Torunia </w:t>
      </w:r>
      <w:r w:rsidR="001D04A4">
        <w:br/>
      </w:r>
      <w:r w:rsidRPr="00F87766">
        <w:t>z</w:t>
      </w:r>
      <w:r w:rsidR="001D04A4">
        <w:t xml:space="preserve"> </w:t>
      </w:r>
      <w:r w:rsidRPr="00F87766">
        <w:t xml:space="preserve">mieszkańcami. W ramach spotkań zaplanowano 13 zebrań osiedlowych, po jednym </w:t>
      </w:r>
      <w:r w:rsidR="001D04A4">
        <w:br/>
      </w:r>
      <w:r w:rsidRPr="00F87766">
        <w:lastRenderedPageBreak/>
        <w:t>w</w:t>
      </w:r>
      <w:r w:rsidR="001D04A4">
        <w:t xml:space="preserve"> </w:t>
      </w:r>
      <w:r w:rsidRPr="00F87766">
        <w:t>każdym okręgu – jednostce pomocniczej Gminy. Z uwagi na pandemię COVID–19 cykl spotkań został przerwany w trakcie realizacji – spotkania odbyły się na 8 osiedlach:</w:t>
      </w:r>
      <w:r w:rsidR="009B376E">
        <w:t xml:space="preserve"> </w:t>
      </w:r>
      <w:r w:rsidRPr="00F87766">
        <w:t>Bielawy–</w:t>
      </w:r>
      <w:r>
        <w:t>Grębocin</w:t>
      </w:r>
      <w:r w:rsidR="000A75CE">
        <w:t xml:space="preserve">, </w:t>
      </w:r>
      <w:r w:rsidRPr="00F87766">
        <w:t>Czerniewice,</w:t>
      </w:r>
      <w:r w:rsidR="009B376E">
        <w:t xml:space="preserve"> </w:t>
      </w:r>
      <w:r w:rsidRPr="00F87766">
        <w:t>Jakubskie-Mokre,</w:t>
      </w:r>
      <w:r w:rsidR="009B376E">
        <w:t xml:space="preserve"> </w:t>
      </w:r>
      <w:r w:rsidRPr="00F87766">
        <w:t>Kaszczorek,</w:t>
      </w:r>
      <w:r w:rsidR="009B376E">
        <w:t xml:space="preserve"> </w:t>
      </w:r>
      <w:r w:rsidRPr="00F87766">
        <w:t>Rubinkowo,</w:t>
      </w:r>
      <w:r w:rsidR="009B376E">
        <w:t xml:space="preserve"> </w:t>
      </w:r>
      <w:r w:rsidRPr="00F87766">
        <w:t>Rudak,</w:t>
      </w:r>
      <w:r w:rsidR="009B376E">
        <w:t xml:space="preserve"> </w:t>
      </w:r>
      <w:r w:rsidRPr="00F87766">
        <w:t>Skarpa,</w:t>
      </w:r>
      <w:r w:rsidR="009B376E">
        <w:t xml:space="preserve"> </w:t>
      </w:r>
      <w:r w:rsidRPr="00F87766">
        <w:t>Stawki.</w:t>
      </w:r>
      <w:r w:rsidR="000A75CE">
        <w:t xml:space="preserve"> </w:t>
      </w:r>
      <w:r w:rsidRPr="00F87766">
        <w:t>Ze względu na bezpieczeństwo mieszkańców, pozostałe spotkania odwołano.</w:t>
      </w:r>
      <w:r w:rsidR="001D04A4">
        <w:t xml:space="preserve"> </w:t>
      </w:r>
      <w:r w:rsidRPr="00F87766">
        <w:t xml:space="preserve">Podczas przeprowadzonych 8 spotkań mieszkańcy zgłosili </w:t>
      </w:r>
      <w:r>
        <w:t>218 zagadnień/</w:t>
      </w:r>
      <w:r w:rsidRPr="00F87766">
        <w:t xml:space="preserve">uwag/propozycji/wezwań do działania. Wszystkie zostały poddane analizie pod kątem zasadności i możliwości realizacji </w:t>
      </w:r>
      <w:r w:rsidR="00776A5D">
        <w:br/>
      </w:r>
      <w:r w:rsidRPr="00F87766">
        <w:t>w nowej sytuacji pandemicznej. Znaczna część uwag została uwzględniona w bieżących działaniach miasta jeszcze w 2020r.,</w:t>
      </w:r>
      <w:r w:rsidR="001D04A4">
        <w:t xml:space="preserve"> </w:t>
      </w:r>
      <w:r w:rsidRPr="00F87766">
        <w:t>niektóre stały się podstawą do planowania budżetowego na kolejne lata.</w:t>
      </w:r>
    </w:p>
    <w:p w:rsidR="00EF7F2F" w:rsidRPr="007943E5" w:rsidRDefault="00EF7F2F" w:rsidP="00EF7F2F">
      <w:pPr>
        <w:pStyle w:val="Zawartotabeli"/>
        <w:snapToGrid w:val="0"/>
        <w:spacing w:line="276" w:lineRule="auto"/>
        <w:jc w:val="center"/>
        <w:rPr>
          <w:rFonts w:cs="Times New Roman"/>
          <w:iCs/>
          <w:color w:val="FF0000"/>
          <w:sz w:val="22"/>
          <w:szCs w:val="22"/>
        </w:rPr>
      </w:pPr>
      <w:r w:rsidRPr="007943E5">
        <w:rPr>
          <w:rFonts w:cs="Times New Roman"/>
          <w:iCs/>
          <w:color w:val="FF0000"/>
          <w:sz w:val="22"/>
          <w:szCs w:val="22"/>
        </w:rPr>
        <w:object w:dxaOrig="7200" w:dyaOrig="4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87.5pt" o:ole="">
            <v:imagedata r:id="rId15" o:title=""/>
          </v:shape>
          <o:OLEObject Type="Embed" ProgID="PowerPoint.Slide.12" ShapeID="_x0000_i1025" DrawAspect="Content" ObjectID="_1683455458" r:id="rId16"/>
        </w:object>
      </w:r>
    </w:p>
    <w:p w:rsidR="00AE6BCB" w:rsidRPr="00AD1F77" w:rsidRDefault="00AE6BCB" w:rsidP="009C7C02">
      <w:pPr>
        <w:pStyle w:val="Nagwek2"/>
        <w:spacing w:before="0" w:after="0" w:line="240" w:lineRule="auto"/>
        <w:rPr>
          <w:rFonts w:ascii="Times New Roman" w:hAnsi="Times New Roman" w:cs="Times New Roman"/>
          <w:sz w:val="24"/>
          <w:szCs w:val="24"/>
          <w:lang w:val="pl-PL"/>
        </w:rPr>
      </w:pPr>
      <w:bookmarkStart w:id="29" w:name="__RefHeading__31930_2082197896"/>
      <w:bookmarkStart w:id="30" w:name="_Toc69477680"/>
      <w:bookmarkStart w:id="31" w:name="_Toc69372228"/>
      <w:bookmarkEnd w:id="29"/>
      <w:r w:rsidRPr="00AD1F77">
        <w:rPr>
          <w:rFonts w:ascii="Times New Roman" w:hAnsi="Times New Roman" w:cs="Times New Roman"/>
          <w:color w:val="0070C0"/>
          <w:sz w:val="24"/>
          <w:lang w:val="pl-PL"/>
        </w:rPr>
        <w:t>Współpraca Gminy Miasta Toruń z organizacjami pozarządowymi</w:t>
      </w:r>
      <w:bookmarkEnd w:id="30"/>
      <w:bookmarkEnd w:id="31"/>
    </w:p>
    <w:p w:rsidR="00AE6BCB" w:rsidRDefault="00AE6BCB" w:rsidP="009C7C02">
      <w:pPr>
        <w:spacing w:line="240" w:lineRule="auto"/>
        <w:ind w:firstLine="709"/>
        <w:jc w:val="both"/>
        <w:rPr>
          <w:lang w:val="pl-PL"/>
        </w:rPr>
      </w:pPr>
      <w:r>
        <w:rPr>
          <w:lang w:val="pl-PL"/>
        </w:rPr>
        <w:t>Przy realizacji zadań publicznych Gmina podejmuje współpracę z organizacjami działającymi w zakresie pożytku publicznego, tj. fundacjami, stowarzyszeniami oraz klubami sportowymi. Na koniec 2020 r. w Toruniu było zarejestrowanych 1</w:t>
      </w:r>
      <w:r w:rsidR="001D04A4">
        <w:rPr>
          <w:lang w:val="pl-PL"/>
        </w:rPr>
        <w:t>.</w:t>
      </w:r>
      <w:r>
        <w:rPr>
          <w:lang w:val="pl-PL"/>
        </w:rPr>
        <w:t>261 organizacji, w tym:</w:t>
      </w:r>
    </w:p>
    <w:p w:rsidR="00AE6BCB" w:rsidRDefault="00AE6BCB" w:rsidP="00912BD8">
      <w:pPr>
        <w:numPr>
          <w:ilvl w:val="0"/>
          <w:numId w:val="30"/>
        </w:numPr>
        <w:spacing w:line="240" w:lineRule="auto"/>
        <w:jc w:val="both"/>
        <w:rPr>
          <w:lang w:val="pl-PL"/>
        </w:rPr>
      </w:pPr>
      <w:r w:rsidRPr="00AD1F77">
        <w:rPr>
          <w:lang w:val="pl-PL"/>
        </w:rPr>
        <w:t>fundacje zarejestrowane w KRS – 366;</w:t>
      </w:r>
    </w:p>
    <w:p w:rsidR="00AE6BCB" w:rsidRDefault="00AE6BCB" w:rsidP="00912BD8">
      <w:pPr>
        <w:numPr>
          <w:ilvl w:val="0"/>
          <w:numId w:val="30"/>
        </w:numPr>
        <w:spacing w:line="240" w:lineRule="auto"/>
        <w:jc w:val="both"/>
        <w:rPr>
          <w:lang w:val="pl-PL"/>
        </w:rPr>
      </w:pPr>
      <w:r w:rsidRPr="00AD1F77">
        <w:rPr>
          <w:lang w:val="pl-PL"/>
        </w:rPr>
        <w:t>stowarzyszenia zarejestrowane w KRS – 716;</w:t>
      </w:r>
    </w:p>
    <w:p w:rsidR="00AE6BCB" w:rsidRDefault="00AE6BCB" w:rsidP="00912BD8">
      <w:pPr>
        <w:numPr>
          <w:ilvl w:val="0"/>
          <w:numId w:val="30"/>
        </w:numPr>
        <w:spacing w:line="240" w:lineRule="auto"/>
        <w:jc w:val="both"/>
        <w:rPr>
          <w:lang w:val="pl-PL"/>
        </w:rPr>
      </w:pPr>
      <w:r w:rsidRPr="00AD1F77">
        <w:rPr>
          <w:lang w:val="pl-PL"/>
        </w:rPr>
        <w:t>stowarzyszenia zwykłe bez osobowości prawnej zgłoszone do ewidencji prowadzonej przez Prezydenta Miasta – 53;</w:t>
      </w:r>
    </w:p>
    <w:p w:rsidR="00AE6BCB" w:rsidRDefault="00AE6BCB" w:rsidP="00912BD8">
      <w:pPr>
        <w:numPr>
          <w:ilvl w:val="0"/>
          <w:numId w:val="30"/>
        </w:numPr>
        <w:spacing w:line="240" w:lineRule="auto"/>
        <w:jc w:val="both"/>
        <w:rPr>
          <w:lang w:val="pl-PL"/>
        </w:rPr>
      </w:pPr>
      <w:r w:rsidRPr="00AD1F77">
        <w:rPr>
          <w:lang w:val="pl-PL"/>
        </w:rPr>
        <w:t>kluby sportowe działające w formie stowarzyszenia, których statuty nie przewidują prowadzenia działalności gospodarczej – 100;</w:t>
      </w:r>
    </w:p>
    <w:p w:rsidR="00AE6BCB" w:rsidRPr="00AD1F77" w:rsidRDefault="00AE6BCB" w:rsidP="00912BD8">
      <w:pPr>
        <w:numPr>
          <w:ilvl w:val="0"/>
          <w:numId w:val="30"/>
        </w:numPr>
        <w:spacing w:line="240" w:lineRule="auto"/>
        <w:jc w:val="both"/>
        <w:rPr>
          <w:lang w:val="pl-PL"/>
        </w:rPr>
      </w:pPr>
      <w:r w:rsidRPr="00AD1F77">
        <w:rPr>
          <w:lang w:val="pl-PL"/>
        </w:rPr>
        <w:t>uczniowskie kluby sportowe – 26.</w:t>
      </w:r>
    </w:p>
    <w:p w:rsidR="00AE6BCB" w:rsidRDefault="00AE6BCB" w:rsidP="009C7C02">
      <w:pPr>
        <w:spacing w:line="240" w:lineRule="auto"/>
        <w:ind w:firstLine="709"/>
        <w:jc w:val="both"/>
        <w:rPr>
          <w:i/>
          <w:lang w:val="pl-PL"/>
        </w:rPr>
      </w:pPr>
      <w:r>
        <w:rPr>
          <w:lang w:val="pl-PL"/>
        </w:rPr>
        <w:t xml:space="preserve">Status organizacji pożytku publicznego posiadało 91 organizacji. Współpraca odbywała się na podstawie ustawy o działalności pożytku publicznego i o wolontariacie, dokumentów strategiczno-programowych miasta oraz rocznego programu współpracy Gminy z organizacjami pozarządowymi pn. </w:t>
      </w:r>
      <w:r>
        <w:rPr>
          <w:b/>
          <w:lang w:val="pl-PL"/>
        </w:rPr>
        <w:t xml:space="preserve">„Program współpracy Gminy Miasta Toruń </w:t>
      </w:r>
      <w:r w:rsidR="005F4613">
        <w:rPr>
          <w:b/>
          <w:lang w:val="pl-PL"/>
        </w:rPr>
        <w:br/>
      </w:r>
      <w:r>
        <w:rPr>
          <w:b/>
          <w:lang w:val="pl-PL"/>
        </w:rPr>
        <w:t xml:space="preserve">z organizacjami pozarządowymi w 2020 r.”, </w:t>
      </w:r>
      <w:r>
        <w:rPr>
          <w:lang w:val="pl-PL"/>
        </w:rPr>
        <w:t>który</w:t>
      </w:r>
      <w:r>
        <w:rPr>
          <w:b/>
          <w:lang w:val="pl-PL"/>
        </w:rPr>
        <w:t xml:space="preserve"> </w:t>
      </w:r>
      <w:r>
        <w:rPr>
          <w:lang w:val="pl-PL"/>
        </w:rPr>
        <w:t xml:space="preserve">przyjęty został uchwałą RMT nr 240/19 z dnia 10 października 2019 r. </w:t>
      </w:r>
    </w:p>
    <w:p w:rsidR="00AE6BCB" w:rsidRDefault="00AE6BCB" w:rsidP="009C7C02">
      <w:pPr>
        <w:spacing w:line="240" w:lineRule="auto"/>
        <w:jc w:val="both"/>
        <w:rPr>
          <w:lang w:val="pl-PL"/>
        </w:rPr>
      </w:pPr>
      <w:r>
        <w:rPr>
          <w:i/>
          <w:lang w:val="pl-PL"/>
        </w:rPr>
        <w:t xml:space="preserve">Szczegółowe sprawozdanie z realizacji programu podlega przedłożeniu Radzie Miasta Torunia, jako odrębna informacja, zgodnie z procedurą. </w:t>
      </w:r>
    </w:p>
    <w:p w:rsidR="00AE6BCB" w:rsidRDefault="00AE6BCB" w:rsidP="009C7C02">
      <w:pPr>
        <w:spacing w:line="240" w:lineRule="auto"/>
        <w:ind w:firstLine="709"/>
        <w:jc w:val="both"/>
        <w:rPr>
          <w:lang w:val="pl-PL"/>
        </w:rPr>
      </w:pPr>
      <w:r>
        <w:rPr>
          <w:lang w:val="pl-PL"/>
        </w:rPr>
        <w:t xml:space="preserve">Sektor NGO jest dla Gminy Miasta Toruń ważnym partnerem, realizującym wiele istotnych zadań własnych Gminy służących mieszkańcom. Podstawową i najbardziej powszechną formą współpracy Gminy z podmiotami pozarządowymi było zlecanie realizacji zadań publicznych zmierzających do rozwoju miasta i poprawy jakości życia jego mieszkańców. W 2020 r. Gmina ogłosiła 45 otwartych konkursów ofert na wykonanie zadań publicznych przez organizacje pozarządowe. Przy wsparciu finansowym Gminy ok. 350 organizacji pozarządowych zrealizowało ok. 450 projektów na rzecz mieszkańców naszego </w:t>
      </w:r>
      <w:r>
        <w:rPr>
          <w:lang w:val="pl-PL"/>
        </w:rPr>
        <w:lastRenderedPageBreak/>
        <w:t>miasta. Szacuje się, że liczba odbiorców działań zrealizowanych na zlecenie miasta przez sektor pozarządow</w:t>
      </w:r>
      <w:r w:rsidR="006B5D4E">
        <w:rPr>
          <w:lang w:val="pl-PL"/>
        </w:rPr>
        <w:t>y w 2020 r. wyniosła blisko 580.</w:t>
      </w:r>
      <w:r>
        <w:rPr>
          <w:lang w:val="pl-PL"/>
        </w:rPr>
        <w:t xml:space="preserve">000 osób. Łącznie w 2020 r. Gmina przeznaczyła ponad 36 mln zł na finansowanie zadań publicznych realizowanych przez organizacje pozarządowe. </w:t>
      </w:r>
    </w:p>
    <w:p w:rsidR="006B5D4E" w:rsidRDefault="00AE6BCB" w:rsidP="009C7C02">
      <w:pPr>
        <w:spacing w:line="240" w:lineRule="auto"/>
        <w:ind w:firstLine="709"/>
        <w:jc w:val="both"/>
        <w:rPr>
          <w:lang w:val="pl-PL"/>
        </w:rPr>
      </w:pPr>
      <w:r>
        <w:rPr>
          <w:lang w:val="pl-PL"/>
        </w:rPr>
        <w:t xml:space="preserve">W okresie pandemii wirusa SARS-CoV-2 realizacja zadań publicznych przez NGO była utrudniona. Wszelkie ograniczenia, nakazy i zakazy ustalone </w:t>
      </w:r>
      <w:r w:rsidR="006B5D4E">
        <w:rPr>
          <w:lang w:val="pl-PL"/>
        </w:rPr>
        <w:t xml:space="preserve">w związku </w:t>
      </w:r>
      <w:r>
        <w:rPr>
          <w:lang w:val="pl-PL"/>
        </w:rPr>
        <w:t>z wystąpieniem stanu epidemii miały znaczący wpływ na rodzaj, zakres i for</w:t>
      </w:r>
      <w:r w:rsidR="006B5D4E">
        <w:rPr>
          <w:lang w:val="pl-PL"/>
        </w:rPr>
        <w:t xml:space="preserve">my współpracy międzysektorowej, </w:t>
      </w:r>
      <w:r>
        <w:rPr>
          <w:lang w:val="pl-PL"/>
        </w:rPr>
        <w:t xml:space="preserve">w tym m.in. </w:t>
      </w:r>
      <w:r w:rsidR="006B5D4E">
        <w:rPr>
          <w:lang w:val="pl-PL"/>
        </w:rPr>
        <w:t>w zakresie</w:t>
      </w:r>
      <w:r>
        <w:rPr>
          <w:lang w:val="pl-PL"/>
        </w:rPr>
        <w:t xml:space="preserve"> organizacji wydarzeń o charakterze promocyjnym, kulturalnym, sportowym i rekreacyjnym. </w:t>
      </w:r>
      <w:r w:rsidR="006B5D4E">
        <w:rPr>
          <w:lang w:val="pl-PL"/>
        </w:rPr>
        <w:t>Wprowadzono</w:t>
      </w:r>
      <w:r>
        <w:rPr>
          <w:lang w:val="pl-PL"/>
        </w:rPr>
        <w:t xml:space="preserve"> szereg rozwiązań mających na celu wsparcie lokalnych organizacji pozarządowych</w:t>
      </w:r>
      <w:r w:rsidR="001D04A4">
        <w:rPr>
          <w:lang w:val="pl-PL"/>
        </w:rPr>
        <w:t xml:space="preserve">, m.in. poprzez </w:t>
      </w:r>
      <w:r w:rsidR="006B5D4E">
        <w:rPr>
          <w:lang w:val="pl-PL"/>
        </w:rPr>
        <w:t>bieżące</w:t>
      </w:r>
      <w:r>
        <w:rPr>
          <w:lang w:val="pl-PL"/>
        </w:rPr>
        <w:t xml:space="preserve"> analizowan</w:t>
      </w:r>
      <w:r w:rsidR="006B5D4E">
        <w:rPr>
          <w:lang w:val="pl-PL"/>
        </w:rPr>
        <w:t>i</w:t>
      </w:r>
      <w:r>
        <w:rPr>
          <w:lang w:val="pl-PL"/>
        </w:rPr>
        <w:t xml:space="preserve">e możliwości realizacji </w:t>
      </w:r>
      <w:r w:rsidR="006B5D4E">
        <w:rPr>
          <w:lang w:val="pl-PL"/>
        </w:rPr>
        <w:t xml:space="preserve">zadań </w:t>
      </w:r>
      <w:r>
        <w:rPr>
          <w:lang w:val="pl-PL"/>
        </w:rPr>
        <w:t xml:space="preserve">oraz konieczności podjęcia ewentualnych nowych uzgodnień </w:t>
      </w:r>
      <w:r w:rsidR="001D04A4">
        <w:rPr>
          <w:lang w:val="pl-PL"/>
        </w:rPr>
        <w:br/>
      </w:r>
      <w:r>
        <w:rPr>
          <w:lang w:val="pl-PL"/>
        </w:rPr>
        <w:t>w zakresie termi</w:t>
      </w:r>
      <w:r w:rsidR="006B5D4E">
        <w:rPr>
          <w:lang w:val="pl-PL"/>
        </w:rPr>
        <w:t>nu i harmonogramu</w:t>
      </w:r>
      <w:r w:rsidR="001D04A4">
        <w:rPr>
          <w:lang w:val="pl-PL"/>
        </w:rPr>
        <w:t xml:space="preserve"> zadania</w:t>
      </w:r>
      <w:r w:rsidR="006B5D4E">
        <w:rPr>
          <w:lang w:val="pl-PL"/>
        </w:rPr>
        <w:t xml:space="preserve">. </w:t>
      </w:r>
      <w:r>
        <w:rPr>
          <w:lang w:val="pl-PL"/>
        </w:rPr>
        <w:t xml:space="preserve">Do blisko 450 umów dotacyjnych podpisanych w 2020 r. ponad 315 aneksów. Realizatorzy zadań powiadomieni zostali </w:t>
      </w:r>
      <w:r w:rsidR="006B5D4E">
        <w:rPr>
          <w:lang w:val="pl-PL"/>
        </w:rPr>
        <w:t xml:space="preserve">ponadto </w:t>
      </w:r>
      <w:r w:rsidR="001D04A4">
        <w:rPr>
          <w:lang w:val="pl-PL"/>
        </w:rPr>
        <w:br/>
      </w:r>
      <w:r>
        <w:rPr>
          <w:lang w:val="pl-PL"/>
        </w:rPr>
        <w:t>o możliwości przedłużenia terminu na złożenie sprawozdania z wykonania zleconego zadania publicznego oraz rozliczenia udzielonej dotacji</w:t>
      </w:r>
      <w:r w:rsidR="006B5D4E">
        <w:rPr>
          <w:lang w:val="pl-PL"/>
        </w:rPr>
        <w:t>.</w:t>
      </w:r>
      <w:r>
        <w:rPr>
          <w:lang w:val="pl-PL"/>
        </w:rPr>
        <w:t xml:space="preserve"> </w:t>
      </w:r>
    </w:p>
    <w:p w:rsidR="00DD0878" w:rsidRDefault="006B5D4E" w:rsidP="001D04A4">
      <w:pPr>
        <w:spacing w:line="240" w:lineRule="auto"/>
        <w:ind w:firstLine="708"/>
        <w:jc w:val="both"/>
        <w:rPr>
          <w:lang w:val="pl-PL"/>
        </w:rPr>
      </w:pPr>
      <w:r>
        <w:rPr>
          <w:lang w:val="pl-PL"/>
        </w:rPr>
        <w:t>W 2020 r. w</w:t>
      </w:r>
      <w:r w:rsidR="00AE6BCB">
        <w:rPr>
          <w:lang w:val="pl-PL"/>
        </w:rPr>
        <w:t xml:space="preserve">prowadzone zostały także nowe formy wsparcia, dotąd niefunkcjonujące, jak specjalny konkurs na propozycje artystycznych aktywności internetowych, </w:t>
      </w:r>
      <w:r w:rsidR="00D809B4">
        <w:rPr>
          <w:lang w:val="pl-PL"/>
        </w:rPr>
        <w:br/>
      </w:r>
      <w:r w:rsidR="00AE6BCB">
        <w:rPr>
          <w:lang w:val="pl-PL"/>
        </w:rPr>
        <w:t xml:space="preserve">tj. przedstawienie i zrealizowanie pomysłu na artystyczne działanie do przeprowadzenia </w:t>
      </w:r>
      <w:r w:rsidR="00D809B4">
        <w:rPr>
          <w:lang w:val="pl-PL"/>
        </w:rPr>
        <w:br/>
      </w:r>
      <w:r w:rsidR="00AE6BCB">
        <w:rPr>
          <w:lang w:val="pl-PL"/>
        </w:rPr>
        <w:t>w cał</w:t>
      </w:r>
      <w:r>
        <w:rPr>
          <w:lang w:val="pl-PL"/>
        </w:rPr>
        <w:t>ości za pośrednictwem Internetu.</w:t>
      </w:r>
      <w:r w:rsidR="00AE6BCB">
        <w:rPr>
          <w:lang w:val="pl-PL"/>
        </w:rPr>
        <w:t xml:space="preserve"> </w:t>
      </w:r>
    </w:p>
    <w:p w:rsidR="00AE6BCB" w:rsidRDefault="00DD0878" w:rsidP="009C7C02">
      <w:pPr>
        <w:spacing w:line="240" w:lineRule="auto"/>
        <w:ind w:firstLine="709"/>
        <w:jc w:val="both"/>
        <w:rPr>
          <w:lang w:val="pl-PL"/>
        </w:rPr>
      </w:pPr>
      <w:r>
        <w:rPr>
          <w:lang w:val="pl-PL"/>
        </w:rPr>
        <w:t>W kwietniu</w:t>
      </w:r>
      <w:r w:rsidR="00AE6BCB">
        <w:rPr>
          <w:lang w:val="pl-PL"/>
        </w:rPr>
        <w:t xml:space="preserve"> 2020 r. wdrożony został dodatkowy sposób składania dokumentów </w:t>
      </w:r>
      <w:r w:rsidR="00D809B4">
        <w:rPr>
          <w:lang w:val="pl-PL"/>
        </w:rPr>
        <w:br/>
      </w:r>
      <w:r w:rsidR="00AE6BCB">
        <w:rPr>
          <w:lang w:val="pl-PL"/>
        </w:rPr>
        <w:t>w otwartych konkursach ofert oraz naborach w trybie art.19a – na realizację zadań publicznych Gminy Miasta Toruń przez organizacje pozarządowe.</w:t>
      </w:r>
      <w:r w:rsidR="00AE6BCB">
        <w:rPr>
          <w:bCs/>
          <w:lang w:val="pl-PL"/>
        </w:rPr>
        <w:t xml:space="preserve"> Zmieniona</w:t>
      </w:r>
      <w:r w:rsidR="001D04A4">
        <w:rPr>
          <w:lang w:val="pl-PL"/>
        </w:rPr>
        <w:t xml:space="preserve"> (</w:t>
      </w:r>
      <w:r w:rsidR="00AE6BCB">
        <w:rPr>
          <w:lang w:val="pl-PL"/>
        </w:rPr>
        <w:t>rozszerzona</w:t>
      </w:r>
      <w:r w:rsidR="001D04A4">
        <w:rPr>
          <w:lang w:val="pl-PL"/>
        </w:rPr>
        <w:t xml:space="preserve">) procedura </w:t>
      </w:r>
      <w:r w:rsidR="00AE6BCB">
        <w:rPr>
          <w:lang w:val="pl-PL"/>
        </w:rPr>
        <w:t>pozwoliła na dostarczenie przygotowanego kompletu dokumentów</w:t>
      </w:r>
      <w:r w:rsidR="00AE6BCB">
        <w:rPr>
          <w:bCs/>
          <w:lang w:val="pl-PL"/>
        </w:rPr>
        <w:t xml:space="preserve"> także za pomocą poczty elektronicznej</w:t>
      </w:r>
      <w:r w:rsidR="00AE6BCB">
        <w:rPr>
          <w:lang w:val="pl-PL"/>
        </w:rPr>
        <w:t xml:space="preserve"> lub platformy ePUAP.</w:t>
      </w:r>
      <w:r w:rsidR="00AE6BCB">
        <w:rPr>
          <w:bCs/>
          <w:lang w:val="pl-PL"/>
        </w:rPr>
        <w:t xml:space="preserve"> Ułatwiło to NGO-som przekazywanie dokumentów konkursowych w okresie zagrożenia epidemiologicznego. </w:t>
      </w:r>
      <w:r w:rsidR="00AE6BCB">
        <w:rPr>
          <w:lang w:val="pl-PL"/>
        </w:rPr>
        <w:t xml:space="preserve"> </w:t>
      </w:r>
    </w:p>
    <w:p w:rsidR="00AE6BCB" w:rsidRDefault="00AE6BCB" w:rsidP="009C7C02">
      <w:pPr>
        <w:spacing w:line="240" w:lineRule="auto"/>
        <w:ind w:firstLine="709"/>
        <w:jc w:val="both"/>
        <w:rPr>
          <w:lang w:val="pl-PL"/>
        </w:rPr>
      </w:pPr>
      <w:r>
        <w:rPr>
          <w:lang w:val="pl-PL"/>
        </w:rPr>
        <w:t xml:space="preserve">Pomimo utrudnionej sytuacji związanej ze stanem pandemii, z nieznaczną przerwą, </w:t>
      </w:r>
      <w:r w:rsidR="00D809B4">
        <w:rPr>
          <w:lang w:val="pl-PL"/>
        </w:rPr>
        <w:br/>
      </w:r>
      <w:r>
        <w:rPr>
          <w:lang w:val="pl-PL"/>
        </w:rPr>
        <w:t xml:space="preserve">w 2020 r. funkcjonowało </w:t>
      </w:r>
      <w:r>
        <w:rPr>
          <w:b/>
          <w:lang w:val="pl-PL"/>
        </w:rPr>
        <w:t>Toruńskie Centrum Aktywności Lokalnej 2. Piętro</w:t>
      </w:r>
      <w:r>
        <w:rPr>
          <w:lang w:val="pl-PL"/>
        </w:rPr>
        <w:t>, które oferowało fundacjom i stowarzyszeniom przestrzeń do prowadzenia działalności statutowej przy zachowaniu obostrzeń sanitarnych. Mieszkańcy Torunia planujący powołanie organizacji mogli także skorzystać z adresu i zasobów „2. Piętra”, zarejestrować się pod adresem Centrum (ul. Konopnickiej 13) i prowadzić tam swoją działalność. W roku sprawozdawczym podpisane zostały 62 porozumienia (ok. połowa mniej niż w roku poprzednim) o współpracy z organizacjami chcącymi korzystać z tego mini</w:t>
      </w:r>
      <w:r w:rsidR="001D04A4">
        <w:rPr>
          <w:lang w:val="pl-PL"/>
        </w:rPr>
        <w:t xml:space="preserve"> </w:t>
      </w:r>
      <w:r>
        <w:rPr>
          <w:lang w:val="pl-PL"/>
        </w:rPr>
        <w:t xml:space="preserve">inkubatora dla NGO. </w:t>
      </w:r>
      <w:r w:rsidR="001D04A4">
        <w:rPr>
          <w:lang w:val="pl-PL"/>
        </w:rPr>
        <w:t>W 2020 r. o</w:t>
      </w:r>
      <w:r>
        <w:rPr>
          <w:lang w:val="pl-PL"/>
        </w:rPr>
        <w:t>dbyły się tam ponad 172 różnego rodzaju spotkania i wydarzenia.</w:t>
      </w:r>
    </w:p>
    <w:p w:rsidR="00AE6BCB" w:rsidRDefault="00AE6BCB" w:rsidP="009C7C02">
      <w:pPr>
        <w:spacing w:line="240" w:lineRule="auto"/>
        <w:ind w:firstLine="709"/>
        <w:jc w:val="both"/>
        <w:rPr>
          <w:lang w:val="pl-PL"/>
        </w:rPr>
      </w:pPr>
      <w:r>
        <w:rPr>
          <w:lang w:val="pl-PL"/>
        </w:rPr>
        <w:t xml:space="preserve">Prowadzona była także </w:t>
      </w:r>
      <w:r>
        <w:rPr>
          <w:b/>
          <w:lang w:val="pl-PL"/>
        </w:rPr>
        <w:t>Toruńska Baza Wolontariatu</w:t>
      </w:r>
      <w:r w:rsidR="00DD0878">
        <w:rPr>
          <w:lang w:val="pl-PL"/>
        </w:rPr>
        <w:t xml:space="preserve">, </w:t>
      </w:r>
      <w:r>
        <w:rPr>
          <w:lang w:val="pl-PL"/>
        </w:rPr>
        <w:t xml:space="preserve">w której zarejestrowanych było łącznie 19 wydarzeń lub pomiotów poszukujących wolontariuszy oraz 124 wolontariuszy wyrażających gotowość do zaangażowania się w działania lokalne. </w:t>
      </w:r>
    </w:p>
    <w:p w:rsidR="00AE6BCB" w:rsidRDefault="00AE6BCB" w:rsidP="009C7C02">
      <w:pPr>
        <w:spacing w:line="240" w:lineRule="auto"/>
        <w:ind w:firstLine="709"/>
        <w:jc w:val="both"/>
        <w:rPr>
          <w:lang w:val="pl-PL"/>
        </w:rPr>
      </w:pPr>
      <w:r>
        <w:rPr>
          <w:lang w:val="pl-PL"/>
        </w:rPr>
        <w:t xml:space="preserve">W Toruniu kolejny rok rozwijana była sieć </w:t>
      </w:r>
      <w:r>
        <w:rPr>
          <w:b/>
          <w:lang w:val="pl-PL"/>
        </w:rPr>
        <w:t>Centrów Aktywności Lokalnej</w:t>
      </w:r>
      <w:r>
        <w:rPr>
          <w:lang w:val="pl-PL"/>
        </w:rPr>
        <w:t>, czyli lokalnych miejsc spotkań, otwartych na pomysły mieszkańców. Z roku na rok zwiększa się więc liczba CAL-i, których operatorami są organizacje pozarządowe. W 2020 r. funkcjonowało już 8 lokalnych miejsc spotkań, tj. o 2 więcej niż w 2019 r. (miasto przeznac</w:t>
      </w:r>
      <w:r w:rsidR="00DD0878">
        <w:rPr>
          <w:lang w:val="pl-PL"/>
        </w:rPr>
        <w:t>zyło na ten cel w 2020 r. – 945 tys.</w:t>
      </w:r>
      <w:r>
        <w:rPr>
          <w:lang w:val="pl-PL"/>
        </w:rPr>
        <w:t xml:space="preserve"> zł). Zlecono realizację CAL-i (w latach 2020–2022) </w:t>
      </w:r>
      <w:r w:rsidR="00DD0878">
        <w:rPr>
          <w:bCs/>
          <w:lang w:val="pl-PL"/>
        </w:rPr>
        <w:t>w</w:t>
      </w:r>
      <w:r>
        <w:rPr>
          <w:bCs/>
          <w:lang w:val="pl-PL"/>
        </w:rPr>
        <w:t xml:space="preserve"> następujących części</w:t>
      </w:r>
      <w:r w:rsidR="00DD0878">
        <w:rPr>
          <w:bCs/>
          <w:lang w:val="pl-PL"/>
        </w:rPr>
        <w:t>ach</w:t>
      </w:r>
      <w:r>
        <w:rPr>
          <w:bCs/>
          <w:lang w:val="pl-PL"/>
        </w:rPr>
        <w:t xml:space="preserve"> miasta Torunia: </w:t>
      </w:r>
      <w:r>
        <w:rPr>
          <w:lang w:val="pl-PL"/>
        </w:rPr>
        <w:t>Bielawy,</w:t>
      </w:r>
      <w:r>
        <w:rPr>
          <w:bCs/>
          <w:lang w:val="pl-PL"/>
        </w:rPr>
        <w:t xml:space="preserve"> </w:t>
      </w:r>
      <w:r>
        <w:rPr>
          <w:lang w:val="pl-PL"/>
        </w:rPr>
        <w:t xml:space="preserve">Bydgoskie Przedmieście, Czerniewice, Na Skarpie, Stawki, Stare Miasto, Wrzosy, </w:t>
      </w:r>
      <w:r>
        <w:rPr>
          <w:bCs/>
          <w:lang w:val="pl-PL"/>
        </w:rPr>
        <w:t>Chełmińskie Przedmieście.</w:t>
      </w:r>
    </w:p>
    <w:p w:rsidR="00AE6BCB" w:rsidRDefault="00AE6BCB" w:rsidP="009C7C02">
      <w:pPr>
        <w:spacing w:line="240" w:lineRule="auto"/>
        <w:ind w:firstLine="709"/>
        <w:jc w:val="both"/>
        <w:rPr>
          <w:b/>
          <w:i/>
          <w:lang w:val="pl-PL"/>
        </w:rPr>
      </w:pPr>
      <w:r>
        <w:rPr>
          <w:lang w:val="pl-PL"/>
        </w:rPr>
        <w:t xml:space="preserve">Dodatkowo miasto wynajmowało organizacjom pozarządowym gminne lokale użytkowe na zasadach preferencyjnych, bezprzetargowo, często stosując dodatkowe wysokie zniżki czynszu. Każda organizacja wynajmująca od miasta lokal może złożyć wniosek </w:t>
      </w:r>
      <w:r w:rsidR="00D809B4">
        <w:rPr>
          <w:lang w:val="pl-PL"/>
        </w:rPr>
        <w:br/>
      </w:r>
      <w:r>
        <w:rPr>
          <w:lang w:val="pl-PL"/>
        </w:rPr>
        <w:t>o odroczenie lub rozłożenie na raty tych opłat z uwagi na aktualną sytuację finansową (spadek przychodów z działalności statutowej). W 2020 r. z gminnych lokali użytkowych korzystało prawie 60 organi</w:t>
      </w:r>
      <w:r w:rsidR="00D809B4">
        <w:rPr>
          <w:lang w:val="pl-PL"/>
        </w:rPr>
        <w:t>zacji, a łączna kwota udzielonych obniżek</w:t>
      </w:r>
      <w:r>
        <w:rPr>
          <w:lang w:val="pl-PL"/>
        </w:rPr>
        <w:t xml:space="preserve"> </w:t>
      </w:r>
      <w:r w:rsidR="001D04A4">
        <w:rPr>
          <w:lang w:val="pl-PL"/>
        </w:rPr>
        <w:t xml:space="preserve">czynszu </w:t>
      </w:r>
      <w:r w:rsidR="00D809B4">
        <w:rPr>
          <w:lang w:val="pl-PL"/>
        </w:rPr>
        <w:t xml:space="preserve">wyniosła ok. 600 tys. </w:t>
      </w:r>
      <w:r>
        <w:rPr>
          <w:lang w:val="pl-PL"/>
        </w:rPr>
        <w:t>zł.</w:t>
      </w:r>
    </w:p>
    <w:p w:rsidR="00AE6BCB" w:rsidRPr="00D809B4" w:rsidRDefault="00AE6BCB" w:rsidP="00BC37AC">
      <w:pPr>
        <w:pStyle w:val="Nagwek2"/>
        <w:numPr>
          <w:ilvl w:val="0"/>
          <w:numId w:val="0"/>
        </w:numPr>
        <w:spacing w:before="0" w:after="0" w:line="240" w:lineRule="auto"/>
        <w:rPr>
          <w:rFonts w:ascii="Times New Roman" w:hAnsi="Times New Roman" w:cs="Times New Roman"/>
          <w:sz w:val="24"/>
          <w:szCs w:val="24"/>
          <w:lang w:val="pl-PL"/>
        </w:rPr>
      </w:pPr>
      <w:bookmarkStart w:id="32" w:name="__RefHeading__31932_2082197896"/>
      <w:bookmarkStart w:id="33" w:name="_Toc69477681"/>
      <w:bookmarkStart w:id="34" w:name="_Toc69372229"/>
      <w:bookmarkEnd w:id="32"/>
      <w:r w:rsidRPr="00D809B4">
        <w:rPr>
          <w:rFonts w:ascii="Times New Roman" w:hAnsi="Times New Roman" w:cs="Times New Roman"/>
          <w:color w:val="0070C0"/>
          <w:sz w:val="24"/>
          <w:lang w:val="pl-PL"/>
        </w:rPr>
        <w:lastRenderedPageBreak/>
        <w:t>Inicjatywy lokalne</w:t>
      </w:r>
      <w:bookmarkEnd w:id="33"/>
      <w:bookmarkEnd w:id="34"/>
      <w:r w:rsidRPr="00D809B4">
        <w:rPr>
          <w:rFonts w:ascii="Times New Roman" w:hAnsi="Times New Roman" w:cs="Times New Roman"/>
          <w:color w:val="0070C0"/>
          <w:sz w:val="24"/>
          <w:lang w:val="pl-PL"/>
        </w:rPr>
        <w:t xml:space="preserve"> </w:t>
      </w:r>
    </w:p>
    <w:p w:rsidR="00AE6BCB" w:rsidRDefault="00AE6BCB" w:rsidP="009C7C02">
      <w:pPr>
        <w:spacing w:line="240" w:lineRule="auto"/>
        <w:ind w:firstLine="680"/>
        <w:jc w:val="both"/>
        <w:rPr>
          <w:lang w:val="pl-PL"/>
        </w:rPr>
      </w:pPr>
      <w:r>
        <w:rPr>
          <w:lang w:val="pl-PL"/>
        </w:rPr>
        <w:t xml:space="preserve">Na podstawie art. 19 b ustawy o działalności pożytku publicznego i o wolontariacie </w:t>
      </w:r>
      <w:r w:rsidR="00D809B4">
        <w:rPr>
          <w:lang w:val="pl-PL"/>
        </w:rPr>
        <w:br/>
      </w:r>
      <w:r>
        <w:rPr>
          <w:lang w:val="pl-PL"/>
        </w:rPr>
        <w:t xml:space="preserve">z 24 kwietnia 2003 r. mieszkańcy Torunia, lokalne społeczności oraz stowarzyszenia, organizacje pozarządowe mogą składać wnioski i ubiegać się o środki finansowe na działania budujące sąsiedzkie więzi i społeczeństwo obywatelskie. W 2020 r. wpłynęły 23 wnioski, </w:t>
      </w:r>
      <w:r w:rsidR="00D809B4">
        <w:rPr>
          <w:lang w:val="pl-PL"/>
        </w:rPr>
        <w:br/>
      </w:r>
      <w:r>
        <w:rPr>
          <w:lang w:val="pl-PL"/>
        </w:rPr>
        <w:t xml:space="preserve">z których uwzględnionych zostało 18. W sumie zrealizowanych zostało 11 inicjatyw lokalnych na łączną kwotę </w:t>
      </w:r>
      <w:r w:rsidR="00DD0878">
        <w:rPr>
          <w:lang w:val="pl-PL"/>
        </w:rPr>
        <w:t>prawie 20 tys. zł</w:t>
      </w:r>
      <w:r>
        <w:rPr>
          <w:lang w:val="pl-PL"/>
        </w:rPr>
        <w:t>, z czego 2 umowy zostały podpisan</w:t>
      </w:r>
      <w:r w:rsidR="00DD0878">
        <w:rPr>
          <w:lang w:val="pl-PL"/>
        </w:rPr>
        <w:t xml:space="preserve">e </w:t>
      </w:r>
      <w:r w:rsidR="00D809B4">
        <w:rPr>
          <w:lang w:val="pl-PL"/>
        </w:rPr>
        <w:br/>
      </w:r>
      <w:r w:rsidR="00DD0878">
        <w:rPr>
          <w:lang w:val="pl-PL"/>
        </w:rPr>
        <w:t>z organizacjami pozarządowymi.</w:t>
      </w:r>
    </w:p>
    <w:p w:rsidR="00AE6BCB" w:rsidRDefault="00AE6BCB" w:rsidP="009C7C02">
      <w:pPr>
        <w:spacing w:line="240" w:lineRule="auto"/>
        <w:rPr>
          <w:lang w:val="pl-PL"/>
        </w:rPr>
      </w:pPr>
    </w:p>
    <w:p w:rsidR="00AE6BCB" w:rsidRPr="00D02148" w:rsidRDefault="00AE6BCB" w:rsidP="009C7C02">
      <w:pPr>
        <w:pStyle w:val="NormalWeb"/>
        <w:spacing w:before="0" w:after="0" w:line="240" w:lineRule="auto"/>
        <w:jc w:val="both"/>
        <w:rPr>
          <w:lang w:val="pl-PL"/>
        </w:rPr>
      </w:pPr>
      <w:r w:rsidRPr="00D02148">
        <w:rPr>
          <w:b/>
          <w:color w:val="0070C0"/>
          <w:lang w:val="pl-PL"/>
        </w:rPr>
        <w:t>V</w:t>
      </w:r>
      <w:r w:rsidR="007E6857">
        <w:rPr>
          <w:b/>
          <w:color w:val="0070C0"/>
          <w:lang w:val="pl-PL"/>
        </w:rPr>
        <w:t>I</w:t>
      </w:r>
      <w:r w:rsidRPr="00D02148">
        <w:rPr>
          <w:b/>
          <w:color w:val="0070C0"/>
          <w:lang w:val="pl-PL"/>
        </w:rPr>
        <w:t>. D</w:t>
      </w:r>
      <w:r w:rsidR="00D02148">
        <w:rPr>
          <w:b/>
          <w:color w:val="0070C0"/>
          <w:lang w:val="pl-PL"/>
        </w:rPr>
        <w:t>EMOGRAFIA</w:t>
      </w:r>
    </w:p>
    <w:p w:rsidR="00DD0878" w:rsidRDefault="00AE6BCB" w:rsidP="003E4FE0">
      <w:pPr>
        <w:spacing w:line="240" w:lineRule="auto"/>
        <w:ind w:firstLine="709"/>
        <w:jc w:val="both"/>
        <w:rPr>
          <w:lang w:val="pl-PL"/>
        </w:rPr>
      </w:pPr>
      <w:r>
        <w:rPr>
          <w:lang w:val="pl-PL"/>
        </w:rPr>
        <w:t>Na dzień 31.12.2020 r. w</w:t>
      </w:r>
      <w:r w:rsidR="00DD0878">
        <w:rPr>
          <w:lang w:val="pl-PL"/>
        </w:rPr>
        <w:t xml:space="preserve"> Toruniu było zameldowanych 185.154 mieszkańców; w tym 179.</w:t>
      </w:r>
      <w:r>
        <w:rPr>
          <w:lang w:val="pl-PL"/>
        </w:rPr>
        <w:t>204 stanowiły osoby zameldowane na pobyt stały, a 5</w:t>
      </w:r>
      <w:r w:rsidR="00DD0878">
        <w:rPr>
          <w:lang w:val="pl-PL"/>
        </w:rPr>
        <w:t>.</w:t>
      </w:r>
      <w:r>
        <w:rPr>
          <w:lang w:val="pl-PL"/>
        </w:rPr>
        <w:t>950 zameldowane na pobyt czasowy. W stosunku do 2019 r. ubyło 4</w:t>
      </w:r>
      <w:r w:rsidR="00DD0878">
        <w:rPr>
          <w:lang w:val="pl-PL"/>
        </w:rPr>
        <w:t>.</w:t>
      </w:r>
      <w:r>
        <w:rPr>
          <w:lang w:val="pl-PL"/>
        </w:rPr>
        <w:t>047 zame</w:t>
      </w:r>
      <w:r w:rsidR="00DD0878">
        <w:rPr>
          <w:lang w:val="pl-PL"/>
        </w:rPr>
        <w:t>ldowanych mieszkańców (było 189.</w:t>
      </w:r>
      <w:r>
        <w:rPr>
          <w:lang w:val="pl-PL"/>
        </w:rPr>
        <w:t>201</w:t>
      </w:r>
      <w:r w:rsidR="00DD0878">
        <w:rPr>
          <w:lang w:val="pl-PL"/>
        </w:rPr>
        <w:t xml:space="preserve"> osób, w tym 181.</w:t>
      </w:r>
      <w:r>
        <w:rPr>
          <w:lang w:val="pl-PL"/>
        </w:rPr>
        <w:t>031 zameldowanych na pobyt stały i 8</w:t>
      </w:r>
      <w:r w:rsidR="00DD0878">
        <w:rPr>
          <w:lang w:val="pl-PL"/>
        </w:rPr>
        <w:t>.</w:t>
      </w:r>
      <w:r>
        <w:rPr>
          <w:lang w:val="pl-PL"/>
        </w:rPr>
        <w:t xml:space="preserve">170 osób zameldowanych na pobyt czasowy). Wśród mieszkańców Torunia 54% stanowią kobiety, 46% to mężczyźni. </w:t>
      </w:r>
      <w:r w:rsidR="00FA67F5">
        <w:rPr>
          <w:lang w:val="pl-PL"/>
        </w:rPr>
        <w:br/>
      </w:r>
      <w:r>
        <w:rPr>
          <w:lang w:val="pl-PL"/>
        </w:rPr>
        <w:t>W naszym mieście w 2020 r. zameldowało się 1</w:t>
      </w:r>
      <w:r w:rsidR="00DD0878">
        <w:rPr>
          <w:lang w:val="pl-PL"/>
        </w:rPr>
        <w:t>.</w:t>
      </w:r>
      <w:r>
        <w:rPr>
          <w:lang w:val="pl-PL"/>
        </w:rPr>
        <w:t>858 cudzoziemców (o 189 cudzoziemców więcej niż w 2019 r.), w tym 52 (w 2019 r. – 333) zameldowanych na pobyt stały, a 1</w:t>
      </w:r>
      <w:r w:rsidR="00DD0878">
        <w:rPr>
          <w:lang w:val="pl-PL"/>
        </w:rPr>
        <w:t>.</w:t>
      </w:r>
      <w:r>
        <w:rPr>
          <w:lang w:val="pl-PL"/>
        </w:rPr>
        <w:t>806 na pobyt czasowy (w 2019 r. – 1</w:t>
      </w:r>
      <w:r w:rsidR="00DD0878">
        <w:rPr>
          <w:lang w:val="pl-PL"/>
        </w:rPr>
        <w:t>.</w:t>
      </w:r>
      <w:r>
        <w:rPr>
          <w:lang w:val="pl-PL"/>
        </w:rPr>
        <w:t>336).</w:t>
      </w:r>
      <w:r>
        <w:rPr>
          <w:b/>
          <w:lang w:val="pl-PL"/>
        </w:rPr>
        <w:t xml:space="preserve"> </w:t>
      </w:r>
      <w:r>
        <w:rPr>
          <w:lang w:val="pl-PL"/>
        </w:rPr>
        <w:t xml:space="preserve">W 2020 r. 850 osób zgłosiło wyjazd za granicę na pobyt czasowy powyżej 6 miesięcy (o 29 osób mniej niż w 2018 r.), 25 osób zgłosiło wyjazd za granicę na pobyt stały (o 43 osoby więcej wyjechało na stałe w 2019 r.), tylko 16 osób zgłosiło powrót z pobytu </w:t>
      </w:r>
      <w:r w:rsidR="009004C5">
        <w:rPr>
          <w:lang w:val="pl-PL"/>
        </w:rPr>
        <w:t>czasowego poza granicami kraju (</w:t>
      </w:r>
      <w:r>
        <w:rPr>
          <w:lang w:val="pl-PL"/>
        </w:rPr>
        <w:t xml:space="preserve">o 96 osób </w:t>
      </w:r>
      <w:r w:rsidR="009004C5">
        <w:rPr>
          <w:lang w:val="pl-PL"/>
        </w:rPr>
        <w:t>mniej</w:t>
      </w:r>
      <w:r>
        <w:rPr>
          <w:lang w:val="pl-PL"/>
        </w:rPr>
        <w:t xml:space="preserve"> </w:t>
      </w:r>
      <w:r w:rsidR="009004C5">
        <w:rPr>
          <w:lang w:val="pl-PL"/>
        </w:rPr>
        <w:t>niż w 2019 r.).</w:t>
      </w:r>
    </w:p>
    <w:p w:rsidR="003E4FE0" w:rsidRPr="008C0B73" w:rsidRDefault="00FA67F5" w:rsidP="00FA67F5">
      <w:pPr>
        <w:pStyle w:val="NormalnyWeb"/>
        <w:spacing w:before="0" w:beforeAutospacing="0" w:after="0" w:line="276" w:lineRule="auto"/>
        <w:ind w:firstLine="432"/>
        <w:jc w:val="both"/>
      </w:pPr>
      <w:r>
        <w:t>W 2020</w:t>
      </w:r>
      <w:r w:rsidR="003E4FE0">
        <w:t xml:space="preserve"> </w:t>
      </w:r>
      <w:r w:rsidR="003E4FE0" w:rsidRPr="008C0B73">
        <w:t>r.</w:t>
      </w:r>
      <w:r w:rsidR="003E4FE0">
        <w:t xml:space="preserve"> </w:t>
      </w:r>
      <w:r w:rsidR="003E4FE0" w:rsidRPr="008C0B73">
        <w:t>w Toruniu zarejestrowano 3</w:t>
      </w:r>
      <w:r w:rsidR="003E4FE0">
        <w:t>.335</w:t>
      </w:r>
      <w:r w:rsidR="003E4FE0" w:rsidRPr="008C0B73">
        <w:t xml:space="preserve"> urodzeń, 2</w:t>
      </w:r>
      <w:r w:rsidR="003E4FE0">
        <w:t>.850 zgony oraz 720</w:t>
      </w:r>
      <w:r w:rsidR="003E4FE0" w:rsidRPr="008C0B73">
        <w:t xml:space="preserve"> małżeństw.</w:t>
      </w:r>
    </w:p>
    <w:p w:rsidR="00AE6BCB" w:rsidRDefault="00AE6BCB" w:rsidP="009C7C02">
      <w:pPr>
        <w:pStyle w:val="NoSpacing"/>
        <w:spacing w:line="240" w:lineRule="auto"/>
        <w:jc w:val="both"/>
        <w:rPr>
          <w:rFonts w:ascii="Times New Roman" w:hAnsi="Times New Roman"/>
          <w:i/>
          <w:sz w:val="24"/>
          <w:szCs w:val="24"/>
        </w:rPr>
      </w:pPr>
    </w:p>
    <w:p w:rsidR="00AE6BCB" w:rsidRDefault="00F155F0" w:rsidP="00F155F0">
      <w:pPr>
        <w:pStyle w:val="Nagwek1"/>
        <w:numPr>
          <w:ilvl w:val="0"/>
          <w:numId w:val="0"/>
        </w:numPr>
        <w:spacing w:line="240" w:lineRule="auto"/>
        <w:ind w:left="432" w:hanging="432"/>
        <w:rPr>
          <w:color w:val="0070C0"/>
          <w:lang w:val="pl-PL"/>
        </w:rPr>
      </w:pPr>
      <w:bookmarkStart w:id="35" w:name="__RefHeading__31934_2082197896"/>
      <w:bookmarkStart w:id="36" w:name="_Toc69477683"/>
      <w:bookmarkStart w:id="37" w:name="_Toc69372231"/>
      <w:bookmarkEnd w:id="35"/>
      <w:r>
        <w:rPr>
          <w:color w:val="0070C0"/>
          <w:lang w:val="pl-PL"/>
        </w:rPr>
        <w:t>VI</w:t>
      </w:r>
      <w:r w:rsidR="007E6857">
        <w:rPr>
          <w:color w:val="0070C0"/>
          <w:lang w:val="pl-PL"/>
        </w:rPr>
        <w:t>I</w:t>
      </w:r>
      <w:r>
        <w:rPr>
          <w:color w:val="0070C0"/>
          <w:lang w:val="pl-PL"/>
        </w:rPr>
        <w:t xml:space="preserve">. </w:t>
      </w:r>
      <w:r w:rsidR="00AE6BCB">
        <w:rPr>
          <w:color w:val="0070C0"/>
          <w:lang w:val="pl-PL"/>
        </w:rPr>
        <w:t>LOKALNY RYNEK PRACY, WSPIERANIE PRZEDSIĘBIORCZOŚCI, WSPÓŁPRACA Z UCZELNIAMI WYŻSZYMI</w:t>
      </w:r>
      <w:bookmarkEnd w:id="36"/>
      <w:bookmarkEnd w:id="37"/>
    </w:p>
    <w:p w:rsidR="00AE6BCB" w:rsidRDefault="00AE6BCB" w:rsidP="009C7C02">
      <w:pPr>
        <w:pStyle w:val="Nagwek2"/>
        <w:spacing w:before="0" w:after="0" w:line="240" w:lineRule="auto"/>
        <w:rPr>
          <w:color w:val="0070C0"/>
          <w:sz w:val="24"/>
          <w:lang w:val="pl-PL"/>
        </w:rPr>
      </w:pPr>
    </w:p>
    <w:p w:rsidR="00AE6BCB" w:rsidRPr="00FA67F5" w:rsidRDefault="00AE6BCB" w:rsidP="009C7C02">
      <w:pPr>
        <w:pStyle w:val="Nagwek2"/>
        <w:spacing w:before="0" w:after="0" w:line="240" w:lineRule="auto"/>
        <w:rPr>
          <w:rFonts w:ascii="Times New Roman" w:hAnsi="Times New Roman" w:cs="Times New Roman"/>
          <w:sz w:val="24"/>
          <w:szCs w:val="24"/>
          <w:lang w:val="pl-PL"/>
        </w:rPr>
      </w:pPr>
      <w:bookmarkStart w:id="38" w:name="__RefHeading__31936_2082197896"/>
      <w:bookmarkStart w:id="39" w:name="_Toc69477685"/>
      <w:bookmarkStart w:id="40" w:name="_Toc69372233"/>
      <w:bookmarkEnd w:id="38"/>
      <w:r w:rsidRPr="00FA67F5">
        <w:rPr>
          <w:rFonts w:ascii="Times New Roman" w:hAnsi="Times New Roman" w:cs="Times New Roman"/>
          <w:color w:val="0070C0"/>
          <w:sz w:val="24"/>
          <w:lang w:val="pl-PL"/>
        </w:rPr>
        <w:t>Bezrobocie na lokalnym rynku pracy</w:t>
      </w:r>
      <w:bookmarkEnd w:id="39"/>
      <w:bookmarkEnd w:id="40"/>
    </w:p>
    <w:p w:rsidR="00AE6BCB" w:rsidRDefault="00AE6BCB" w:rsidP="009C7C02">
      <w:pPr>
        <w:spacing w:line="240" w:lineRule="auto"/>
        <w:ind w:firstLine="709"/>
        <w:jc w:val="both"/>
        <w:rPr>
          <w:lang w:val="pl-PL"/>
        </w:rPr>
      </w:pPr>
      <w:r>
        <w:rPr>
          <w:lang w:val="pl-PL"/>
        </w:rPr>
        <w:t xml:space="preserve">Według stanu na dzień </w:t>
      </w:r>
      <w:r>
        <w:rPr>
          <w:bCs/>
          <w:lang w:val="pl-PL"/>
        </w:rPr>
        <w:t xml:space="preserve">31.12.2020 r. w Powiatowym Urzędzie Pracy dla Miasta Torunia zarejestrowanych było </w:t>
      </w:r>
      <w:r>
        <w:rPr>
          <w:lang w:val="pl-PL"/>
        </w:rPr>
        <w:t>4</w:t>
      </w:r>
      <w:r w:rsidR="00DD0878">
        <w:rPr>
          <w:lang w:val="pl-PL"/>
        </w:rPr>
        <w:t>.</w:t>
      </w:r>
      <w:r>
        <w:rPr>
          <w:lang w:val="pl-PL"/>
        </w:rPr>
        <w:t xml:space="preserve">398 </w:t>
      </w:r>
      <w:r>
        <w:rPr>
          <w:bCs/>
          <w:lang w:val="pl-PL"/>
        </w:rPr>
        <w:t>osób bezrobotnych, w tym 2</w:t>
      </w:r>
      <w:r w:rsidR="00DD0878">
        <w:rPr>
          <w:bCs/>
          <w:lang w:val="pl-PL"/>
        </w:rPr>
        <w:t>.</w:t>
      </w:r>
      <w:r>
        <w:rPr>
          <w:bCs/>
          <w:lang w:val="pl-PL"/>
        </w:rPr>
        <w:t>466 kobiet (56 %). Było to o 524 osoby (11,9 %) więcej niż na koniec 2019 r. W końcu 2020 r. wskaźnik osób zarejestrowanych z prawem do zasiłku wyniósł 638 (14,5%) i w porównaniu z rokiem wcześniejszym odnotowano wzrost o 56 osób (8,8%). Po raz pierwszy zarejestrowało się 1</w:t>
      </w:r>
      <w:r w:rsidR="00DD0878">
        <w:rPr>
          <w:bCs/>
          <w:lang w:val="pl-PL"/>
        </w:rPr>
        <w:t>.</w:t>
      </w:r>
      <w:r>
        <w:rPr>
          <w:bCs/>
          <w:lang w:val="pl-PL"/>
        </w:rPr>
        <w:t>071 osób (w tym 617 kobiet), po raz kolejny 3</w:t>
      </w:r>
      <w:r w:rsidR="00D44502">
        <w:rPr>
          <w:bCs/>
          <w:lang w:val="pl-PL"/>
        </w:rPr>
        <w:t>.</w:t>
      </w:r>
      <w:r>
        <w:rPr>
          <w:bCs/>
          <w:lang w:val="pl-PL"/>
        </w:rPr>
        <w:t>755 (w tym 2</w:t>
      </w:r>
      <w:r w:rsidR="00DD0878">
        <w:rPr>
          <w:bCs/>
          <w:lang w:val="pl-PL"/>
        </w:rPr>
        <w:t>.</w:t>
      </w:r>
      <w:r>
        <w:rPr>
          <w:bCs/>
          <w:lang w:val="pl-PL"/>
        </w:rPr>
        <w:t xml:space="preserve">014 kobiet). Ponad 77,8 % stanowiły osoby ponownie rejestrujące się w Urzędzie. </w:t>
      </w:r>
    </w:p>
    <w:p w:rsidR="00AE6BCB" w:rsidRDefault="00AE6BCB" w:rsidP="009C7C02">
      <w:pPr>
        <w:spacing w:line="240" w:lineRule="auto"/>
        <w:jc w:val="both"/>
        <w:rPr>
          <w:bCs/>
          <w:lang w:val="pl-PL"/>
        </w:rPr>
      </w:pPr>
      <w:r>
        <w:rPr>
          <w:lang w:val="pl-PL"/>
        </w:rPr>
        <w:t>Stopa bezrobocia w mieście na koniec grudnia 2020 r. wyniosła 4</w:t>
      </w:r>
      <w:r w:rsidR="00D44502">
        <w:rPr>
          <w:lang w:val="pl-PL"/>
        </w:rPr>
        <w:t xml:space="preserve">,6%, w województwie natomiast </w:t>
      </w:r>
      <w:r>
        <w:rPr>
          <w:lang w:val="pl-PL"/>
        </w:rPr>
        <w:t xml:space="preserve">8,9%. Dla porównania – na koniec 2019 r. w Toruniu było to 4,1% </w:t>
      </w:r>
      <w:r w:rsidR="00FA67F5">
        <w:rPr>
          <w:lang w:val="pl-PL"/>
        </w:rPr>
        <w:br/>
      </w:r>
      <w:r>
        <w:rPr>
          <w:lang w:val="pl-PL"/>
        </w:rPr>
        <w:t xml:space="preserve">w województwie 7,8%. W 2020 r. </w:t>
      </w:r>
      <w:r w:rsidR="00D44502">
        <w:rPr>
          <w:lang w:val="pl-PL"/>
        </w:rPr>
        <w:t xml:space="preserve">stopa bezrobocia </w:t>
      </w:r>
      <w:r>
        <w:rPr>
          <w:lang w:val="pl-PL"/>
        </w:rPr>
        <w:t>kształtow</w:t>
      </w:r>
      <w:r w:rsidR="00DD0878">
        <w:rPr>
          <w:lang w:val="pl-PL"/>
        </w:rPr>
        <w:t xml:space="preserve">ała się na średnim poziomie 4,4% </w:t>
      </w:r>
      <w:r>
        <w:rPr>
          <w:lang w:val="pl-PL"/>
        </w:rPr>
        <w:t>(najniższy zanotowano w marcu 2020 r. – 4,1</w:t>
      </w:r>
      <w:r w:rsidR="00DD0878">
        <w:rPr>
          <w:lang w:val="pl-PL"/>
        </w:rPr>
        <w:t>%</w:t>
      </w:r>
      <w:r>
        <w:rPr>
          <w:lang w:val="pl-PL"/>
        </w:rPr>
        <w:t>), z kolei w województwie wskaźnik ten wyniósł 8,5</w:t>
      </w:r>
      <w:r w:rsidR="00DD0878">
        <w:rPr>
          <w:lang w:val="pl-PL"/>
        </w:rPr>
        <w:t>%</w:t>
      </w:r>
      <w:r>
        <w:rPr>
          <w:lang w:val="pl-PL"/>
        </w:rPr>
        <w:t xml:space="preserve"> (najniższy również w marcu 2020 – 7,9</w:t>
      </w:r>
      <w:r w:rsidR="00DD0878">
        <w:rPr>
          <w:lang w:val="pl-PL"/>
        </w:rPr>
        <w:t>%</w:t>
      </w:r>
      <w:r>
        <w:rPr>
          <w:lang w:val="pl-PL"/>
        </w:rPr>
        <w:t xml:space="preserve">). </w:t>
      </w:r>
      <w:r>
        <w:rPr>
          <w:bCs/>
          <w:lang w:val="pl-PL"/>
        </w:rPr>
        <w:t>W końcu grudnia 2020 r. w PUP dla MT pozostawało łącznie 215 osób zwolnionych z przyczyn dotyczących zakładu pracy. Stanowiły one 4,9% ogółu zarejestrowanych (wskaźnik w stosunku do poprzedniego roku uległ zwiększeniu o 0,8</w:t>
      </w:r>
      <w:r w:rsidR="00DD0878">
        <w:rPr>
          <w:bCs/>
          <w:lang w:val="pl-PL"/>
        </w:rPr>
        <w:t>%</w:t>
      </w:r>
      <w:r>
        <w:rPr>
          <w:bCs/>
          <w:lang w:val="pl-PL"/>
        </w:rPr>
        <w:t>). W 2020 r. zarejestrowano w tutejszym Urzędzie:</w:t>
      </w:r>
    </w:p>
    <w:p w:rsidR="00AE6BCB" w:rsidRDefault="00AE6BCB" w:rsidP="00912BD8">
      <w:pPr>
        <w:numPr>
          <w:ilvl w:val="0"/>
          <w:numId w:val="31"/>
        </w:numPr>
        <w:spacing w:line="240" w:lineRule="auto"/>
        <w:jc w:val="both"/>
        <w:rPr>
          <w:bCs/>
          <w:lang w:val="pl-PL"/>
        </w:rPr>
      </w:pPr>
      <w:r w:rsidRPr="00FA67F5">
        <w:rPr>
          <w:bCs/>
          <w:lang w:val="pl-PL"/>
        </w:rPr>
        <w:t>4</w:t>
      </w:r>
      <w:r w:rsidR="00DD0878" w:rsidRPr="00FA67F5">
        <w:rPr>
          <w:bCs/>
          <w:lang w:val="pl-PL"/>
        </w:rPr>
        <w:t>.</w:t>
      </w:r>
      <w:r w:rsidRPr="00FA67F5">
        <w:rPr>
          <w:bCs/>
          <w:lang w:val="pl-PL"/>
        </w:rPr>
        <w:t>826 osób (w tym 2</w:t>
      </w:r>
      <w:r w:rsidR="00DD0878" w:rsidRPr="00FA67F5">
        <w:rPr>
          <w:bCs/>
          <w:lang w:val="pl-PL"/>
        </w:rPr>
        <w:t>.</w:t>
      </w:r>
      <w:r w:rsidRPr="00FA67F5">
        <w:rPr>
          <w:bCs/>
          <w:lang w:val="pl-PL"/>
        </w:rPr>
        <w:t>631 kobiet stanowiących 54,5%) – 93,8% było osobami poprzednio pracującymi,</w:t>
      </w:r>
    </w:p>
    <w:p w:rsidR="00AE6BCB" w:rsidRDefault="00AE6BCB" w:rsidP="00912BD8">
      <w:pPr>
        <w:numPr>
          <w:ilvl w:val="0"/>
          <w:numId w:val="31"/>
        </w:numPr>
        <w:spacing w:line="240" w:lineRule="auto"/>
        <w:jc w:val="both"/>
        <w:rPr>
          <w:bCs/>
          <w:lang w:val="pl-PL"/>
        </w:rPr>
      </w:pPr>
      <w:r w:rsidRPr="00FA67F5">
        <w:rPr>
          <w:bCs/>
          <w:lang w:val="pl-PL"/>
        </w:rPr>
        <w:t xml:space="preserve">322 osoby w okresie do 12 miesięcy od ukończenia nauki (w tym 203 kobiety) – </w:t>
      </w:r>
      <w:r w:rsidR="00FA67F5" w:rsidRPr="00FA67F5">
        <w:rPr>
          <w:bCs/>
          <w:lang w:val="pl-PL"/>
        </w:rPr>
        <w:br/>
      </w:r>
      <w:r w:rsidR="00FA67F5">
        <w:rPr>
          <w:bCs/>
          <w:lang w:val="pl-PL"/>
        </w:rPr>
        <w:t xml:space="preserve">w końcu 2020 </w:t>
      </w:r>
      <w:r w:rsidRPr="00FA67F5">
        <w:rPr>
          <w:bCs/>
          <w:lang w:val="pl-PL"/>
        </w:rPr>
        <w:t>r. liczba ich wyniosła 96 (w tym 60 kobiet),</w:t>
      </w:r>
    </w:p>
    <w:p w:rsidR="00AE6BCB" w:rsidRPr="00FA67F5" w:rsidRDefault="00AE6BCB" w:rsidP="00912BD8">
      <w:pPr>
        <w:numPr>
          <w:ilvl w:val="0"/>
          <w:numId w:val="31"/>
        </w:numPr>
        <w:spacing w:line="240" w:lineRule="auto"/>
        <w:jc w:val="both"/>
        <w:rPr>
          <w:bCs/>
          <w:lang w:val="pl-PL"/>
        </w:rPr>
      </w:pPr>
      <w:r w:rsidRPr="00FA67F5">
        <w:rPr>
          <w:bCs/>
          <w:lang w:val="pl-PL"/>
        </w:rPr>
        <w:t>21 cudzoziemców (w tym 16 kobiet), z których 2 posiadały prawo do zasiłku.</w:t>
      </w:r>
    </w:p>
    <w:p w:rsidR="00AE6BCB" w:rsidRDefault="00AE6BCB" w:rsidP="009C7C02">
      <w:pPr>
        <w:tabs>
          <w:tab w:val="left" w:pos="-5670"/>
        </w:tabs>
        <w:spacing w:line="240" w:lineRule="auto"/>
        <w:ind w:firstLine="709"/>
        <w:jc w:val="both"/>
        <w:rPr>
          <w:lang w:val="pl-PL"/>
        </w:rPr>
      </w:pPr>
      <w:r>
        <w:rPr>
          <w:bCs/>
          <w:lang w:val="pl-PL"/>
        </w:rPr>
        <w:t xml:space="preserve">Znaczny odsetek osób bezrobotnych w rejestrach PUP dla MT stanowiły osoby </w:t>
      </w:r>
      <w:r w:rsidR="00FA67F5">
        <w:rPr>
          <w:bCs/>
          <w:lang w:val="pl-PL"/>
        </w:rPr>
        <w:br/>
      </w:r>
      <w:r>
        <w:rPr>
          <w:bCs/>
          <w:lang w:val="pl-PL"/>
        </w:rPr>
        <w:t xml:space="preserve">z wiodących grup (bezrobotni do 30 roku życia, </w:t>
      </w:r>
      <w:r>
        <w:rPr>
          <w:lang w:val="pl-PL"/>
        </w:rPr>
        <w:t>bezrobotni do 25 roku życia</w:t>
      </w:r>
      <w:r>
        <w:rPr>
          <w:bCs/>
          <w:lang w:val="pl-PL"/>
        </w:rPr>
        <w:t xml:space="preserve">, długotrwale </w:t>
      </w:r>
      <w:r>
        <w:rPr>
          <w:bCs/>
          <w:lang w:val="pl-PL"/>
        </w:rPr>
        <w:lastRenderedPageBreak/>
        <w:t xml:space="preserve">bezrobotni, powyżej 50 roku życia, posiadające co najmniej 1 dziecko do 6 roku życia </w:t>
      </w:r>
      <w:r>
        <w:rPr>
          <w:lang w:val="pl-PL"/>
        </w:rPr>
        <w:t>lub dziecko niepełnosprawne do 18 roku życia</w:t>
      </w:r>
      <w:r>
        <w:rPr>
          <w:bCs/>
          <w:lang w:val="pl-PL"/>
        </w:rPr>
        <w:t>, niepełn</w:t>
      </w:r>
      <w:r w:rsidR="00D44502">
        <w:rPr>
          <w:bCs/>
          <w:lang w:val="pl-PL"/>
        </w:rPr>
        <w:t xml:space="preserve">osprawni). Na koniec grudnia 2020 </w:t>
      </w:r>
      <w:r>
        <w:rPr>
          <w:bCs/>
          <w:lang w:val="pl-PL"/>
        </w:rPr>
        <w:t>r. było to 3</w:t>
      </w:r>
      <w:r w:rsidR="00611A6D">
        <w:rPr>
          <w:bCs/>
          <w:lang w:val="pl-PL"/>
        </w:rPr>
        <w:t>.520 osób, stanowiących 80</w:t>
      </w:r>
      <w:r>
        <w:rPr>
          <w:bCs/>
          <w:lang w:val="pl-PL"/>
        </w:rPr>
        <w:t xml:space="preserve">% ogółu bezrobotnych. </w:t>
      </w:r>
      <w:r w:rsidR="00D44502">
        <w:rPr>
          <w:bCs/>
          <w:lang w:val="pl-PL"/>
        </w:rPr>
        <w:t>Dla porównania - n</w:t>
      </w:r>
      <w:r>
        <w:rPr>
          <w:bCs/>
          <w:lang w:val="pl-PL"/>
        </w:rPr>
        <w:t xml:space="preserve">a koniec </w:t>
      </w:r>
      <w:r w:rsidR="00D44502">
        <w:rPr>
          <w:bCs/>
          <w:lang w:val="pl-PL"/>
        </w:rPr>
        <w:t>2019 r.</w:t>
      </w:r>
      <w:r>
        <w:rPr>
          <w:bCs/>
          <w:lang w:val="pl-PL"/>
        </w:rPr>
        <w:t xml:space="preserve"> zanotowano ich 3</w:t>
      </w:r>
      <w:r w:rsidR="00611A6D">
        <w:rPr>
          <w:bCs/>
          <w:lang w:val="pl-PL"/>
        </w:rPr>
        <w:t>.</w:t>
      </w:r>
      <w:r>
        <w:rPr>
          <w:bCs/>
          <w:lang w:val="pl-PL"/>
        </w:rPr>
        <w:t xml:space="preserve">112 (80,3% ogółu zarejestrowanych). </w:t>
      </w:r>
    </w:p>
    <w:p w:rsidR="00AE6BCB" w:rsidRDefault="00AE6BCB" w:rsidP="009C7C02">
      <w:pPr>
        <w:spacing w:line="240" w:lineRule="auto"/>
        <w:ind w:firstLine="709"/>
        <w:jc w:val="both"/>
        <w:rPr>
          <w:lang w:val="pl-PL"/>
        </w:rPr>
      </w:pPr>
      <w:r>
        <w:rPr>
          <w:lang w:val="pl-PL"/>
        </w:rPr>
        <w:t xml:space="preserve">PUP dla MT w 2020 r. realizował aktywne formy przeciwdziałania bezrobociu, na które wydatkowano środki Funduszu Pracy w wysokości </w:t>
      </w:r>
      <w:r w:rsidR="00611A6D">
        <w:rPr>
          <w:lang w:val="pl-PL"/>
        </w:rPr>
        <w:t xml:space="preserve">ponad </w:t>
      </w:r>
      <w:r>
        <w:rPr>
          <w:lang w:val="pl-PL"/>
        </w:rPr>
        <w:t>1</w:t>
      </w:r>
      <w:r w:rsidR="00611A6D">
        <w:rPr>
          <w:lang w:val="pl-PL"/>
        </w:rPr>
        <w:t>.900</w:t>
      </w:r>
      <w:r>
        <w:rPr>
          <w:lang w:val="pl-PL"/>
        </w:rPr>
        <w:t xml:space="preserve"> tys. zł. </w:t>
      </w:r>
      <w:r w:rsidR="00FA67F5">
        <w:rPr>
          <w:lang w:val="pl-PL"/>
        </w:rPr>
        <w:br/>
      </w:r>
      <w:r>
        <w:rPr>
          <w:lang w:val="pl-PL"/>
        </w:rPr>
        <w:t>W szczególności działania urzędu skierowane były na realizację staży, dotacji na rozpoczęcie działalności gospodarczej, skierowanie bezrobotnych do odbycia szkoleń zawodowych, refundacji kosztów wyposażenia lub doposażenia stanowiska pracy.</w:t>
      </w:r>
    </w:p>
    <w:p w:rsidR="00AE6BCB" w:rsidRDefault="00AE6BCB" w:rsidP="009C7C02">
      <w:pPr>
        <w:spacing w:line="240" w:lineRule="auto"/>
        <w:ind w:firstLine="709"/>
        <w:jc w:val="both"/>
        <w:rPr>
          <w:lang w:val="pl-PL"/>
        </w:rPr>
      </w:pPr>
      <w:r>
        <w:rPr>
          <w:lang w:val="pl-PL"/>
        </w:rPr>
        <w:t xml:space="preserve">PUP dla MT korzysta z możliwości pozyskiwania środków z Europejskiego Funduszu Społecznego, które skierowane są zarówno do osób bezrobotnych i toruńskich pracodawców. Projekty realizowane były zarówno samodzielnie jak i w partnerstwie z toruńskimi instytucjami lokalnego rynku pracy. Pozyskane środki przeznaczono na działania aktywizacyjne w postaci staży, szkoleń, a także dofinansowań na różnego rodzaju pomoc </w:t>
      </w:r>
      <w:r w:rsidR="00655D5C">
        <w:rPr>
          <w:lang w:val="pl-PL"/>
        </w:rPr>
        <w:br/>
      </w:r>
      <w:r>
        <w:rPr>
          <w:lang w:val="pl-PL"/>
        </w:rPr>
        <w:t xml:space="preserve">w tworzeniu nowych miejsc pracy czy doposażaniu istniejących już stanowisk, prace interwencyjne, bony na zasiedlenie. Ponadto Urząd korzysta ze środków Krajowego Funduszu Szkoleniowego, jako instrumentu adresowanego zarówno do pracowników, jak </w:t>
      </w:r>
      <w:r w:rsidR="00655D5C">
        <w:rPr>
          <w:lang w:val="pl-PL"/>
        </w:rPr>
        <w:br/>
      </w:r>
      <w:r>
        <w:rPr>
          <w:lang w:val="pl-PL"/>
        </w:rPr>
        <w:t xml:space="preserve">i pracodawców chcących skorzystać z różnych form kształcenia ustawicznego. W 2020 r. podpisano 88 umów z pracodawcami, w ramach których objęto wsparciem 384 osoby </w:t>
      </w:r>
      <w:r w:rsidR="00655D5C">
        <w:rPr>
          <w:lang w:val="pl-PL"/>
        </w:rPr>
        <w:br/>
      </w:r>
      <w:r>
        <w:rPr>
          <w:lang w:val="pl-PL"/>
        </w:rPr>
        <w:t>(z kursów skorzystało 380 osób, ze studiów podyplomowych – 4 osoby).</w:t>
      </w:r>
    </w:p>
    <w:p w:rsidR="00AE6BCB" w:rsidRDefault="00AE6BCB" w:rsidP="009C7C02">
      <w:pPr>
        <w:spacing w:line="240" w:lineRule="auto"/>
        <w:ind w:firstLine="709"/>
        <w:jc w:val="both"/>
        <w:rPr>
          <w:lang w:val="pl-PL"/>
        </w:rPr>
      </w:pPr>
      <w:r>
        <w:rPr>
          <w:lang w:val="pl-PL"/>
        </w:rPr>
        <w:t xml:space="preserve">W 2020 r. realizowano projekty własne: „Aktywizacja osób młodych pozostających bez pracy w Toruniu (IV)”, „Wsparcie aktywności zawodowej osób bezrobotnych w Toruniu (IV)”, „Aktywna Kobieta”, „Młodzież aktywna społecznie”, „Nowe możliwości” oraz partnerskie „Wspieramy mamy”, „Aktywna Stokrotka” III i IV – programy reintegracji </w:t>
      </w:r>
      <w:r w:rsidR="00655D5C">
        <w:rPr>
          <w:lang w:val="pl-PL"/>
        </w:rPr>
        <w:br/>
      </w:r>
      <w:r>
        <w:rPr>
          <w:lang w:val="pl-PL"/>
        </w:rPr>
        <w:t xml:space="preserve">w ramach Centrum Integracji Społecznej, „Stokrotka przyszłość” – program reintegracji </w:t>
      </w:r>
      <w:r w:rsidR="00655D5C">
        <w:rPr>
          <w:lang w:val="pl-PL"/>
        </w:rPr>
        <w:br/>
      </w:r>
      <w:r>
        <w:rPr>
          <w:lang w:val="pl-PL"/>
        </w:rPr>
        <w:t>w ramach Centrum Integracji Społecznej, „Wspieranie przechodzenia ze szkoły na rynek pracy – innowacyjne modele współpracy publicznych służb zatrudnienia ze szkołami zawodowymi”, „Aktywna mama, aktywny tata”.</w:t>
      </w:r>
    </w:p>
    <w:p w:rsidR="00AE6BCB" w:rsidRDefault="00AE6BCB" w:rsidP="009C7C02">
      <w:pPr>
        <w:spacing w:line="240" w:lineRule="auto"/>
        <w:ind w:firstLine="709"/>
        <w:jc w:val="both"/>
        <w:rPr>
          <w:i/>
          <w:iCs/>
          <w:lang w:val="pl-PL"/>
        </w:rPr>
      </w:pPr>
      <w:r>
        <w:rPr>
          <w:lang w:val="pl-PL"/>
        </w:rPr>
        <w:t>Rok 2020 zdominowany był również przez działania związane</w:t>
      </w:r>
      <w:r w:rsidR="00D44502">
        <w:rPr>
          <w:lang w:val="pl-PL"/>
        </w:rPr>
        <w:t xml:space="preserve"> ze stanem epidemii</w:t>
      </w:r>
      <w:r>
        <w:rPr>
          <w:lang w:val="pl-PL"/>
        </w:rPr>
        <w:t>. Zgodnie z ustawą z dnia 31 marca 2020 r. o zmianie ustawy o szczególnych rozwiązaniach związanych z zapobieganiem, przeciwdzi</w:t>
      </w:r>
      <w:r w:rsidR="00611A6D">
        <w:rPr>
          <w:lang w:val="pl-PL"/>
        </w:rPr>
        <w:t xml:space="preserve">ałaniem i zwalczaniem COVID-19 (…) </w:t>
      </w:r>
      <w:r>
        <w:rPr>
          <w:lang w:val="pl-PL"/>
        </w:rPr>
        <w:t>i w ramach Tarczy Antykryzysowej realizowane były nowe instrumenty wsparcia. W 2</w:t>
      </w:r>
      <w:r w:rsidR="00611A6D">
        <w:rPr>
          <w:lang w:val="pl-PL"/>
        </w:rPr>
        <w:t>020 r. PUP dla MT rozpatrzył 17.160 wniosków. Łącznie zawarł 14.</w:t>
      </w:r>
      <w:r>
        <w:rPr>
          <w:lang w:val="pl-PL"/>
        </w:rPr>
        <w:t>982 umowy. Suma wyp</w:t>
      </w:r>
      <w:r w:rsidR="00611A6D">
        <w:rPr>
          <w:lang w:val="pl-PL"/>
        </w:rPr>
        <w:t>łaconych pieniędzy to ponad 100.325 tys.</w:t>
      </w:r>
      <w:r w:rsidR="00D44502">
        <w:rPr>
          <w:lang w:val="pl-PL"/>
        </w:rPr>
        <w:t xml:space="preserve"> zł.</w:t>
      </w:r>
    </w:p>
    <w:p w:rsidR="00AE6BCB" w:rsidRDefault="00AE6BCB" w:rsidP="009C7C02">
      <w:pPr>
        <w:spacing w:line="240" w:lineRule="auto"/>
        <w:ind w:firstLine="709"/>
        <w:jc w:val="both"/>
        <w:rPr>
          <w:color w:val="FF0000"/>
          <w:lang w:val="pl-PL"/>
        </w:rPr>
      </w:pPr>
      <w:r>
        <w:rPr>
          <w:i/>
          <w:iCs/>
          <w:lang w:val="pl-PL"/>
        </w:rPr>
        <w:t>Szczegółowe sprawozdanie z realizacji „</w:t>
      </w:r>
      <w:r>
        <w:rPr>
          <w:b/>
          <w:i/>
          <w:iCs/>
          <w:lang w:val="pl-PL"/>
        </w:rPr>
        <w:t>Miejskiego programu promocji zatrudnienia i aktywizacji lokalnego rynku pracy do 2020 r</w:t>
      </w:r>
      <w:r>
        <w:rPr>
          <w:i/>
          <w:iCs/>
          <w:lang w:val="pl-PL"/>
        </w:rPr>
        <w:t>.” zawiera odrębna informacja przedkładana Radzie Miasta Torunia zgodnie z procedurą.</w:t>
      </w:r>
    </w:p>
    <w:p w:rsidR="00AE6BCB" w:rsidRDefault="00AE6BCB" w:rsidP="009C7C02">
      <w:pPr>
        <w:spacing w:line="240" w:lineRule="auto"/>
        <w:jc w:val="both"/>
        <w:rPr>
          <w:color w:val="FF0000"/>
          <w:lang w:val="pl-PL"/>
        </w:rPr>
      </w:pPr>
    </w:p>
    <w:p w:rsidR="00AE6BCB" w:rsidRPr="00655D5C" w:rsidRDefault="00AE6BCB" w:rsidP="009C7C02">
      <w:pPr>
        <w:pStyle w:val="Nagwek2"/>
        <w:spacing w:before="0" w:after="0" w:line="240" w:lineRule="auto"/>
        <w:rPr>
          <w:rFonts w:ascii="Times New Roman" w:hAnsi="Times New Roman" w:cs="Times New Roman"/>
          <w:sz w:val="24"/>
          <w:szCs w:val="24"/>
          <w:lang w:val="pl-PL"/>
        </w:rPr>
      </w:pPr>
      <w:bookmarkStart w:id="41" w:name="__RefHeading__31938_2082197896"/>
      <w:bookmarkStart w:id="42" w:name="_Toc69477686"/>
      <w:bookmarkStart w:id="43" w:name="_Toc69372234"/>
      <w:bookmarkEnd w:id="41"/>
      <w:r w:rsidRPr="00655D5C">
        <w:rPr>
          <w:rFonts w:ascii="Times New Roman" w:hAnsi="Times New Roman" w:cs="Times New Roman"/>
          <w:color w:val="0070C0"/>
          <w:sz w:val="24"/>
          <w:lang w:val="pl-PL"/>
        </w:rPr>
        <w:t>Program wspierania przedsiębiorczości</w:t>
      </w:r>
      <w:bookmarkEnd w:id="42"/>
      <w:bookmarkEnd w:id="43"/>
      <w:r w:rsidRPr="00655D5C">
        <w:rPr>
          <w:rFonts w:ascii="Times New Roman" w:hAnsi="Times New Roman" w:cs="Times New Roman"/>
          <w:color w:val="0070C0"/>
          <w:sz w:val="24"/>
          <w:lang w:val="pl-PL"/>
        </w:rPr>
        <w:t xml:space="preserve"> </w:t>
      </w:r>
    </w:p>
    <w:p w:rsidR="00AE6BCB" w:rsidRDefault="00AE6BCB" w:rsidP="009C7C02">
      <w:pPr>
        <w:spacing w:line="240" w:lineRule="auto"/>
        <w:ind w:firstLine="709"/>
        <w:jc w:val="both"/>
        <w:rPr>
          <w:b/>
          <w:lang w:val="pl-PL"/>
        </w:rPr>
      </w:pPr>
      <w:r>
        <w:rPr>
          <w:lang w:val="pl-PL"/>
        </w:rPr>
        <w:t>W ramach „</w:t>
      </w:r>
      <w:r>
        <w:rPr>
          <w:b/>
          <w:lang w:val="pl-PL"/>
        </w:rPr>
        <w:t>Programu wspierania przedsiębiorczości na lata 2014–2020</w:t>
      </w:r>
      <w:r>
        <w:rPr>
          <w:lang w:val="pl-PL"/>
        </w:rPr>
        <w:t xml:space="preserve">”, przyjętego uchwałą Rady Miasta Torunia nr 631/13 z dnia 24 października 2013 r., realizowano: </w:t>
      </w:r>
    </w:p>
    <w:p w:rsidR="00AE6BCB" w:rsidRDefault="00AE6BCB" w:rsidP="00912BD8">
      <w:pPr>
        <w:pStyle w:val="ListParagraph"/>
        <w:numPr>
          <w:ilvl w:val="0"/>
          <w:numId w:val="6"/>
        </w:numPr>
        <w:spacing w:line="240" w:lineRule="auto"/>
        <w:ind w:left="357" w:hanging="357"/>
        <w:jc w:val="both"/>
        <w:rPr>
          <w:lang w:val="pl-PL"/>
        </w:rPr>
      </w:pPr>
      <w:r>
        <w:rPr>
          <w:b/>
          <w:lang w:val="pl-PL"/>
        </w:rPr>
        <w:t>Cel strategiczny I – Toruń – miastem przyjaznym lokalnym przedsiębiorcom</w:t>
      </w:r>
      <w:r>
        <w:rPr>
          <w:lang w:val="pl-PL"/>
        </w:rPr>
        <w:t>:</w:t>
      </w:r>
    </w:p>
    <w:p w:rsidR="00D44502" w:rsidRDefault="00AE6BCB" w:rsidP="009C7C02">
      <w:pPr>
        <w:pStyle w:val="ListParagraph"/>
        <w:numPr>
          <w:ilvl w:val="0"/>
          <w:numId w:val="77"/>
        </w:numPr>
        <w:spacing w:line="240" w:lineRule="auto"/>
        <w:jc w:val="both"/>
        <w:rPr>
          <w:lang w:val="pl-PL"/>
        </w:rPr>
      </w:pPr>
      <w:r w:rsidRPr="00D44502">
        <w:rPr>
          <w:lang w:val="pl-PL"/>
        </w:rPr>
        <w:t>poprzez wsparcie finansowe dla osób zakładających firmy z wybranych grup. W okresie sprawozdawczym udzielono 210 poręczeń (Toruń</w:t>
      </w:r>
      <w:r w:rsidR="00611A6D" w:rsidRPr="00D44502">
        <w:rPr>
          <w:lang w:val="pl-PL"/>
        </w:rPr>
        <w:t xml:space="preserve"> - </w:t>
      </w:r>
      <w:r w:rsidRPr="00D44502">
        <w:rPr>
          <w:lang w:val="pl-PL"/>
        </w:rPr>
        <w:t>83). Korzystające z nich podmioty zadeklarowały utw</w:t>
      </w:r>
      <w:r w:rsidR="00611A6D" w:rsidRPr="00D44502">
        <w:rPr>
          <w:lang w:val="pl-PL"/>
        </w:rPr>
        <w:t xml:space="preserve">orzenie 332 miejsc pracy (Toruń - </w:t>
      </w:r>
      <w:r w:rsidRPr="00D44502">
        <w:rPr>
          <w:lang w:val="pl-PL"/>
        </w:rPr>
        <w:t>152). Wartość udzielon</w:t>
      </w:r>
      <w:r w:rsidR="00611A6D" w:rsidRPr="00D44502">
        <w:rPr>
          <w:lang w:val="pl-PL"/>
        </w:rPr>
        <w:t>ych poręczeń wyniosła prawie 17.746 tys. zł (Toruń - ponad 5.724 tys.</w:t>
      </w:r>
      <w:r w:rsidRPr="00D44502">
        <w:rPr>
          <w:lang w:val="pl-PL"/>
        </w:rPr>
        <w:t xml:space="preserve"> zł), a wartość poręczonych kr</w:t>
      </w:r>
      <w:r w:rsidR="00611A6D" w:rsidRPr="00D44502">
        <w:rPr>
          <w:lang w:val="pl-PL"/>
        </w:rPr>
        <w:t>edytów -  prawie 35.518 tys.</w:t>
      </w:r>
      <w:r w:rsidRPr="00D44502">
        <w:rPr>
          <w:lang w:val="pl-PL"/>
        </w:rPr>
        <w:t xml:space="preserve"> </w:t>
      </w:r>
      <w:r w:rsidR="00611A6D" w:rsidRPr="00D44502">
        <w:rPr>
          <w:lang w:val="pl-PL"/>
        </w:rPr>
        <w:t xml:space="preserve">zł (Toruń - prawie 8.932 tys. </w:t>
      </w:r>
      <w:r w:rsidRPr="00D44502">
        <w:rPr>
          <w:lang w:val="pl-PL"/>
        </w:rPr>
        <w:t>zł);</w:t>
      </w:r>
    </w:p>
    <w:p w:rsidR="00D44502" w:rsidRDefault="00AE6BCB" w:rsidP="009C7C02">
      <w:pPr>
        <w:pStyle w:val="ListParagraph"/>
        <w:numPr>
          <w:ilvl w:val="0"/>
          <w:numId w:val="77"/>
        </w:numPr>
        <w:spacing w:line="240" w:lineRule="auto"/>
        <w:jc w:val="both"/>
        <w:rPr>
          <w:lang w:val="pl-PL"/>
        </w:rPr>
      </w:pPr>
      <w:r w:rsidRPr="00D44502">
        <w:rPr>
          <w:lang w:val="pl-PL"/>
        </w:rPr>
        <w:t xml:space="preserve">w ramach diagnozowania perspektywicznych kierunków prowadzenia działalności </w:t>
      </w:r>
      <w:r w:rsidRPr="00D44502">
        <w:rPr>
          <w:lang w:val="pl-PL"/>
        </w:rPr>
        <w:lastRenderedPageBreak/>
        <w:t>odnotowano w 2020r. ilość wszystkich podmiotów go</w:t>
      </w:r>
      <w:r w:rsidR="00611A6D" w:rsidRPr="00D44502">
        <w:rPr>
          <w:lang w:val="pl-PL"/>
        </w:rPr>
        <w:t>spodarczych zarejestrowanych: 2.</w:t>
      </w:r>
      <w:r w:rsidRPr="00D44502">
        <w:rPr>
          <w:lang w:val="pl-PL"/>
        </w:rPr>
        <w:t>239, w tym sektora publicznego – 440, se</w:t>
      </w:r>
      <w:r w:rsidR="00611A6D" w:rsidRPr="00D44502">
        <w:rPr>
          <w:lang w:val="pl-PL"/>
        </w:rPr>
        <w:t>ktora prywatnego – 26.</w:t>
      </w:r>
      <w:r w:rsidRPr="00D44502">
        <w:rPr>
          <w:lang w:val="pl-PL"/>
        </w:rPr>
        <w:t>361, a liczba aktywnych przedsiębiorstw wpis</w:t>
      </w:r>
      <w:r w:rsidR="00611A6D" w:rsidRPr="00D44502">
        <w:rPr>
          <w:lang w:val="pl-PL"/>
        </w:rPr>
        <w:t>anych do bazy CEIDG wyniosła 17.</w:t>
      </w:r>
      <w:r w:rsidR="00454FA0" w:rsidRPr="00D44502">
        <w:rPr>
          <w:lang w:val="pl-PL"/>
        </w:rPr>
        <w:t>564;</w:t>
      </w:r>
    </w:p>
    <w:p w:rsidR="00D44502" w:rsidRDefault="00AE6BCB" w:rsidP="009C7C02">
      <w:pPr>
        <w:pStyle w:val="ListParagraph"/>
        <w:numPr>
          <w:ilvl w:val="0"/>
          <w:numId w:val="77"/>
        </w:numPr>
        <w:spacing w:line="240" w:lineRule="auto"/>
        <w:jc w:val="both"/>
        <w:rPr>
          <w:lang w:val="pl-PL"/>
        </w:rPr>
      </w:pPr>
      <w:r w:rsidRPr="00D44502">
        <w:rPr>
          <w:lang w:val="pl-PL"/>
        </w:rPr>
        <w:t>w ramach rozwoju systemu ulg, w ramach zwolnień w podatkach i opłatach, celem aktywizacji przedsiębiorczości zwolnienia w podatku od nieruchomości w roku sprawozdawc</w:t>
      </w:r>
      <w:r w:rsidR="00611A6D" w:rsidRPr="00D44502">
        <w:rPr>
          <w:lang w:val="pl-PL"/>
        </w:rPr>
        <w:t>zym wyniosła na łączną kwotę ponad 3.414 tys.</w:t>
      </w:r>
      <w:r w:rsidRPr="00D44502">
        <w:rPr>
          <w:lang w:val="pl-PL"/>
        </w:rPr>
        <w:t xml:space="preserve"> zł dla 69 podmiotów. Nowych miejsc pracy na bazie tych działań utworzonych został 23, natomiast utrzymano miejsc</w:t>
      </w:r>
      <w:r w:rsidR="00454FA0" w:rsidRPr="00D44502">
        <w:rPr>
          <w:lang w:val="pl-PL"/>
        </w:rPr>
        <w:t xml:space="preserve"> pracy z poprzednich lat – 107;</w:t>
      </w:r>
    </w:p>
    <w:p w:rsidR="00D44502" w:rsidRDefault="00AE6BCB" w:rsidP="009C7C02">
      <w:pPr>
        <w:pStyle w:val="ListParagraph"/>
        <w:numPr>
          <w:ilvl w:val="0"/>
          <w:numId w:val="77"/>
        </w:numPr>
        <w:spacing w:line="240" w:lineRule="auto"/>
        <w:jc w:val="both"/>
        <w:rPr>
          <w:lang w:val="pl-PL"/>
        </w:rPr>
      </w:pPr>
      <w:r w:rsidRPr="00D44502">
        <w:rPr>
          <w:lang w:val="pl-PL"/>
        </w:rPr>
        <w:t xml:space="preserve">w ramach wsparcia procesu komercjalizacji badań podmiotom mającym siedzibę </w:t>
      </w:r>
      <w:r w:rsidR="002F2707">
        <w:rPr>
          <w:lang w:val="pl-PL"/>
        </w:rPr>
        <w:br/>
      </w:r>
      <w:r w:rsidRPr="00D44502">
        <w:rPr>
          <w:lang w:val="pl-PL"/>
        </w:rPr>
        <w:t>w Toruniu udzielone zostały 23 patenty (instytuty badawcze – 6, szkoły wyższe</w:t>
      </w:r>
      <w:r w:rsidR="00D44502">
        <w:rPr>
          <w:lang w:val="pl-PL"/>
        </w:rPr>
        <w:t xml:space="preserve"> – 11, sektor gospodarki – 6)</w:t>
      </w:r>
      <w:r w:rsidR="00454FA0" w:rsidRPr="00D44502">
        <w:rPr>
          <w:lang w:val="pl-PL"/>
        </w:rPr>
        <w:t>;</w:t>
      </w:r>
    </w:p>
    <w:p w:rsidR="00D44502" w:rsidRDefault="00AE6BCB" w:rsidP="009C7C02">
      <w:pPr>
        <w:pStyle w:val="ListParagraph"/>
        <w:numPr>
          <w:ilvl w:val="0"/>
          <w:numId w:val="77"/>
        </w:numPr>
        <w:spacing w:line="240" w:lineRule="auto"/>
        <w:jc w:val="both"/>
        <w:rPr>
          <w:lang w:val="pl-PL"/>
        </w:rPr>
      </w:pPr>
      <w:r w:rsidRPr="00D44502">
        <w:rPr>
          <w:lang w:val="pl-PL"/>
        </w:rPr>
        <w:t xml:space="preserve">w ramach wsparcia merytorycznego osób rozpoczynających działalność gospodarczą Centrum Wsparcia Biznesu w Toruniu zorganizowało skierowane do przedsiębiorców oraz osób które planują założyć własną działalność gospodarczą m.in.: warsztaty „Wsparcie na starcie” – 2 edycje, 13. edycja Światowego Tygodnia Przedsiębiorczości: </w:t>
      </w:r>
      <w:r w:rsidR="002F2707">
        <w:rPr>
          <w:lang w:val="pl-PL"/>
        </w:rPr>
        <w:br/>
      </w:r>
      <w:r w:rsidRPr="00D44502">
        <w:rPr>
          <w:lang w:val="pl-PL"/>
        </w:rPr>
        <w:t xml:space="preserve">11 wydarzeń, 350 uczestników, cykl dwudniowych szkoleń w ramach projektu </w:t>
      </w:r>
      <w:r w:rsidR="002F2707">
        <w:rPr>
          <w:lang w:val="pl-PL"/>
        </w:rPr>
        <w:br/>
      </w:r>
      <w:r w:rsidRPr="00D44502">
        <w:rPr>
          <w:lang w:val="pl-PL"/>
        </w:rPr>
        <w:t>pn. „torun.direct – dobre połączenie z biznesem” – 2 szkolenia, 24 uczestników, „Lekcje przedsiębiorczości w praktyce” dla ponad 60 słuchaczy z 3 klas. Prowadzone było doradztwo w procesie zakładania działalności gospodarczej dla 130 osób za</w:t>
      </w:r>
      <w:r w:rsidR="00454FA0" w:rsidRPr="00D44502">
        <w:rPr>
          <w:lang w:val="pl-PL"/>
        </w:rPr>
        <w:t>interesowanych jej prowadzeniem;</w:t>
      </w:r>
    </w:p>
    <w:p w:rsidR="002F2707" w:rsidRDefault="00AE6BCB" w:rsidP="002F2707">
      <w:pPr>
        <w:pStyle w:val="ListParagraph"/>
        <w:numPr>
          <w:ilvl w:val="0"/>
          <w:numId w:val="77"/>
        </w:numPr>
        <w:spacing w:line="240" w:lineRule="auto"/>
        <w:jc w:val="both"/>
        <w:rPr>
          <w:lang w:val="pl-PL"/>
        </w:rPr>
      </w:pPr>
      <w:r w:rsidRPr="00D44502">
        <w:rPr>
          <w:lang w:val="pl-PL"/>
        </w:rPr>
        <w:t xml:space="preserve">w ramach upowszechniania i promocji dostępnych form wsparcia realizowanych przez UMT: kontynuowano program „Sport to dobry biznes” – podtrzymanie współpracy </w:t>
      </w:r>
      <w:r w:rsidR="002F2707">
        <w:rPr>
          <w:lang w:val="pl-PL"/>
        </w:rPr>
        <w:br/>
      </w:r>
      <w:r w:rsidRPr="00D44502">
        <w:rPr>
          <w:lang w:val="pl-PL"/>
        </w:rPr>
        <w:t>z klubami sportowymi: Twarde Pierniki, KST, Budowlani Toruń, Energa Katarzynki, zrealizowano cykl promocyjny „Invest in Toruń” – pokazujący najciekawsze inwestycje biznesowe w Toruniu oraz „Starówka Mistrzów” – 2 sezony wywiadów wideo przedstawiający działalność rzemieślników działających na terenie toruń</w:t>
      </w:r>
      <w:r w:rsidR="002F2707">
        <w:rPr>
          <w:lang w:val="pl-PL"/>
        </w:rPr>
        <w:t xml:space="preserve">skiego zespołu staromiejskiego. </w:t>
      </w:r>
    </w:p>
    <w:p w:rsidR="00D44502" w:rsidRPr="002F2707" w:rsidRDefault="002F2707" w:rsidP="002F2707">
      <w:pPr>
        <w:pStyle w:val="ListParagraph"/>
        <w:numPr>
          <w:ilvl w:val="0"/>
          <w:numId w:val="77"/>
        </w:numPr>
        <w:spacing w:line="240" w:lineRule="auto"/>
        <w:jc w:val="both"/>
        <w:rPr>
          <w:lang w:val="pl-PL"/>
        </w:rPr>
      </w:pPr>
      <w:r>
        <w:rPr>
          <w:lang w:val="pl-PL"/>
        </w:rPr>
        <w:t>u</w:t>
      </w:r>
      <w:r w:rsidR="00AE6BCB" w:rsidRPr="002F2707">
        <w:rPr>
          <w:lang w:val="pl-PL"/>
        </w:rPr>
        <w:t xml:space="preserve">tworzona została baza firm: „Toruńska baza restauracji na wynos i z dowozem” </w:t>
      </w:r>
      <w:r w:rsidRPr="002F2707">
        <w:rPr>
          <w:lang w:val="pl-PL"/>
        </w:rPr>
        <w:br/>
      </w:r>
      <w:r w:rsidR="00AE6BCB" w:rsidRPr="002F2707">
        <w:rPr>
          <w:lang w:val="pl-PL"/>
        </w:rPr>
        <w:t xml:space="preserve">w ramach akcji #Zostańwdomu, będąca wsparciem promocyjnym dla przedsiębiorców </w:t>
      </w:r>
      <w:r>
        <w:rPr>
          <w:lang w:val="pl-PL"/>
        </w:rPr>
        <w:br/>
      </w:r>
      <w:r w:rsidR="00AE6BCB" w:rsidRPr="002F2707">
        <w:rPr>
          <w:lang w:val="pl-PL"/>
        </w:rPr>
        <w:t>z zespołu staromiejskiego. Dystrybuowane były materiały promocyjne w ramach „Tak się r</w:t>
      </w:r>
      <w:r w:rsidR="00454FA0" w:rsidRPr="002F2707">
        <w:rPr>
          <w:lang w:val="pl-PL"/>
        </w:rPr>
        <w:t>obi biznes” – edycja specjalna;</w:t>
      </w:r>
    </w:p>
    <w:p w:rsidR="00D44502" w:rsidRDefault="00AE6BCB" w:rsidP="009C7C02">
      <w:pPr>
        <w:pStyle w:val="ListParagraph"/>
        <w:numPr>
          <w:ilvl w:val="0"/>
          <w:numId w:val="77"/>
        </w:numPr>
        <w:spacing w:line="240" w:lineRule="auto"/>
        <w:jc w:val="both"/>
        <w:rPr>
          <w:lang w:val="pl-PL"/>
        </w:rPr>
      </w:pPr>
      <w:r w:rsidRPr="00D44502">
        <w:rPr>
          <w:lang w:val="pl-PL"/>
        </w:rPr>
        <w:t>poprzez tworzenie instrumentów umożliwiających powstanie funduszy i sieci: „Aniołów Biznesu”, funduszy zalążkowych i funduszy „venture capital”, inicjatyw typu crowdfunding. Wspieranie warunków działania tych sieci (Program U-Space, konkurs dla startupów, Dron</w:t>
      </w:r>
      <w:r w:rsidR="00454FA0" w:rsidRPr="00D44502">
        <w:rPr>
          <w:lang w:val="pl-PL"/>
        </w:rPr>
        <w:t>etech Poland 5th World Meeting);</w:t>
      </w:r>
    </w:p>
    <w:p w:rsidR="00D44502" w:rsidRDefault="00AE6BCB" w:rsidP="009C7C02">
      <w:pPr>
        <w:pStyle w:val="ListParagraph"/>
        <w:numPr>
          <w:ilvl w:val="0"/>
          <w:numId w:val="77"/>
        </w:numPr>
        <w:spacing w:line="240" w:lineRule="auto"/>
        <w:jc w:val="both"/>
        <w:rPr>
          <w:lang w:val="pl-PL"/>
        </w:rPr>
      </w:pPr>
      <w:r w:rsidRPr="00D44502">
        <w:rPr>
          <w:lang w:val="pl-PL"/>
        </w:rPr>
        <w:t xml:space="preserve">zorganizowano konkurs dla usług i produktów toruńskich firm (MSP) odznaczających się wysoką jakością - </w:t>
      </w:r>
      <w:r w:rsidRPr="00D44502">
        <w:rPr>
          <w:u w:val="single"/>
          <w:lang w:val="pl-PL"/>
        </w:rPr>
        <w:t>„</w:t>
      </w:r>
      <w:r w:rsidRPr="00D44502">
        <w:rPr>
          <w:lang w:val="pl-PL"/>
        </w:rPr>
        <w:t>Made in Toruń” – projekt, którego celem jest wyróżnienie znakiem „Made in Toruń” toruńskich przedsiębiorców. W 2020 r. odbyły się 2 gale wręczenia certyfikatów „Made in Toruń”, podczas których nagrodzono 49 firmy. Na dzień 31.12.2020 r. łączna ilość przedsięwzięć biznesowych certyfikowanych znaki</w:t>
      </w:r>
      <w:r w:rsidR="00454FA0" w:rsidRPr="00D44502">
        <w:rPr>
          <w:lang w:val="pl-PL"/>
        </w:rPr>
        <w:t xml:space="preserve">em „Made </w:t>
      </w:r>
      <w:r w:rsidR="002F2707">
        <w:rPr>
          <w:lang w:val="pl-PL"/>
        </w:rPr>
        <w:br/>
      </w:r>
      <w:r w:rsidR="00454FA0" w:rsidRPr="00D44502">
        <w:rPr>
          <w:lang w:val="pl-PL"/>
        </w:rPr>
        <w:t>in Toruń” wyniosła 183;</w:t>
      </w:r>
    </w:p>
    <w:p w:rsidR="00D44502" w:rsidRDefault="00AE6BCB" w:rsidP="009C7C02">
      <w:pPr>
        <w:pStyle w:val="ListParagraph"/>
        <w:numPr>
          <w:ilvl w:val="0"/>
          <w:numId w:val="77"/>
        </w:numPr>
        <w:spacing w:line="240" w:lineRule="auto"/>
        <w:jc w:val="both"/>
        <w:rPr>
          <w:lang w:val="pl-PL"/>
        </w:rPr>
      </w:pPr>
      <w:r w:rsidRPr="00D44502">
        <w:rPr>
          <w:lang w:val="pl-PL"/>
        </w:rPr>
        <w:t xml:space="preserve">organizację wspólnych akcji promocyjnych przedsiębiorców i UMT, poprzez udział </w:t>
      </w:r>
      <w:r w:rsidR="00454FA0" w:rsidRPr="00D44502">
        <w:rPr>
          <w:lang w:val="pl-PL"/>
        </w:rPr>
        <w:br/>
      </w:r>
      <w:r w:rsidRPr="00D44502">
        <w:rPr>
          <w:lang w:val="pl-PL"/>
        </w:rPr>
        <w:t>w kongresach i targach, tj. Welconomy Forum in Toruń; targi krajowe, np. Kujawsko-Pomorskie Targi Inwestycyjne Invest-Tor 2020 w Toruniu; inne wydarzenia, np. udział CWB w seminarium naukowo–technicznym "Fotowoltaika sposobem na oszczędność energii i ochronę środowiska</w:t>
      </w:r>
      <w:r w:rsidR="002F2707">
        <w:rPr>
          <w:lang w:val="pl-PL"/>
        </w:rPr>
        <w:t xml:space="preserve">”, </w:t>
      </w:r>
      <w:r w:rsidRPr="00D44502">
        <w:rPr>
          <w:lang w:val="pl-PL"/>
        </w:rPr>
        <w:t xml:space="preserve">czy targi zagraniczne (w ramach projektu Invest in Bit City 2). Z uwagi na redukcję działań projektowych </w:t>
      </w:r>
      <w:r w:rsidR="002F2707">
        <w:rPr>
          <w:lang w:val="pl-PL"/>
        </w:rPr>
        <w:t>w kontekście obostrzeń epidemicznych</w:t>
      </w:r>
      <w:r w:rsidRPr="00D44502">
        <w:rPr>
          <w:lang w:val="pl-PL"/>
        </w:rPr>
        <w:t xml:space="preserve"> zadania przeniesione z lat poprzednich, jak również część zadań zaplanowanych do realizacji w 2020 r. (targi MIPIM w Cannes, targi Expo Real w Monachium, targi </w:t>
      </w:r>
      <w:r w:rsidRPr="00D44502">
        <w:rPr>
          <w:lang w:val="pl-PL"/>
        </w:rPr>
        <w:lastRenderedPageBreak/>
        <w:t xml:space="preserve">CEMAT w Hannoverze, konferencja ABSL, konferencja ASPIRE, konferencja promująca sektor BPO, wykonanie materiałów promocyjno-informacyjnych, organizacja własnych wydarzeń promocyjnych), nie zostały zrealizowane. </w:t>
      </w:r>
      <w:r w:rsidR="002F2707">
        <w:rPr>
          <w:lang w:val="pl-PL"/>
        </w:rPr>
        <w:t>Ich realizacja</w:t>
      </w:r>
      <w:r w:rsidRPr="00D44502">
        <w:rPr>
          <w:lang w:val="pl-PL"/>
        </w:rPr>
        <w:t xml:space="preserve"> </w:t>
      </w:r>
      <w:r w:rsidR="002F2707">
        <w:rPr>
          <w:lang w:val="pl-PL"/>
        </w:rPr>
        <w:t xml:space="preserve">planowana jest </w:t>
      </w:r>
      <w:r w:rsidR="002F2707">
        <w:rPr>
          <w:lang w:val="pl-PL"/>
        </w:rPr>
        <w:br/>
      </w:r>
      <w:r w:rsidR="00454FA0" w:rsidRPr="00D44502">
        <w:rPr>
          <w:lang w:val="pl-PL"/>
        </w:rPr>
        <w:t>w kolejnych latach projektowych;</w:t>
      </w:r>
    </w:p>
    <w:p w:rsidR="00D44502" w:rsidRDefault="00AE6BCB" w:rsidP="009C7C02">
      <w:pPr>
        <w:pStyle w:val="ListParagraph"/>
        <w:numPr>
          <w:ilvl w:val="0"/>
          <w:numId w:val="77"/>
        </w:numPr>
        <w:spacing w:line="240" w:lineRule="auto"/>
        <w:jc w:val="both"/>
        <w:rPr>
          <w:lang w:val="pl-PL"/>
        </w:rPr>
      </w:pPr>
      <w:r w:rsidRPr="00D44502">
        <w:rPr>
          <w:lang w:val="pl-PL"/>
        </w:rPr>
        <w:t>działania upowszechniające wiedzę dotyczącą podstawowych aspektów prowadzenia działalności gospodarczej, poprzez m.in. aktywizację strony torun.direct, media społecznościowe, mailing, portale internetowe, warsztaty i s</w:t>
      </w:r>
      <w:r w:rsidR="00454FA0" w:rsidRPr="00D44502">
        <w:rPr>
          <w:lang w:val="pl-PL"/>
        </w:rPr>
        <w:t>zkolenia;</w:t>
      </w:r>
    </w:p>
    <w:p w:rsidR="00D44502" w:rsidRDefault="00AE6BCB" w:rsidP="009C7C02">
      <w:pPr>
        <w:pStyle w:val="ListParagraph"/>
        <w:numPr>
          <w:ilvl w:val="0"/>
          <w:numId w:val="77"/>
        </w:numPr>
        <w:spacing w:line="240" w:lineRule="auto"/>
        <w:jc w:val="both"/>
        <w:rPr>
          <w:lang w:val="pl-PL"/>
        </w:rPr>
      </w:pPr>
      <w:r w:rsidRPr="00D44502">
        <w:rPr>
          <w:lang w:val="pl-PL"/>
        </w:rPr>
        <w:t>działania upowszechniające wiedzę na temat dostępnych form wsparcia przedsiębiorców - przedsiębiorcy uzyskali w 20</w:t>
      </w:r>
      <w:r w:rsidR="00106630" w:rsidRPr="00D44502">
        <w:rPr>
          <w:lang w:val="pl-PL"/>
        </w:rPr>
        <w:t>20 r. wsparcie na kwotę ponad 1.032 tys.</w:t>
      </w:r>
      <w:r w:rsidRPr="00D44502">
        <w:rPr>
          <w:lang w:val="pl-PL"/>
        </w:rPr>
        <w:t xml:space="preserve"> zł, </w:t>
      </w:r>
      <w:r w:rsidR="002F2707">
        <w:rPr>
          <w:lang w:val="pl-PL"/>
        </w:rPr>
        <w:br/>
      </w:r>
      <w:r w:rsidRPr="00D44502">
        <w:rPr>
          <w:lang w:val="pl-PL"/>
        </w:rPr>
        <w:t>a 128 podmiotów uzyskało również pomoc w zakresie doradztwa prawno-podatkowego. Ponadto informacje o wsparciu dla przedsiębiorców były rozpowszechniane poprzez: lokalne, regionalne</w:t>
      </w:r>
      <w:r w:rsidR="002F2707">
        <w:rPr>
          <w:lang w:val="pl-PL"/>
        </w:rPr>
        <w:t>,</w:t>
      </w:r>
      <w:r w:rsidRPr="00D44502">
        <w:rPr>
          <w:lang w:val="pl-PL"/>
        </w:rPr>
        <w:t xml:space="preserve"> </w:t>
      </w:r>
      <w:r w:rsidR="002F2707">
        <w:rPr>
          <w:lang w:val="pl-PL"/>
        </w:rPr>
        <w:t xml:space="preserve"> ogólnopolskie media;</w:t>
      </w:r>
      <w:r w:rsidRPr="00D44502">
        <w:rPr>
          <w:lang w:val="pl-PL"/>
        </w:rPr>
        <w:t xml:space="preserve"> obsługę usługi Toruń Biznes SMS</w:t>
      </w:r>
      <w:r w:rsidR="002F2707">
        <w:rPr>
          <w:lang w:val="pl-PL"/>
        </w:rPr>
        <w:t>;</w:t>
      </w:r>
      <w:r w:rsidRPr="00D44502">
        <w:rPr>
          <w:lang w:val="pl-PL"/>
        </w:rPr>
        <w:t xml:space="preserve"> czy org</w:t>
      </w:r>
      <w:r w:rsidR="002F2707">
        <w:rPr>
          <w:lang w:val="pl-PL"/>
        </w:rPr>
        <w:t xml:space="preserve">anizowane warsztaty </w:t>
      </w:r>
      <w:r w:rsidR="00454FA0" w:rsidRPr="00D44502">
        <w:rPr>
          <w:lang w:val="pl-PL"/>
        </w:rPr>
        <w:t>i szkolenia;</w:t>
      </w:r>
    </w:p>
    <w:p w:rsidR="002F2707" w:rsidRDefault="00AE6BCB" w:rsidP="009C7C02">
      <w:pPr>
        <w:pStyle w:val="ListParagraph"/>
        <w:numPr>
          <w:ilvl w:val="0"/>
          <w:numId w:val="77"/>
        </w:numPr>
        <w:spacing w:line="240" w:lineRule="auto"/>
        <w:jc w:val="both"/>
        <w:rPr>
          <w:lang w:val="pl-PL"/>
        </w:rPr>
      </w:pPr>
      <w:r w:rsidRPr="00D44502">
        <w:rPr>
          <w:lang w:val="pl-PL"/>
        </w:rPr>
        <w:t>działania promujące kształcenie techniczne na poziomie ponadpodstawowym poprzez p</w:t>
      </w:r>
      <w:r w:rsidRPr="00D44502">
        <w:rPr>
          <w:bCs/>
          <w:lang w:val="pl-PL"/>
        </w:rPr>
        <w:t xml:space="preserve">romocję szkolnictwa branżowego (wybrane projekty), w tym </w:t>
      </w:r>
      <w:r w:rsidRPr="00D44502">
        <w:rPr>
          <w:lang w:val="pl-PL"/>
        </w:rPr>
        <w:t>związaną z naborami do szkół, przygotowaniem i dystrybucją materiałów promocyjnych zawierających ofertę toruńskich szkół branżowych i technicznych: katalogu, ulotek, plakatów, w mediach społecznościowych i na nośnikach elektronicznych w przestrzeni publicznej (np. ekranach na dworcu Toruń Główny). Pr</w:t>
      </w:r>
      <w:r w:rsidR="00106630" w:rsidRPr="00D44502">
        <w:rPr>
          <w:lang w:val="pl-PL"/>
        </w:rPr>
        <w:t>zygotowano spot radiowy i emisję</w:t>
      </w:r>
      <w:r w:rsidRPr="00D44502">
        <w:rPr>
          <w:lang w:val="pl-PL"/>
        </w:rPr>
        <w:t xml:space="preserve"> w Radiu Gra i Radiu Eska oraz kampanię Google Adwords dotyczącą szkół branżowych.</w:t>
      </w:r>
      <w:r w:rsidR="002F2707">
        <w:rPr>
          <w:lang w:val="pl-PL"/>
        </w:rPr>
        <w:t xml:space="preserve"> </w:t>
      </w:r>
      <w:r w:rsidRPr="002F2707">
        <w:rPr>
          <w:bCs/>
          <w:lang w:val="pl-PL"/>
        </w:rPr>
        <w:t xml:space="preserve">Miasto współorganizowało IV Toruńskie Forum Zawodowców. </w:t>
      </w:r>
      <w:r w:rsidRPr="002F2707">
        <w:rPr>
          <w:lang w:val="pl-PL"/>
        </w:rPr>
        <w:t>W efekcie działań 3</w:t>
      </w:r>
      <w:r w:rsidR="00106630" w:rsidRPr="002F2707">
        <w:rPr>
          <w:lang w:val="pl-PL"/>
        </w:rPr>
        <w:t>.</w:t>
      </w:r>
      <w:r w:rsidRPr="002F2707">
        <w:rPr>
          <w:lang w:val="pl-PL"/>
        </w:rPr>
        <w:t>800</w:t>
      </w:r>
      <w:r w:rsidRPr="002F2707">
        <w:rPr>
          <w:b/>
          <w:lang w:val="pl-PL"/>
        </w:rPr>
        <w:t xml:space="preserve"> </w:t>
      </w:r>
      <w:r w:rsidRPr="002F2707">
        <w:rPr>
          <w:lang w:val="pl-PL"/>
        </w:rPr>
        <w:t xml:space="preserve">uczniów, których zapoznano z ofertą edukacyjną toruńskich </w:t>
      </w:r>
      <w:r w:rsidR="00906FB3">
        <w:rPr>
          <w:lang w:val="pl-PL"/>
        </w:rPr>
        <w:t xml:space="preserve">szkół branżowych </w:t>
      </w:r>
      <w:r w:rsidR="00906FB3">
        <w:rPr>
          <w:lang w:val="pl-PL"/>
        </w:rPr>
        <w:br/>
      </w:r>
      <w:r w:rsidR="00454FA0" w:rsidRPr="002F2707">
        <w:rPr>
          <w:lang w:val="pl-PL"/>
        </w:rPr>
        <w:t>i technicznych;</w:t>
      </w:r>
    </w:p>
    <w:p w:rsidR="002F2707" w:rsidRDefault="00AE6BCB" w:rsidP="009C7C02">
      <w:pPr>
        <w:pStyle w:val="ListParagraph"/>
        <w:numPr>
          <w:ilvl w:val="0"/>
          <w:numId w:val="77"/>
        </w:numPr>
        <w:spacing w:line="240" w:lineRule="auto"/>
        <w:jc w:val="both"/>
        <w:rPr>
          <w:lang w:val="pl-PL"/>
        </w:rPr>
      </w:pPr>
      <w:r w:rsidRPr="002F2707">
        <w:rPr>
          <w:lang w:val="pl-PL"/>
        </w:rPr>
        <w:t>w ramach promocji inwestycyjnej</w:t>
      </w:r>
      <w:r w:rsidRPr="002F2707">
        <w:rPr>
          <w:b/>
          <w:lang w:val="pl-PL"/>
        </w:rPr>
        <w:t xml:space="preserve"> </w:t>
      </w:r>
      <w:r w:rsidRPr="002F2707">
        <w:rPr>
          <w:lang w:val="pl-PL"/>
        </w:rPr>
        <w:t>reklamowano</w:t>
      </w:r>
      <w:r w:rsidRPr="002F2707">
        <w:rPr>
          <w:b/>
          <w:lang w:val="pl-PL"/>
        </w:rPr>
        <w:t xml:space="preserve"> </w:t>
      </w:r>
      <w:r w:rsidRPr="002F2707">
        <w:rPr>
          <w:bCs/>
          <w:lang w:val="pl-PL"/>
        </w:rPr>
        <w:t>potencjał gospodarczy i tereny inwestycyjne (wybrane projekty) oraz postępowania przetargowe (ilość sprzedanych terenów inwestycyjnych i ich wartość) - d</w:t>
      </w:r>
      <w:r w:rsidRPr="002F2707">
        <w:rPr>
          <w:lang w:val="pl-PL"/>
        </w:rPr>
        <w:t xml:space="preserve">ziałania informacje </w:t>
      </w:r>
      <w:r w:rsidR="00906FB3">
        <w:rPr>
          <w:lang w:val="pl-PL"/>
        </w:rPr>
        <w:t>skierowane do przedsiębiorców</w:t>
      </w:r>
      <w:r w:rsidRPr="002F2707">
        <w:rPr>
          <w:lang w:val="pl-PL"/>
        </w:rPr>
        <w:t xml:space="preserve"> przez CWB doprowadziły do sprzedaży 18 działek inwestycyjnych na kwotę </w:t>
      </w:r>
      <w:r w:rsidR="00906FB3">
        <w:rPr>
          <w:lang w:val="pl-PL"/>
        </w:rPr>
        <w:t>prawie 29.500</w:t>
      </w:r>
      <w:r w:rsidR="00106630" w:rsidRPr="002F2707">
        <w:rPr>
          <w:lang w:val="pl-PL"/>
        </w:rPr>
        <w:t xml:space="preserve"> tys.</w:t>
      </w:r>
      <w:r w:rsidR="00454FA0" w:rsidRPr="002F2707">
        <w:rPr>
          <w:lang w:val="pl-PL"/>
        </w:rPr>
        <w:t xml:space="preserve"> zł;</w:t>
      </w:r>
    </w:p>
    <w:p w:rsidR="00AE6BCB" w:rsidRPr="002F2707" w:rsidRDefault="00AE6BCB" w:rsidP="009C7C02">
      <w:pPr>
        <w:pStyle w:val="ListParagraph"/>
        <w:numPr>
          <w:ilvl w:val="0"/>
          <w:numId w:val="77"/>
        </w:numPr>
        <w:spacing w:line="240" w:lineRule="auto"/>
        <w:jc w:val="both"/>
        <w:rPr>
          <w:lang w:val="pl-PL"/>
        </w:rPr>
      </w:pPr>
      <w:r w:rsidRPr="002F2707">
        <w:rPr>
          <w:bCs/>
          <w:lang w:val="pl-PL"/>
        </w:rPr>
        <w:t xml:space="preserve">w ramach obsługi inwestorów i przedsiębiorców: </w:t>
      </w:r>
      <w:r w:rsidRPr="002F2707">
        <w:rPr>
          <w:lang w:val="pl-PL"/>
        </w:rPr>
        <w:t>w 2020 r. pracownicy CWB spotkali się ze 130 osobami zainteresowanymi prowadzeniem działalności gospodarczej, obsłużyli 152 inwestorów. Przygotowanych zostało ponad 150 spersonalizowanych ofert inwestycyjnych dla podmiotów gospodarczych.</w:t>
      </w:r>
      <w:r w:rsidRPr="002F2707">
        <w:rPr>
          <w:bCs/>
          <w:lang w:val="pl-PL"/>
        </w:rPr>
        <w:t xml:space="preserve"> K</w:t>
      </w:r>
      <w:r w:rsidRPr="002F2707">
        <w:rPr>
          <w:lang w:val="pl-PL"/>
        </w:rPr>
        <w:t xml:space="preserve">ontakt z przedsiębiorcami utrzymywany jest także poprzez system informacji Toruń SMS Biznes, gdzie przekazywane są aktualne oferty przetargów na miejskie działki oraz najważniejsze wydarzenia związane </w:t>
      </w:r>
      <w:r w:rsidR="00906FB3">
        <w:rPr>
          <w:lang w:val="pl-PL"/>
        </w:rPr>
        <w:br/>
      </w:r>
      <w:r w:rsidRPr="002F2707">
        <w:rPr>
          <w:lang w:val="pl-PL"/>
        </w:rPr>
        <w:t>z biznesem. Z usługi tej korzysta obecnie ok. 820 przedsiębiorców.</w:t>
      </w:r>
      <w:r w:rsidR="00454FA0" w:rsidRPr="002F2707">
        <w:rPr>
          <w:lang w:val="pl-PL"/>
        </w:rPr>
        <w:t xml:space="preserve"> </w:t>
      </w:r>
      <w:r w:rsidRPr="002F2707">
        <w:rPr>
          <w:lang w:val="pl-PL"/>
        </w:rPr>
        <w:t>Pełną ofertę inwestycyjną skierowano do 208 największych podmiotów gospodarczych w skali międzynarodowej i krajowej – ogólnopolskich. W 2020 r. pozyskano łącznie 16 nowych inwestorów.</w:t>
      </w:r>
    </w:p>
    <w:p w:rsidR="00AE6BCB" w:rsidRDefault="00AE6BCB" w:rsidP="00912BD8">
      <w:pPr>
        <w:pStyle w:val="ListParagraph"/>
        <w:numPr>
          <w:ilvl w:val="0"/>
          <w:numId w:val="6"/>
        </w:numPr>
        <w:spacing w:line="240" w:lineRule="auto"/>
        <w:ind w:left="357" w:hanging="357"/>
        <w:jc w:val="both"/>
        <w:rPr>
          <w:lang w:val="pl-PL"/>
        </w:rPr>
      </w:pPr>
      <w:r>
        <w:rPr>
          <w:b/>
          <w:lang w:val="pl-PL"/>
        </w:rPr>
        <w:t>Cel strategiczny</w:t>
      </w:r>
      <w:r w:rsidR="00106630">
        <w:rPr>
          <w:b/>
          <w:lang w:val="pl-PL"/>
        </w:rPr>
        <w:t xml:space="preserve"> </w:t>
      </w:r>
      <w:r>
        <w:rPr>
          <w:b/>
          <w:lang w:val="pl-PL"/>
        </w:rPr>
        <w:t>– Toruń – dobrym miejscem do inwestowania w nowoczesne usługi</w:t>
      </w:r>
    </w:p>
    <w:p w:rsidR="00AE6BCB" w:rsidRDefault="00AE6BCB" w:rsidP="009C7C02">
      <w:pPr>
        <w:spacing w:line="240" w:lineRule="auto"/>
        <w:jc w:val="both"/>
        <w:rPr>
          <w:i/>
          <w:lang w:val="pl-PL"/>
        </w:rPr>
      </w:pPr>
      <w:r>
        <w:rPr>
          <w:lang w:val="pl-PL"/>
        </w:rPr>
        <w:t>realizowano poprzez promocję inwestycyjną</w:t>
      </w:r>
      <w:r>
        <w:rPr>
          <w:b/>
          <w:lang w:val="pl-PL"/>
        </w:rPr>
        <w:t xml:space="preserve"> </w:t>
      </w:r>
      <w:r>
        <w:rPr>
          <w:lang w:val="pl-PL"/>
        </w:rPr>
        <w:t>potencjału gospodarczego miasta.</w:t>
      </w:r>
    </w:p>
    <w:p w:rsidR="00AE6BCB" w:rsidRDefault="00AE6BCB" w:rsidP="009C7C02">
      <w:pPr>
        <w:pStyle w:val="NoSpacing"/>
        <w:spacing w:line="240" w:lineRule="auto"/>
        <w:jc w:val="both"/>
        <w:rPr>
          <w:b/>
          <w:color w:val="FF0000"/>
          <w:sz w:val="24"/>
          <w:szCs w:val="24"/>
        </w:rPr>
      </w:pPr>
      <w:r>
        <w:rPr>
          <w:rFonts w:ascii="Times New Roman" w:hAnsi="Times New Roman"/>
          <w:i/>
          <w:sz w:val="24"/>
          <w:szCs w:val="24"/>
        </w:rPr>
        <w:t xml:space="preserve">Szczegółowe sprawozdanie z realizacji „Programu wspierania przedsiębiorczości w Toruniu na lata 2014–2020” – odrębna informacja przedkładana Radzie Miasta Torunia zgodnie </w:t>
      </w:r>
      <w:r w:rsidR="00454FA0">
        <w:rPr>
          <w:rFonts w:ascii="Times New Roman" w:hAnsi="Times New Roman"/>
          <w:i/>
          <w:sz w:val="24"/>
          <w:szCs w:val="24"/>
        </w:rPr>
        <w:br/>
      </w:r>
      <w:r>
        <w:rPr>
          <w:rFonts w:ascii="Times New Roman" w:hAnsi="Times New Roman"/>
          <w:i/>
          <w:sz w:val="24"/>
          <w:szCs w:val="24"/>
        </w:rPr>
        <w:t>z procedurą.</w:t>
      </w:r>
    </w:p>
    <w:p w:rsidR="00AE6BCB" w:rsidRDefault="00AE6BCB" w:rsidP="009C7C02">
      <w:pPr>
        <w:spacing w:line="240" w:lineRule="auto"/>
        <w:rPr>
          <w:color w:val="FF0000"/>
          <w:lang w:val="pl-PL"/>
        </w:rPr>
      </w:pPr>
    </w:p>
    <w:p w:rsidR="00AE6BCB" w:rsidRPr="00A13211" w:rsidRDefault="00AE6BCB" w:rsidP="009C7C02">
      <w:pPr>
        <w:pStyle w:val="Nagwek2"/>
        <w:spacing w:before="0" w:after="0" w:line="240" w:lineRule="auto"/>
        <w:rPr>
          <w:rFonts w:ascii="Times New Roman" w:hAnsi="Times New Roman" w:cs="Times New Roman"/>
          <w:sz w:val="24"/>
          <w:lang w:val="pl-PL"/>
        </w:rPr>
      </w:pPr>
      <w:bookmarkStart w:id="44" w:name="__RefHeading__31940_2082197896"/>
      <w:bookmarkStart w:id="45" w:name="_Toc69477687"/>
      <w:bookmarkStart w:id="46" w:name="_Toc69372235"/>
      <w:bookmarkEnd w:id="44"/>
      <w:r w:rsidRPr="00A13211">
        <w:rPr>
          <w:rFonts w:ascii="Times New Roman" w:hAnsi="Times New Roman" w:cs="Times New Roman"/>
          <w:color w:val="0070C0"/>
          <w:sz w:val="24"/>
          <w:lang w:val="pl-PL"/>
        </w:rPr>
        <w:t>Współpraca z uczelniami wyższymi</w:t>
      </w:r>
      <w:bookmarkEnd w:id="45"/>
      <w:bookmarkEnd w:id="46"/>
    </w:p>
    <w:p w:rsidR="00AE6BCB" w:rsidRDefault="00AE6BCB" w:rsidP="009C7C02">
      <w:pPr>
        <w:spacing w:line="240" w:lineRule="auto"/>
        <w:ind w:firstLine="709"/>
        <w:jc w:val="both"/>
        <w:rPr>
          <w:lang w:val="pl-PL"/>
        </w:rPr>
      </w:pPr>
      <w:r>
        <w:rPr>
          <w:lang w:val="pl-PL"/>
        </w:rPr>
        <w:t xml:space="preserve">Na terenie Torunia funkcjonuje 5 uczelni wyższych: Uniwersytet Mikołaja Kopernika, Wyższa Szkoła Bankowa, Wyższa Szkoła Kultury Społecznej i Medialnej, Kolegium Jagiellońskie – Toruńska Szkoła Wyższa oraz Wyższe Seminarium Duchowne Diecezji Toruńskiej. Toruńscy seniorzy mogą poszerzać swoją wiedzę na Toruńskim Uniwersytecie </w:t>
      </w:r>
      <w:r>
        <w:rPr>
          <w:lang w:val="pl-PL"/>
        </w:rPr>
        <w:lastRenderedPageBreak/>
        <w:t>Trzeciego Wieku. Uniwersytet Mikołaja Kopernika jest największą, jedyną publiczną, placówką szkolnictwa wyższego w naszym mieście. W 2020 r. na uczelni kształciło się łącznie ponad 19 tys. studentów, na 16 wydziałach (13 w Toruniu, 3 w Bydgoszczy) oraz Interdyscyplinarne Centrum Nowoczesnych Technologii, a zatrudnionych było ponad 4,3 tys. pracowników (w tym: ponad 2,2 tys. nauczycieli akademickich i ponad 2 tys. pracowników ob</w:t>
      </w:r>
      <w:r w:rsidR="00776F63">
        <w:rPr>
          <w:lang w:val="pl-PL"/>
        </w:rPr>
        <w:t xml:space="preserve">sługi administracyjnej). Gmina </w:t>
      </w:r>
      <w:r>
        <w:rPr>
          <w:lang w:val="pl-PL"/>
        </w:rPr>
        <w:t xml:space="preserve">od wielu lat współpracuje z wszystkimi toruńskimi uczelniami i szkołami wyższymi, skutecznie realizując przy tym różnorodne działania </w:t>
      </w:r>
      <w:r w:rsidR="00A13211">
        <w:rPr>
          <w:lang w:val="pl-PL"/>
        </w:rPr>
        <w:br/>
      </w:r>
      <w:r>
        <w:rPr>
          <w:lang w:val="pl-PL"/>
        </w:rPr>
        <w:t>i programy, m.in. w zakresie: tworzenia nowych kierunków studiów, wspólnej realizacji projektów finansowanych środkami Unii Europejskiej, wspierania rozwoju przedsiębiorczości, wspierania przedsięwzięć naukowych (konferencje, kongresy, sympozja), kulturalnych, sportowych i promocyjnych. Gmina Miasta Toruń wraz z uczelniami wyższymi przy jednoczesnym wsparciu finansowym z Unii Europejskiej realizuje także różnorodne programy. W 2020 r. w ramach współpracy z Uniwersytetem Mikołaja Kopernika trwały prace nad m.in.:</w:t>
      </w:r>
    </w:p>
    <w:p w:rsidR="00AE6BCB" w:rsidRDefault="00AE6BCB" w:rsidP="00906FB3">
      <w:pPr>
        <w:numPr>
          <w:ilvl w:val="0"/>
          <w:numId w:val="78"/>
        </w:numPr>
        <w:spacing w:line="240" w:lineRule="auto"/>
        <w:jc w:val="both"/>
        <w:rPr>
          <w:lang w:val="pl-PL"/>
        </w:rPr>
      </w:pPr>
      <w:r w:rsidRPr="00906FB3">
        <w:rPr>
          <w:lang w:val="pl-PL"/>
        </w:rPr>
        <w:t xml:space="preserve">projektem YUFE, czyli Młode Uniwersytety dla Przyszłości Europy (Young Universities for the Future of Europe). YUFE to jedno z 41 konsorcjów wybranych przez Komisję Europejską do budowy i testowania modelu Uniwersytetu Europejskiego – otwartego, nieelitarnego i integrującego różne środowiska, a także promującego innowacyjność, interdyscyplinarność oraz najwyższą jakość w badaniach i edukacji. </w:t>
      </w:r>
      <w:r w:rsidR="00671EA3">
        <w:rPr>
          <w:lang w:val="pl-PL"/>
        </w:rPr>
        <w:br/>
      </w:r>
      <w:r w:rsidRPr="00906FB3">
        <w:rPr>
          <w:lang w:val="pl-PL"/>
        </w:rPr>
        <w:t xml:space="preserve">W lipcu 2020 r. UMK został pełnoprawnym członkiem konsorcjum Young Universities </w:t>
      </w:r>
      <w:r w:rsidR="007E5C21" w:rsidRPr="00906FB3">
        <w:rPr>
          <w:lang w:val="pl-PL"/>
        </w:rPr>
        <w:t>for the Future of Europe (YUFE);</w:t>
      </w:r>
    </w:p>
    <w:p w:rsidR="00AE6BCB" w:rsidRPr="00906FB3" w:rsidRDefault="00AE6BCB" w:rsidP="00906FB3">
      <w:pPr>
        <w:numPr>
          <w:ilvl w:val="0"/>
          <w:numId w:val="78"/>
        </w:numPr>
        <w:spacing w:line="240" w:lineRule="auto"/>
        <w:jc w:val="both"/>
        <w:rPr>
          <w:lang w:val="pl-PL"/>
        </w:rPr>
      </w:pPr>
      <w:r w:rsidRPr="00906FB3">
        <w:rPr>
          <w:lang w:val="pl-PL"/>
        </w:rPr>
        <w:t xml:space="preserve">projektem „Toruńska szkoła ćwiczeń dla województwa kujawsko–pomorskiego </w:t>
      </w:r>
      <w:r w:rsidR="007E5C21" w:rsidRPr="00906FB3">
        <w:rPr>
          <w:lang w:val="pl-PL"/>
        </w:rPr>
        <w:br/>
      </w:r>
      <w:r w:rsidRPr="00906FB3">
        <w:rPr>
          <w:lang w:val="pl-PL"/>
        </w:rPr>
        <w:t>w ramach POWER 2.10 Wysoka jakość systemu oświaty”. Dzięki realizacji tego projektu tworzone są szkoły ćwiczeń dla nauczycieli i studentów.</w:t>
      </w:r>
    </w:p>
    <w:p w:rsidR="00AE6BCB" w:rsidRDefault="00AE6BCB" w:rsidP="009C7C02">
      <w:pPr>
        <w:spacing w:line="240" w:lineRule="auto"/>
        <w:ind w:firstLine="709"/>
        <w:jc w:val="both"/>
        <w:rPr>
          <w:lang w:val="pl-PL"/>
        </w:rPr>
      </w:pPr>
      <w:r>
        <w:rPr>
          <w:lang w:val="pl-PL"/>
        </w:rPr>
        <w:t xml:space="preserve"> Gmina wspiera studentów uczelni wyższych realizując „</w:t>
      </w:r>
      <w:r>
        <w:rPr>
          <w:b/>
          <w:lang w:val="pl-PL"/>
        </w:rPr>
        <w:t>Miejski program stypendialny dla studentów toruńskich uczelni wyższych</w:t>
      </w:r>
      <w:r>
        <w:rPr>
          <w:lang w:val="pl-PL"/>
        </w:rPr>
        <w:t xml:space="preserve">”. Łączna kwota stypendiów wypłaconych w 2020 r. wyniosła 341,2 tys. zł i objęła 141 studentów UMK i WSKSiM. Ponadto 150 uczniów Uniwersyteckiego Liceum Ogólnokształcącego otrzymało stypendium Prezydenta Miasta Torunia. Łączna kwota wypłaconych stypendiów dla uczniów ULO </w:t>
      </w:r>
      <w:r w:rsidR="007E5C21">
        <w:rPr>
          <w:lang w:val="pl-PL"/>
        </w:rPr>
        <w:br/>
      </w:r>
      <w:r>
        <w:rPr>
          <w:lang w:val="pl-PL"/>
        </w:rPr>
        <w:t>w 2020 r. wyniosła ponad 195,4 tys. zł. W ramach programu „</w:t>
      </w:r>
      <w:r>
        <w:rPr>
          <w:b/>
          <w:lang w:val="pl-PL"/>
        </w:rPr>
        <w:t>Mieszkanie dla absolwenta</w:t>
      </w:r>
      <w:r>
        <w:rPr>
          <w:lang w:val="pl-PL"/>
        </w:rPr>
        <w:t xml:space="preserve">” (w celu zatrzymania w Toruniu najzdolniejszych absolwentów) miasto przydzieliło w 2020 r. kolejnych 5 mieszkań. </w:t>
      </w:r>
    </w:p>
    <w:p w:rsidR="00AE6BCB" w:rsidRDefault="00AE6BCB" w:rsidP="009C7C02">
      <w:pPr>
        <w:spacing w:line="240" w:lineRule="auto"/>
        <w:jc w:val="both"/>
        <w:rPr>
          <w:lang w:val="pl-PL"/>
        </w:rPr>
      </w:pPr>
    </w:p>
    <w:p w:rsidR="00AE6BCB" w:rsidRPr="00F155F0" w:rsidRDefault="00AE6BCB" w:rsidP="009C7C02">
      <w:pPr>
        <w:spacing w:line="240" w:lineRule="auto"/>
        <w:jc w:val="both"/>
        <w:rPr>
          <w:b/>
          <w:i/>
          <w:lang w:val="pl-PL"/>
        </w:rPr>
      </w:pPr>
      <w:r w:rsidRPr="00F155F0">
        <w:rPr>
          <w:b/>
          <w:color w:val="0070C0"/>
          <w:lang w:val="pl-PL"/>
        </w:rPr>
        <w:t>VII</w:t>
      </w:r>
      <w:r w:rsidR="007E6857">
        <w:rPr>
          <w:b/>
          <w:color w:val="0070C0"/>
          <w:lang w:val="pl-PL"/>
        </w:rPr>
        <w:t>I</w:t>
      </w:r>
      <w:r w:rsidRPr="00F155F0">
        <w:rPr>
          <w:b/>
          <w:color w:val="0070C0"/>
          <w:lang w:val="pl-PL"/>
        </w:rPr>
        <w:t>. P</w:t>
      </w:r>
      <w:r w:rsidR="007E5C21">
        <w:rPr>
          <w:b/>
          <w:color w:val="0070C0"/>
          <w:lang w:val="pl-PL"/>
        </w:rPr>
        <w:t xml:space="preserve">OLITYKA SPOŁECZNA, </w:t>
      </w:r>
      <w:r w:rsidR="00F155F0" w:rsidRPr="00F155F0">
        <w:rPr>
          <w:b/>
          <w:color w:val="0070C0"/>
          <w:lang w:val="pl-PL"/>
        </w:rPr>
        <w:t xml:space="preserve">DZIAŁANIA NA RZECZ SENIORÓW I OSÓB NIEPEŁNOSPRAWNYCH </w:t>
      </w:r>
    </w:p>
    <w:p w:rsidR="00AE6BCB" w:rsidRDefault="00AE6BCB" w:rsidP="009C7C02">
      <w:pPr>
        <w:spacing w:line="240" w:lineRule="auto"/>
        <w:jc w:val="both"/>
        <w:rPr>
          <w:b/>
          <w:i/>
          <w:lang w:val="pl-PL"/>
        </w:rPr>
      </w:pPr>
    </w:p>
    <w:p w:rsidR="00AE6BCB" w:rsidRDefault="00AE6BCB" w:rsidP="009C7C02">
      <w:pPr>
        <w:pStyle w:val="NoSpacing"/>
        <w:spacing w:line="240" w:lineRule="auto"/>
        <w:ind w:firstLine="709"/>
        <w:jc w:val="both"/>
        <w:rPr>
          <w:rFonts w:ascii="Times New Roman" w:hAnsi="Times New Roman"/>
          <w:i/>
          <w:sz w:val="24"/>
          <w:szCs w:val="24"/>
        </w:rPr>
      </w:pPr>
      <w:r>
        <w:rPr>
          <w:rStyle w:val="Uwydatnienie"/>
          <w:rFonts w:ascii="Times New Roman" w:hAnsi="Times New Roman"/>
          <w:i w:val="0"/>
          <w:sz w:val="24"/>
          <w:szCs w:val="24"/>
        </w:rPr>
        <w:t xml:space="preserve">Toruń jest miastem wspierającym rodzinę oraz dążącym, w oparciu o partnerstwo publiczno-społeczne, do zapewnienia bezpieczeństwa socjalnego mieszkańcom poprzez ich aktywizację i integrację. </w:t>
      </w:r>
      <w:r>
        <w:rPr>
          <w:rFonts w:ascii="Times New Roman" w:hAnsi="Times New Roman"/>
          <w:sz w:val="24"/>
          <w:szCs w:val="24"/>
        </w:rPr>
        <w:t xml:space="preserve">Taką misję formułuje, przyjęta w 2013 r., </w:t>
      </w:r>
      <w:r>
        <w:rPr>
          <w:rFonts w:ascii="Times New Roman" w:hAnsi="Times New Roman"/>
          <w:b/>
          <w:sz w:val="24"/>
          <w:szCs w:val="24"/>
        </w:rPr>
        <w:t>„Strategia rozwiązywania problemów społecznych dla miasta Torunia na lata 2014-2020”</w:t>
      </w:r>
      <w:r>
        <w:rPr>
          <w:rFonts w:ascii="Times New Roman" w:hAnsi="Times New Roman"/>
          <w:sz w:val="24"/>
          <w:szCs w:val="24"/>
        </w:rPr>
        <w:t xml:space="preserve">. </w:t>
      </w:r>
    </w:p>
    <w:p w:rsidR="00AE6BCB" w:rsidRDefault="00AE6BCB" w:rsidP="009C7C02">
      <w:pPr>
        <w:pStyle w:val="NoSpacing"/>
        <w:spacing w:line="240" w:lineRule="auto"/>
        <w:jc w:val="both"/>
        <w:rPr>
          <w:rFonts w:ascii="Times New Roman" w:hAnsi="Times New Roman"/>
          <w:sz w:val="24"/>
          <w:szCs w:val="24"/>
        </w:rPr>
      </w:pPr>
      <w:r>
        <w:rPr>
          <w:rFonts w:ascii="Times New Roman" w:hAnsi="Times New Roman"/>
          <w:i/>
          <w:sz w:val="24"/>
          <w:szCs w:val="24"/>
        </w:rPr>
        <w:t>Szczegółowe sprawozdanie z realizacji Strategii zawiera odrębna informacja przedkładana Radzie Miasta Torunia zgodnie z procedurą.</w:t>
      </w:r>
    </w:p>
    <w:p w:rsidR="00AE6BCB" w:rsidRDefault="00AE6BCB" w:rsidP="009C7C02">
      <w:pPr>
        <w:pStyle w:val="NoSpacing"/>
        <w:spacing w:line="240" w:lineRule="auto"/>
        <w:ind w:firstLine="709"/>
        <w:jc w:val="both"/>
        <w:rPr>
          <w:bCs/>
          <w:iCs/>
          <w:sz w:val="24"/>
          <w:szCs w:val="24"/>
        </w:rPr>
      </w:pPr>
      <w:r>
        <w:rPr>
          <w:rFonts w:ascii="Times New Roman" w:hAnsi="Times New Roman"/>
          <w:sz w:val="24"/>
          <w:szCs w:val="24"/>
        </w:rPr>
        <w:t>W 2020 r. Miejski Ośrodek Pomocy Rodzinie objął pomocą 4</w:t>
      </w:r>
      <w:r w:rsidR="00776F63">
        <w:rPr>
          <w:rFonts w:ascii="Times New Roman" w:hAnsi="Times New Roman"/>
          <w:sz w:val="24"/>
          <w:szCs w:val="24"/>
        </w:rPr>
        <w:t>.</w:t>
      </w:r>
      <w:r>
        <w:rPr>
          <w:rFonts w:ascii="Times New Roman" w:hAnsi="Times New Roman"/>
          <w:sz w:val="24"/>
          <w:szCs w:val="24"/>
        </w:rPr>
        <w:t>150 rodzin o liczbie osób 6</w:t>
      </w:r>
      <w:r w:rsidR="00776F63">
        <w:rPr>
          <w:rFonts w:ascii="Times New Roman" w:hAnsi="Times New Roman"/>
          <w:sz w:val="24"/>
          <w:szCs w:val="24"/>
        </w:rPr>
        <w:t>.</w:t>
      </w:r>
      <w:r>
        <w:rPr>
          <w:rFonts w:ascii="Times New Roman" w:hAnsi="Times New Roman"/>
          <w:sz w:val="24"/>
          <w:szCs w:val="24"/>
        </w:rPr>
        <w:t>926, w tym: 334 (o liczbie osób 5</w:t>
      </w:r>
      <w:r w:rsidR="00776F63">
        <w:rPr>
          <w:rFonts w:ascii="Times New Roman" w:hAnsi="Times New Roman"/>
          <w:sz w:val="24"/>
          <w:szCs w:val="24"/>
        </w:rPr>
        <w:t>.</w:t>
      </w:r>
      <w:r>
        <w:rPr>
          <w:rFonts w:ascii="Times New Roman" w:hAnsi="Times New Roman"/>
          <w:sz w:val="24"/>
          <w:szCs w:val="24"/>
        </w:rPr>
        <w:t>834) rodzin w formie świadczeń pieniężnych oraz 1</w:t>
      </w:r>
      <w:r w:rsidR="00776F63">
        <w:rPr>
          <w:rFonts w:ascii="Times New Roman" w:hAnsi="Times New Roman"/>
          <w:sz w:val="24"/>
          <w:szCs w:val="24"/>
        </w:rPr>
        <w:t>.</w:t>
      </w:r>
      <w:r>
        <w:rPr>
          <w:rFonts w:ascii="Times New Roman" w:hAnsi="Times New Roman"/>
          <w:sz w:val="24"/>
          <w:szCs w:val="24"/>
        </w:rPr>
        <w:t>551 rodzin (o liczbie osób 3</w:t>
      </w:r>
      <w:r w:rsidR="00776F63">
        <w:rPr>
          <w:rFonts w:ascii="Times New Roman" w:hAnsi="Times New Roman"/>
          <w:sz w:val="24"/>
          <w:szCs w:val="24"/>
        </w:rPr>
        <w:t>.</w:t>
      </w:r>
      <w:r>
        <w:rPr>
          <w:rFonts w:ascii="Times New Roman" w:hAnsi="Times New Roman"/>
          <w:sz w:val="24"/>
          <w:szCs w:val="24"/>
        </w:rPr>
        <w:t>008) w formie świadczeń niepieniężnych. Spośród wszystkich osób korzystających w roku sprawozdawczym z różnych form pomocy i wsparcia, 1</w:t>
      </w:r>
      <w:r w:rsidR="00776F63">
        <w:rPr>
          <w:rFonts w:ascii="Times New Roman" w:hAnsi="Times New Roman"/>
          <w:sz w:val="24"/>
          <w:szCs w:val="24"/>
        </w:rPr>
        <w:t>.</w:t>
      </w:r>
      <w:r>
        <w:rPr>
          <w:rFonts w:ascii="Times New Roman" w:hAnsi="Times New Roman"/>
          <w:sz w:val="24"/>
          <w:szCs w:val="24"/>
        </w:rPr>
        <w:t>483 stanowiły osoby w wieku emerytalnym (1</w:t>
      </w:r>
      <w:r w:rsidR="00776F63">
        <w:rPr>
          <w:rFonts w:ascii="Times New Roman" w:hAnsi="Times New Roman"/>
          <w:sz w:val="24"/>
          <w:szCs w:val="24"/>
        </w:rPr>
        <w:t>.</w:t>
      </w:r>
      <w:r>
        <w:rPr>
          <w:rFonts w:ascii="Times New Roman" w:hAnsi="Times New Roman"/>
          <w:sz w:val="24"/>
          <w:szCs w:val="24"/>
        </w:rPr>
        <w:t xml:space="preserve">086 kobiet po 60 roku życia i 397 mężczyzn </w:t>
      </w:r>
      <w:r w:rsidR="007E6857">
        <w:rPr>
          <w:rFonts w:ascii="Times New Roman" w:hAnsi="Times New Roman"/>
          <w:sz w:val="24"/>
          <w:szCs w:val="24"/>
        </w:rPr>
        <w:br/>
      </w:r>
      <w:r>
        <w:rPr>
          <w:rFonts w:ascii="Times New Roman" w:hAnsi="Times New Roman"/>
          <w:sz w:val="24"/>
          <w:szCs w:val="24"/>
        </w:rPr>
        <w:t>w wieku po 65 roku życia). W 2020 r. wśród najczęstszych powodów ubiegania się o pomoc wymienia się: długotrwałą chorobę (2</w:t>
      </w:r>
      <w:r w:rsidR="00776F63">
        <w:rPr>
          <w:rFonts w:ascii="Times New Roman" w:hAnsi="Times New Roman"/>
          <w:sz w:val="24"/>
          <w:szCs w:val="24"/>
        </w:rPr>
        <w:t>.</w:t>
      </w:r>
      <w:r>
        <w:rPr>
          <w:rFonts w:ascii="Times New Roman" w:hAnsi="Times New Roman"/>
          <w:sz w:val="24"/>
          <w:szCs w:val="24"/>
        </w:rPr>
        <w:t>257 środowisk), niepełnosprawność (1</w:t>
      </w:r>
      <w:r w:rsidR="00776F63">
        <w:rPr>
          <w:rFonts w:ascii="Times New Roman" w:hAnsi="Times New Roman"/>
          <w:sz w:val="24"/>
          <w:szCs w:val="24"/>
        </w:rPr>
        <w:t>.</w:t>
      </w:r>
      <w:r>
        <w:rPr>
          <w:rFonts w:ascii="Times New Roman" w:hAnsi="Times New Roman"/>
          <w:sz w:val="24"/>
          <w:szCs w:val="24"/>
        </w:rPr>
        <w:t xml:space="preserve">397 środowisk) </w:t>
      </w:r>
      <w:r>
        <w:rPr>
          <w:rFonts w:ascii="Times New Roman" w:hAnsi="Times New Roman"/>
          <w:sz w:val="24"/>
          <w:szCs w:val="24"/>
        </w:rPr>
        <w:lastRenderedPageBreak/>
        <w:t>i bezrobocie (1</w:t>
      </w:r>
      <w:r w:rsidR="00776F63">
        <w:rPr>
          <w:rFonts w:ascii="Times New Roman" w:hAnsi="Times New Roman"/>
          <w:sz w:val="24"/>
          <w:szCs w:val="24"/>
        </w:rPr>
        <w:t>.</w:t>
      </w:r>
      <w:r>
        <w:rPr>
          <w:rFonts w:ascii="Times New Roman" w:hAnsi="Times New Roman"/>
          <w:sz w:val="24"/>
          <w:szCs w:val="24"/>
        </w:rPr>
        <w:t>035 środowisk). W całym 2020 r. pracownicy socjalni w odniesieniu do 2</w:t>
      </w:r>
      <w:r w:rsidR="00776F63">
        <w:rPr>
          <w:rFonts w:ascii="Times New Roman" w:hAnsi="Times New Roman"/>
          <w:sz w:val="24"/>
          <w:szCs w:val="24"/>
        </w:rPr>
        <w:t>.</w:t>
      </w:r>
      <w:r>
        <w:rPr>
          <w:rFonts w:ascii="Times New Roman" w:hAnsi="Times New Roman"/>
          <w:sz w:val="24"/>
          <w:szCs w:val="24"/>
        </w:rPr>
        <w:t xml:space="preserve">652 rodzin realizowali działania w ramach szeroko pojętej pracy socjalnej, w tym również dla 864 rodzin niekorzystających ze wsparcia materialnego. </w:t>
      </w:r>
    </w:p>
    <w:p w:rsidR="00B94FD7" w:rsidRDefault="00AE6BCB" w:rsidP="00B94FD7">
      <w:pPr>
        <w:spacing w:line="240" w:lineRule="auto"/>
        <w:ind w:firstLine="709"/>
        <w:jc w:val="both"/>
        <w:rPr>
          <w:bCs/>
          <w:iCs/>
          <w:lang w:val="pl-PL"/>
        </w:rPr>
      </w:pPr>
      <w:r>
        <w:rPr>
          <w:bCs/>
          <w:iCs/>
          <w:lang w:val="pl-PL"/>
        </w:rPr>
        <w:t xml:space="preserve">Celem realizacji zadań z zakresu pomocy społecznej jest umożliwienie osobom </w:t>
      </w:r>
      <w:r w:rsidR="007E6857">
        <w:rPr>
          <w:bCs/>
          <w:iCs/>
          <w:lang w:val="pl-PL"/>
        </w:rPr>
        <w:br/>
      </w:r>
      <w:r>
        <w:rPr>
          <w:bCs/>
          <w:iCs/>
          <w:lang w:val="pl-PL"/>
        </w:rPr>
        <w:t xml:space="preserve">i rodzinom przezwyciężenia niekorzystnych sytuacji życiowych, których nie są w stanie pokonać wykorzystując własne zasoby, możliwości i uprawnienia. </w:t>
      </w:r>
      <w:bookmarkStart w:id="47" w:name="__RefHeading__31942_2082197896"/>
      <w:bookmarkStart w:id="48" w:name="_Toc71194096"/>
      <w:bookmarkStart w:id="49" w:name="_Toc69372237"/>
      <w:bookmarkEnd w:id="47"/>
    </w:p>
    <w:p w:rsidR="009004C5" w:rsidRDefault="009004C5" w:rsidP="00B94FD7">
      <w:pPr>
        <w:spacing w:line="240" w:lineRule="auto"/>
        <w:jc w:val="both"/>
        <w:rPr>
          <w:rFonts w:cs="Times New Roman"/>
          <w:b/>
          <w:i/>
          <w:color w:val="4F81BD"/>
          <w:lang w:val="pl-PL"/>
        </w:rPr>
      </w:pPr>
    </w:p>
    <w:p w:rsidR="00AE6BCB" w:rsidRPr="00B94FD7" w:rsidRDefault="00AE6BCB" w:rsidP="00B94FD7">
      <w:pPr>
        <w:spacing w:line="240" w:lineRule="auto"/>
        <w:jc w:val="both"/>
        <w:rPr>
          <w:b/>
          <w:i/>
          <w:lang w:val="pl-PL"/>
        </w:rPr>
      </w:pPr>
      <w:r w:rsidRPr="00B94FD7">
        <w:rPr>
          <w:rFonts w:cs="Times New Roman"/>
          <w:b/>
          <w:i/>
          <w:color w:val="4F81BD"/>
          <w:lang w:val="pl-PL"/>
        </w:rPr>
        <w:t>Działania na rzecz osób z niepełnosprawnością</w:t>
      </w:r>
      <w:bookmarkEnd w:id="48"/>
      <w:bookmarkEnd w:id="49"/>
    </w:p>
    <w:p w:rsidR="00AE6BCB" w:rsidRDefault="00AE6BCB" w:rsidP="009C7C02">
      <w:pPr>
        <w:spacing w:line="240" w:lineRule="auto"/>
        <w:ind w:firstLine="709"/>
        <w:jc w:val="both"/>
        <w:rPr>
          <w:i/>
          <w:lang w:val="pl-PL"/>
        </w:rPr>
      </w:pPr>
      <w:r>
        <w:rPr>
          <w:lang w:val="pl-PL"/>
        </w:rPr>
        <w:t xml:space="preserve">Działania Gminy na rzecz osób </w:t>
      </w:r>
      <w:r>
        <w:rPr>
          <w:bCs/>
          <w:lang w:val="pl-PL"/>
        </w:rPr>
        <w:t xml:space="preserve">z niepełnosprawnością </w:t>
      </w:r>
      <w:r>
        <w:rPr>
          <w:lang w:val="pl-PL"/>
        </w:rPr>
        <w:t xml:space="preserve">realizowane były w roku sprawozdawczym zgodnie z założeniami, przyjętego w 2013 r. (ze zmianami w 2019 r.) </w:t>
      </w:r>
      <w:r>
        <w:rPr>
          <w:b/>
          <w:lang w:val="pl-PL"/>
        </w:rPr>
        <w:t xml:space="preserve">„Programu działań miasta Torunia na rzecz osób </w:t>
      </w:r>
      <w:r>
        <w:rPr>
          <w:b/>
          <w:bCs/>
          <w:lang w:val="pl-PL"/>
        </w:rPr>
        <w:t xml:space="preserve">z niepełnosprawnością </w:t>
      </w:r>
      <w:r>
        <w:rPr>
          <w:b/>
          <w:lang w:val="pl-PL"/>
        </w:rPr>
        <w:t xml:space="preserve">na lata 2014–2020”, </w:t>
      </w:r>
      <w:r>
        <w:rPr>
          <w:lang w:val="pl-PL"/>
        </w:rPr>
        <w:t>kontynuowanego przyjętym w dniu 21.11.2019 r. przez Radę Miasta Torunia</w:t>
      </w:r>
      <w:r>
        <w:rPr>
          <w:b/>
          <w:lang w:val="pl-PL"/>
        </w:rPr>
        <w:t xml:space="preserve"> „Programem działań miasta Torunia na rzecz osób </w:t>
      </w:r>
      <w:r>
        <w:rPr>
          <w:b/>
          <w:bCs/>
          <w:lang w:val="pl-PL"/>
        </w:rPr>
        <w:t xml:space="preserve">z niepełnosprawnością </w:t>
      </w:r>
      <w:r>
        <w:rPr>
          <w:b/>
          <w:lang w:val="pl-PL"/>
        </w:rPr>
        <w:t>na lata 2014–2023. Aktualizacja”</w:t>
      </w:r>
      <w:r>
        <w:rPr>
          <w:lang w:val="pl-PL"/>
        </w:rPr>
        <w:t xml:space="preserve">. </w:t>
      </w:r>
    </w:p>
    <w:p w:rsidR="00AE6BCB" w:rsidRDefault="00AE6BCB" w:rsidP="009C7C02">
      <w:pPr>
        <w:spacing w:line="240" w:lineRule="auto"/>
        <w:jc w:val="both"/>
        <w:rPr>
          <w:lang w:val="pl-PL"/>
        </w:rPr>
      </w:pPr>
      <w:r>
        <w:rPr>
          <w:i/>
          <w:lang w:val="pl-PL"/>
        </w:rPr>
        <w:t>Szczegółowe sprawozdanie z realizacji Programu zawiera odrębna informacja przedkładana Radzie Miasta Torunia zgodnie z procedurą.</w:t>
      </w:r>
    </w:p>
    <w:p w:rsidR="00AE6BCB" w:rsidRDefault="00AE6BCB" w:rsidP="009C7C02">
      <w:pPr>
        <w:spacing w:line="240" w:lineRule="auto"/>
        <w:ind w:firstLine="709"/>
        <w:jc w:val="both"/>
        <w:rPr>
          <w:lang w:val="pl-PL"/>
        </w:rPr>
      </w:pPr>
      <w:r>
        <w:rPr>
          <w:lang w:val="pl-PL"/>
        </w:rPr>
        <w:t xml:space="preserve">Pomoc osobom z niepełnosprawnościami odbywa się w głównej mierze poprzez pozyskiwanie środków Państwowego Funduszu Rehabilitacji Osób Niepełnosprawnych </w:t>
      </w:r>
      <w:r w:rsidR="007E3406">
        <w:rPr>
          <w:lang w:val="pl-PL"/>
        </w:rPr>
        <w:br/>
      </w:r>
      <w:r>
        <w:rPr>
          <w:lang w:val="pl-PL"/>
        </w:rPr>
        <w:t xml:space="preserve">z przeznaczeniem na rehabilitację zawodową i społeczną. W 2020 r. na rehabilitację zawodową przeznaczono </w:t>
      </w:r>
      <w:r w:rsidR="00776F63">
        <w:rPr>
          <w:lang w:val="pl-PL"/>
        </w:rPr>
        <w:t>ponad 512 tys.</w:t>
      </w:r>
      <w:r>
        <w:rPr>
          <w:lang w:val="pl-PL"/>
        </w:rPr>
        <w:t xml:space="preserve"> zł, a na rehabilitację społeczną </w:t>
      </w:r>
      <w:r w:rsidR="00776F63">
        <w:rPr>
          <w:lang w:val="pl-PL"/>
        </w:rPr>
        <w:t>prawie 4.685 tys.</w:t>
      </w:r>
      <w:r>
        <w:rPr>
          <w:lang w:val="pl-PL"/>
        </w:rPr>
        <w:t xml:space="preserve"> zł.</w:t>
      </w:r>
    </w:p>
    <w:p w:rsidR="00AE6BCB" w:rsidRDefault="00AE6BCB" w:rsidP="009C7C02">
      <w:pPr>
        <w:spacing w:line="240" w:lineRule="auto"/>
        <w:ind w:firstLine="709"/>
        <w:jc w:val="both"/>
        <w:rPr>
          <w:bCs/>
          <w:lang w:val="pl-PL"/>
        </w:rPr>
      </w:pPr>
      <w:r>
        <w:rPr>
          <w:lang w:val="pl-PL"/>
        </w:rPr>
        <w:t xml:space="preserve">W zakresie rehabilitacji społecznej osoby z niepełnosprawnością skorzystały </w:t>
      </w:r>
      <w:r w:rsidR="007E3406">
        <w:rPr>
          <w:lang w:val="pl-PL"/>
        </w:rPr>
        <w:br/>
      </w:r>
      <w:r>
        <w:rPr>
          <w:lang w:val="pl-PL"/>
        </w:rPr>
        <w:t xml:space="preserve">z dofinansowania do uczestnictwa w turnusach rehabilitacyjnych (200 osób), likwidacji barier architektonicznych, w komunikowaniu się i technicznych (169 osób), zaopatrzenia w sprzęt rehabilitacyjny, przedmioty ortopedyczne i środki pomocnicze (871 osób) oraz z usług tłumacza migowego (11 osób). W ramach dofinansowania sportu, kultury, rekreacji </w:t>
      </w:r>
      <w:r w:rsidR="007E3406">
        <w:rPr>
          <w:lang w:val="pl-PL"/>
        </w:rPr>
        <w:br/>
      </w:r>
      <w:r>
        <w:rPr>
          <w:lang w:val="pl-PL"/>
        </w:rPr>
        <w:t xml:space="preserve">i turystyki osób niepełnosprawnych zrealizowany został 1 wniosek organizacji pozarządowej (z dofinansowania skorzystało 30 osób). Ponadto z ww. środków finansowany był udział 125 osób niewidomych oraz niepełnosprawnych intelektualnie w warsztatach terapii zajęciowej. </w:t>
      </w:r>
      <w:r>
        <w:rPr>
          <w:bCs/>
          <w:lang w:val="pl-PL"/>
        </w:rPr>
        <w:t>W 2020 r. na ogólną liczbę 1</w:t>
      </w:r>
      <w:r w:rsidR="00776F63">
        <w:rPr>
          <w:bCs/>
          <w:lang w:val="pl-PL"/>
        </w:rPr>
        <w:t>.</w:t>
      </w:r>
      <w:r>
        <w:rPr>
          <w:bCs/>
          <w:lang w:val="pl-PL"/>
        </w:rPr>
        <w:t>508 złożonych wniosków o wsparcie w zakresie rehabilitacji społecznej pozytywnie rozpatrzono 1</w:t>
      </w:r>
      <w:r w:rsidR="00776F63">
        <w:rPr>
          <w:bCs/>
          <w:lang w:val="pl-PL"/>
        </w:rPr>
        <w:t>.252 wnioski.</w:t>
      </w:r>
      <w:r>
        <w:rPr>
          <w:bCs/>
          <w:lang w:val="pl-PL"/>
        </w:rPr>
        <w:t xml:space="preserve"> Ponadto ze środków Państwowego Funduszu Rehabilitacji Społecznej Osób Niepełnosprawnych realizowany był także moduł III programu </w:t>
      </w:r>
      <w:r w:rsidRPr="00917E6D">
        <w:rPr>
          <w:bCs/>
          <w:lang w:val="pl-PL"/>
        </w:rPr>
        <w:t>,,Pomoc osobom niepełnosprawnym poszkodowanym w wyniku żywiołu lub sytuacji kryzysowych wywołanych chorobami zakaźnymi”</w:t>
      </w:r>
      <w:r>
        <w:rPr>
          <w:bCs/>
          <w:lang w:val="pl-PL"/>
        </w:rPr>
        <w:t>, w ramach którego ws</w:t>
      </w:r>
      <w:r w:rsidR="007E3406">
        <w:rPr>
          <w:bCs/>
          <w:lang w:val="pl-PL"/>
        </w:rPr>
        <w:t>parcie na łączną kwotę 1.</w:t>
      </w:r>
      <w:r w:rsidR="00776F63">
        <w:rPr>
          <w:bCs/>
          <w:lang w:val="pl-PL"/>
        </w:rPr>
        <w:t>024 tys.</w:t>
      </w:r>
      <w:r>
        <w:rPr>
          <w:bCs/>
          <w:lang w:val="pl-PL"/>
        </w:rPr>
        <w:t xml:space="preserve"> zł otrzymały 552 osoby niepełnosprawne. </w:t>
      </w:r>
    </w:p>
    <w:p w:rsidR="00AE6BCB" w:rsidRDefault="00AE6BCB" w:rsidP="009C7C02">
      <w:pPr>
        <w:spacing w:line="240" w:lineRule="auto"/>
        <w:ind w:firstLine="709"/>
        <w:jc w:val="both"/>
        <w:rPr>
          <w:bCs/>
          <w:lang w:val="pl-PL"/>
        </w:rPr>
      </w:pPr>
      <w:r>
        <w:rPr>
          <w:bCs/>
          <w:lang w:val="pl-PL"/>
        </w:rPr>
        <w:t>W ramach obsługi komunikacyjnej osób z niepełnospraw</w:t>
      </w:r>
      <w:r w:rsidR="00776F63">
        <w:rPr>
          <w:bCs/>
          <w:lang w:val="pl-PL"/>
        </w:rPr>
        <w:t>nościami w 2020 r. wykonano 110.</w:t>
      </w:r>
      <w:r>
        <w:rPr>
          <w:bCs/>
          <w:lang w:val="pl-PL"/>
        </w:rPr>
        <w:t>624 km efektywnych przebiegów pojazdów (6 samochodów) i przewieziono 8</w:t>
      </w:r>
      <w:r w:rsidR="00776F63">
        <w:rPr>
          <w:bCs/>
          <w:lang w:val="pl-PL"/>
        </w:rPr>
        <w:t>.</w:t>
      </w:r>
      <w:r>
        <w:rPr>
          <w:bCs/>
          <w:lang w:val="pl-PL"/>
        </w:rPr>
        <w:t xml:space="preserve">380 osób z niepełnosprawnością. Przewozy finansowane są w 90% ze środków Gminy, </w:t>
      </w:r>
      <w:r w:rsidR="007E3406">
        <w:rPr>
          <w:bCs/>
          <w:lang w:val="pl-PL"/>
        </w:rPr>
        <w:br/>
      </w:r>
      <w:r>
        <w:rPr>
          <w:bCs/>
          <w:lang w:val="pl-PL"/>
        </w:rPr>
        <w:t>w 2020 r. koszt re</w:t>
      </w:r>
      <w:r w:rsidR="00776F63">
        <w:rPr>
          <w:bCs/>
          <w:lang w:val="pl-PL"/>
        </w:rPr>
        <w:t>alizacji zadania wyniósł 371 tys.</w:t>
      </w:r>
      <w:r>
        <w:rPr>
          <w:bCs/>
          <w:lang w:val="pl-PL"/>
        </w:rPr>
        <w:t xml:space="preserve"> zł. Osoby z niepełnosprawnością korzystały również z uprawnień do bezpłatnych lub ulgowych przejazdów komunikacją miejską.</w:t>
      </w:r>
    </w:p>
    <w:p w:rsidR="00776F63" w:rsidRDefault="00AE6BCB" w:rsidP="009C7C02">
      <w:pPr>
        <w:spacing w:line="240" w:lineRule="auto"/>
        <w:ind w:firstLine="709"/>
        <w:jc w:val="both"/>
        <w:rPr>
          <w:bCs/>
          <w:lang w:val="pl-PL"/>
        </w:rPr>
      </w:pPr>
      <w:r>
        <w:rPr>
          <w:bCs/>
          <w:lang w:val="pl-PL"/>
        </w:rPr>
        <w:t xml:space="preserve">W ramach likwidacji barier architektonicznych w 2020 r. Gmina otrzymała z PFRON środki w ramach </w:t>
      </w:r>
      <w:r w:rsidRPr="00917E6D">
        <w:rPr>
          <w:bCs/>
          <w:lang w:val="pl-PL"/>
        </w:rPr>
        <w:t>„Programu wyrównywania różnic między regionami III”</w:t>
      </w:r>
      <w:r>
        <w:rPr>
          <w:bCs/>
          <w:lang w:val="pl-PL"/>
        </w:rPr>
        <w:t xml:space="preserve"> na budowę windy przy budynku Urzędu Miasta Torunia przy ul. Batorego 40 w Toruniu (dofinansowa</w:t>
      </w:r>
      <w:r w:rsidR="00776F63">
        <w:rPr>
          <w:bCs/>
          <w:lang w:val="pl-PL"/>
        </w:rPr>
        <w:t>nie – 135,6 tys.</w:t>
      </w:r>
      <w:r>
        <w:rPr>
          <w:bCs/>
          <w:lang w:val="pl-PL"/>
        </w:rPr>
        <w:t xml:space="preserve"> zł) oraz na budowę platformy schodowej przy budynku Szkoły Podstawowej</w:t>
      </w:r>
      <w:r w:rsidR="007E3406">
        <w:rPr>
          <w:bCs/>
          <w:lang w:val="pl-PL"/>
        </w:rPr>
        <w:br/>
      </w:r>
      <w:r>
        <w:rPr>
          <w:bCs/>
          <w:lang w:val="pl-PL"/>
        </w:rPr>
        <w:t xml:space="preserve"> nr 23 im. Kawalerów Orderu Uśmiechu w </w:t>
      </w:r>
      <w:r w:rsidR="00776F63">
        <w:rPr>
          <w:bCs/>
          <w:lang w:val="pl-PL"/>
        </w:rPr>
        <w:t>Toruniu (dofinansowanie – ponad 11 tys.</w:t>
      </w:r>
      <w:r>
        <w:rPr>
          <w:bCs/>
          <w:lang w:val="pl-PL"/>
        </w:rPr>
        <w:t xml:space="preserve"> zł). </w:t>
      </w:r>
    </w:p>
    <w:p w:rsidR="00AE6BCB" w:rsidRDefault="00AE6BCB" w:rsidP="009C7C02">
      <w:pPr>
        <w:spacing w:line="240" w:lineRule="auto"/>
        <w:ind w:firstLine="709"/>
        <w:jc w:val="both"/>
        <w:rPr>
          <w:bCs/>
          <w:lang w:val="pl-PL"/>
        </w:rPr>
      </w:pPr>
      <w:r>
        <w:rPr>
          <w:bCs/>
          <w:lang w:val="pl-PL"/>
        </w:rPr>
        <w:t xml:space="preserve">Ponadto wydawano </w:t>
      </w:r>
      <w:r w:rsidRPr="00917E6D">
        <w:rPr>
          <w:bCs/>
          <w:lang w:val="pl-PL"/>
        </w:rPr>
        <w:t>Toruńską Kartę Osoby z Niepełnosprawnością</w:t>
      </w:r>
      <w:r>
        <w:rPr>
          <w:bCs/>
          <w:lang w:val="pl-PL"/>
        </w:rPr>
        <w:t>, która upoważnia beneficjentów do korzystania ze zniżek i ulg udzielanych przez partnerów programu. Na koniec grudnia 2020 r. wydano 1</w:t>
      </w:r>
      <w:r w:rsidR="00776F63">
        <w:rPr>
          <w:bCs/>
          <w:lang w:val="pl-PL"/>
        </w:rPr>
        <w:t>.</w:t>
      </w:r>
      <w:r>
        <w:rPr>
          <w:bCs/>
          <w:lang w:val="pl-PL"/>
        </w:rPr>
        <w:t xml:space="preserve">586 kart, podpisano 47 umów partnerskich </w:t>
      </w:r>
      <w:r w:rsidR="007E3406">
        <w:rPr>
          <w:bCs/>
          <w:lang w:val="pl-PL"/>
        </w:rPr>
        <w:br/>
      </w:r>
      <w:r>
        <w:rPr>
          <w:bCs/>
          <w:lang w:val="pl-PL"/>
        </w:rPr>
        <w:t xml:space="preserve">z przedsiębiorcami oferującymi posiadaczom Toruńskiej Karty Osoby z Niepełnosprawnością swoje produkty i usługi. </w:t>
      </w:r>
    </w:p>
    <w:p w:rsidR="00AE6BCB" w:rsidRDefault="00AE6BCB" w:rsidP="009C7C02">
      <w:pPr>
        <w:spacing w:line="240" w:lineRule="auto"/>
        <w:ind w:firstLine="709"/>
        <w:jc w:val="both"/>
        <w:rPr>
          <w:lang w:val="pl-PL"/>
        </w:rPr>
      </w:pPr>
      <w:r>
        <w:rPr>
          <w:bCs/>
          <w:lang w:val="pl-PL"/>
        </w:rPr>
        <w:lastRenderedPageBreak/>
        <w:t xml:space="preserve">W ramach resortowego programu Ministra Rodziny i Polityki Społecznej </w:t>
      </w:r>
      <w:r w:rsidRPr="0088088B">
        <w:rPr>
          <w:b/>
          <w:bCs/>
          <w:lang w:val="pl-PL"/>
        </w:rPr>
        <w:t>,,Asystent osobisty osoby niepełnosprawnej” edycja 2019-2020</w:t>
      </w:r>
      <w:r>
        <w:rPr>
          <w:bCs/>
          <w:lang w:val="pl-PL"/>
        </w:rPr>
        <w:t xml:space="preserve"> wsparciem w postaci usług asystenckich objęto 68 osób niepełnosprawnych (w tym 55 osób ze znacznym i 13 osób </w:t>
      </w:r>
      <w:r w:rsidR="007E3406">
        <w:rPr>
          <w:bCs/>
          <w:lang w:val="pl-PL"/>
        </w:rPr>
        <w:br/>
      </w:r>
      <w:r>
        <w:rPr>
          <w:bCs/>
          <w:lang w:val="pl-PL"/>
        </w:rPr>
        <w:t xml:space="preserve">z umiarkowanym stopniem niepełnosprawności). </w:t>
      </w:r>
    </w:p>
    <w:p w:rsidR="00AE6BCB" w:rsidRDefault="00AE6BCB" w:rsidP="009C7C02">
      <w:pPr>
        <w:pStyle w:val="NoSpacing"/>
        <w:spacing w:line="240" w:lineRule="auto"/>
        <w:ind w:firstLine="709"/>
        <w:jc w:val="both"/>
        <w:rPr>
          <w:b/>
          <w:sz w:val="24"/>
          <w:szCs w:val="24"/>
        </w:rPr>
      </w:pPr>
      <w:r>
        <w:rPr>
          <w:rFonts w:ascii="Times New Roman" w:hAnsi="Times New Roman"/>
          <w:sz w:val="24"/>
          <w:szCs w:val="24"/>
        </w:rPr>
        <w:t>W mieście prowadzone są również działania m.in. na rzecz seniorów z zakresu opieki instytucjonalnej, w tym opieki zdrowotnej długoterminowej i w ramach pomocy społecznej. W 2020 r. opieka instytucjonalna realizowana była (m.in. na rzecz seniorów) poprzez:</w:t>
      </w:r>
    </w:p>
    <w:p w:rsidR="00AE6BCB" w:rsidRPr="007E3406" w:rsidRDefault="00AE6BCB" w:rsidP="00912BD8">
      <w:pPr>
        <w:pStyle w:val="ListParagraph"/>
        <w:numPr>
          <w:ilvl w:val="1"/>
          <w:numId w:val="11"/>
        </w:numPr>
        <w:spacing w:line="240" w:lineRule="auto"/>
        <w:ind w:left="357" w:hanging="357"/>
        <w:jc w:val="both"/>
        <w:rPr>
          <w:lang w:val="pl-PL"/>
        </w:rPr>
      </w:pPr>
      <w:r>
        <w:rPr>
          <w:b/>
          <w:lang w:val="pl-PL"/>
        </w:rPr>
        <w:t>Całodobowe placówki opieki nad osobami starszymi i niesamodzielnymi, w tym:</w:t>
      </w:r>
    </w:p>
    <w:p w:rsidR="00AE6BCB" w:rsidRPr="007E3406" w:rsidRDefault="00AE6BCB" w:rsidP="00912BD8">
      <w:pPr>
        <w:pStyle w:val="ListParagraph"/>
        <w:numPr>
          <w:ilvl w:val="0"/>
          <w:numId w:val="32"/>
        </w:numPr>
        <w:spacing w:line="240" w:lineRule="auto"/>
        <w:jc w:val="both"/>
        <w:rPr>
          <w:lang w:val="pl-PL"/>
        </w:rPr>
      </w:pPr>
      <w:r w:rsidRPr="007E3406">
        <w:t xml:space="preserve">Zakład Pielęgnacyjno-Opiekuńczy – 141 miejsc w opiece stacjonarnej i 45 miejsc </w:t>
      </w:r>
      <w:r w:rsidR="007E3406" w:rsidRPr="007E3406">
        <w:br/>
      </w:r>
      <w:r w:rsidRPr="007E3406">
        <w:t>w opiece dziennej. W 2020 r. zakończono rozbudowę i modernizację infrastruktury Zakładu w celu zwiększenia dostępności do usług zdrowotnych w zakresie opieki długoterminowej. Dzięki czemu li</w:t>
      </w:r>
      <w:r w:rsidR="00776F63" w:rsidRPr="007E3406">
        <w:t>czba miejsc zwiększyła się o 33,</w:t>
      </w:r>
    </w:p>
    <w:p w:rsidR="00AE6BCB" w:rsidRPr="007E3406" w:rsidRDefault="00AE6BCB" w:rsidP="00912BD8">
      <w:pPr>
        <w:pStyle w:val="ListParagraph"/>
        <w:numPr>
          <w:ilvl w:val="0"/>
          <w:numId w:val="32"/>
        </w:numPr>
        <w:spacing w:line="240" w:lineRule="auto"/>
        <w:jc w:val="both"/>
        <w:rPr>
          <w:lang w:val="pl-PL"/>
        </w:rPr>
      </w:pPr>
      <w:r w:rsidRPr="007E3406">
        <w:t>Zakład Opiekuńczo-Leczniczy Fundacji „Światło” – 46 miejsc,</w:t>
      </w:r>
    </w:p>
    <w:p w:rsidR="00AE6BCB" w:rsidRPr="007E3406" w:rsidRDefault="00AE6BCB" w:rsidP="00912BD8">
      <w:pPr>
        <w:pStyle w:val="ListParagraph"/>
        <w:numPr>
          <w:ilvl w:val="0"/>
          <w:numId w:val="32"/>
        </w:numPr>
        <w:spacing w:line="240" w:lineRule="auto"/>
        <w:jc w:val="both"/>
        <w:rPr>
          <w:lang w:val="pl-PL"/>
        </w:rPr>
      </w:pPr>
      <w:r w:rsidRPr="007E3406">
        <w:t>Zakład Opiekuńczo-Leczniczy prowadzony przez ZCMBB „Serafitki” – 85 miejsc.</w:t>
      </w:r>
    </w:p>
    <w:p w:rsidR="00AE6BCB" w:rsidRPr="007E3406" w:rsidRDefault="00AE6BCB" w:rsidP="00912BD8">
      <w:pPr>
        <w:pStyle w:val="ListParagraph"/>
        <w:numPr>
          <w:ilvl w:val="1"/>
          <w:numId w:val="11"/>
        </w:numPr>
        <w:spacing w:line="240" w:lineRule="auto"/>
        <w:ind w:left="357" w:hanging="357"/>
        <w:jc w:val="both"/>
        <w:rPr>
          <w:lang w:val="pl-PL"/>
        </w:rPr>
      </w:pPr>
      <w:r>
        <w:rPr>
          <w:b/>
          <w:lang w:val="pl-PL"/>
        </w:rPr>
        <w:t>Opieka całodobowa długoterminowa (3 podmioty, 222 miejsca):</w:t>
      </w:r>
    </w:p>
    <w:p w:rsidR="00AE6BCB" w:rsidRDefault="00AE6BCB" w:rsidP="00912BD8">
      <w:pPr>
        <w:pStyle w:val="ListParagraph"/>
        <w:numPr>
          <w:ilvl w:val="0"/>
          <w:numId w:val="33"/>
        </w:numPr>
        <w:spacing w:line="240" w:lineRule="auto"/>
        <w:jc w:val="both"/>
        <w:rPr>
          <w:lang w:val="pl-PL"/>
        </w:rPr>
      </w:pPr>
      <w:r w:rsidRPr="007E3406">
        <w:rPr>
          <w:lang w:val="pl-PL"/>
        </w:rPr>
        <w:t>Dom Pomocy Społecznej prowadzony przez Gminę (174 miejsca),</w:t>
      </w:r>
    </w:p>
    <w:p w:rsidR="00AE6BCB" w:rsidRDefault="00AE6BCB" w:rsidP="00912BD8">
      <w:pPr>
        <w:pStyle w:val="ListParagraph"/>
        <w:numPr>
          <w:ilvl w:val="0"/>
          <w:numId w:val="33"/>
        </w:numPr>
        <w:spacing w:line="240" w:lineRule="auto"/>
        <w:jc w:val="both"/>
        <w:rPr>
          <w:lang w:val="pl-PL"/>
        </w:rPr>
      </w:pPr>
      <w:r w:rsidRPr="007E3406">
        <w:rPr>
          <w:lang w:val="pl-PL"/>
        </w:rPr>
        <w:t>Dom Pomocy Społecznej dla osób dorosłych prowadzony przez Fundację im. Brata Alberta (35 miejsc dla osób z niepełnosprawnością intelektualną),</w:t>
      </w:r>
    </w:p>
    <w:p w:rsidR="00AE6BCB" w:rsidRPr="007E3406" w:rsidRDefault="00776F63" w:rsidP="00912BD8">
      <w:pPr>
        <w:pStyle w:val="ListParagraph"/>
        <w:numPr>
          <w:ilvl w:val="0"/>
          <w:numId w:val="33"/>
        </w:numPr>
        <w:spacing w:line="240" w:lineRule="auto"/>
        <w:jc w:val="both"/>
        <w:rPr>
          <w:lang w:val="pl-PL"/>
        </w:rPr>
      </w:pPr>
      <w:r w:rsidRPr="007E3406">
        <w:rPr>
          <w:lang w:val="pl-PL"/>
        </w:rPr>
        <w:t>m</w:t>
      </w:r>
      <w:r w:rsidR="00AE6BCB" w:rsidRPr="007E3406">
        <w:rPr>
          <w:lang w:val="pl-PL"/>
        </w:rPr>
        <w:t>iejsca całodobowe okresowego pobytu prowadzone</w:t>
      </w:r>
      <w:r w:rsidR="00AC59F6">
        <w:rPr>
          <w:lang w:val="pl-PL"/>
        </w:rPr>
        <w:t xml:space="preserve"> przez parafię rzymskokatolicką</w:t>
      </w:r>
      <w:r w:rsidR="00AC59F6">
        <w:rPr>
          <w:lang w:val="pl-PL"/>
        </w:rPr>
        <w:br/>
      </w:r>
      <w:r w:rsidR="00AE6BCB" w:rsidRPr="007E3406">
        <w:rPr>
          <w:lang w:val="pl-PL"/>
        </w:rPr>
        <w:t>pw. Miłosierdzia Bożego i św. Faustyny (13 miejsc);</w:t>
      </w:r>
    </w:p>
    <w:p w:rsidR="00AE6BCB" w:rsidRPr="007E3406" w:rsidRDefault="00AE6BCB" w:rsidP="00912BD8">
      <w:pPr>
        <w:pStyle w:val="ListParagraph"/>
        <w:numPr>
          <w:ilvl w:val="1"/>
          <w:numId w:val="11"/>
        </w:numPr>
        <w:spacing w:line="240" w:lineRule="auto"/>
        <w:ind w:left="357" w:hanging="357"/>
        <w:jc w:val="both"/>
        <w:rPr>
          <w:lang w:val="pl-PL"/>
        </w:rPr>
      </w:pPr>
      <w:r>
        <w:rPr>
          <w:b/>
          <w:lang w:val="pl-PL"/>
        </w:rPr>
        <w:t>Opieka dzienna (3 podmioty, 160 miejsc):</w:t>
      </w:r>
    </w:p>
    <w:p w:rsidR="00AE6BCB" w:rsidRDefault="00AE6BCB" w:rsidP="00912BD8">
      <w:pPr>
        <w:pStyle w:val="ListParagraph"/>
        <w:numPr>
          <w:ilvl w:val="0"/>
          <w:numId w:val="34"/>
        </w:numPr>
        <w:spacing w:line="240" w:lineRule="auto"/>
        <w:jc w:val="both"/>
        <w:rPr>
          <w:lang w:val="pl-PL"/>
        </w:rPr>
      </w:pPr>
      <w:r w:rsidRPr="007E3406">
        <w:rPr>
          <w:lang w:val="pl-PL"/>
        </w:rPr>
        <w:t>Dzienny Dom Pomocy Społecznej prowadzony przez Gminę (85 miejsc),</w:t>
      </w:r>
    </w:p>
    <w:p w:rsidR="00AE6BCB" w:rsidRDefault="00AE6BCB" w:rsidP="00912BD8">
      <w:pPr>
        <w:pStyle w:val="ListParagraph"/>
        <w:numPr>
          <w:ilvl w:val="0"/>
          <w:numId w:val="34"/>
        </w:numPr>
        <w:spacing w:line="240" w:lineRule="auto"/>
        <w:jc w:val="both"/>
        <w:rPr>
          <w:lang w:val="pl-PL"/>
        </w:rPr>
      </w:pPr>
      <w:r w:rsidRPr="007E3406">
        <w:rPr>
          <w:lang w:val="pl-PL"/>
        </w:rPr>
        <w:t xml:space="preserve">Dzienny Dom Pomocy Społecznej prowadzony przez parafię rzymskokatolicką </w:t>
      </w:r>
      <w:r w:rsidR="00AC59F6">
        <w:rPr>
          <w:lang w:val="pl-PL"/>
        </w:rPr>
        <w:br/>
      </w:r>
      <w:r w:rsidRPr="007E3406">
        <w:rPr>
          <w:lang w:val="pl-PL"/>
        </w:rPr>
        <w:t>pw. Miłosierdzia Bożego i św. Faustyny (37 miejsc),</w:t>
      </w:r>
    </w:p>
    <w:p w:rsidR="00AE6BCB" w:rsidRPr="007E3406" w:rsidRDefault="00AE6BCB" w:rsidP="00912BD8">
      <w:pPr>
        <w:pStyle w:val="ListParagraph"/>
        <w:numPr>
          <w:ilvl w:val="0"/>
          <w:numId w:val="34"/>
        </w:numPr>
        <w:spacing w:line="240" w:lineRule="auto"/>
        <w:jc w:val="both"/>
        <w:rPr>
          <w:lang w:val="pl-PL"/>
        </w:rPr>
      </w:pPr>
      <w:r w:rsidRPr="007E3406">
        <w:rPr>
          <w:lang w:val="pl-PL"/>
        </w:rPr>
        <w:t xml:space="preserve">Dzienny Dom Pobytu dla Seniorów prowadzony przez Toruńskie Centrum Caritas </w:t>
      </w:r>
      <w:r w:rsidR="00AC59F6">
        <w:rPr>
          <w:lang w:val="pl-PL"/>
        </w:rPr>
        <w:br/>
      </w:r>
      <w:r w:rsidRPr="007E3406">
        <w:rPr>
          <w:lang w:val="pl-PL"/>
        </w:rPr>
        <w:t>(38 miejsc).</w:t>
      </w:r>
    </w:p>
    <w:p w:rsidR="00AE6BCB" w:rsidRDefault="00AE6BCB" w:rsidP="0082609E">
      <w:pPr>
        <w:spacing w:line="240" w:lineRule="auto"/>
        <w:ind w:firstLine="426"/>
        <w:jc w:val="both"/>
        <w:rPr>
          <w:rFonts w:eastAsia="SimSun"/>
          <w:bCs/>
          <w:lang w:val="pl-PL"/>
        </w:rPr>
      </w:pPr>
      <w:r>
        <w:rPr>
          <w:lang w:val="pl-PL"/>
        </w:rPr>
        <w:t xml:space="preserve">Uzupełnieniem opieki instytucjonalnej były usługi opiekuńcze świadczone w miejscu zamieszkania, z których w 2020 r. skorzystało 867 osób (ok. 265 tys. godzin) oraz realizacja </w:t>
      </w:r>
      <w:r w:rsidRPr="00917E6D">
        <w:rPr>
          <w:rFonts w:eastAsia="SimSun"/>
          <w:bCs/>
          <w:lang w:val="pl-PL"/>
        </w:rPr>
        <w:t>opieki wytchnieniowej</w:t>
      </w:r>
      <w:r>
        <w:rPr>
          <w:rFonts w:eastAsia="SimSun"/>
          <w:bCs/>
          <w:lang w:val="pl-PL"/>
        </w:rPr>
        <w:t xml:space="preserve"> i programu </w:t>
      </w:r>
      <w:r w:rsidRPr="00917E6D">
        <w:rPr>
          <w:rFonts w:eastAsia="SimSun"/>
          <w:bCs/>
          <w:lang w:val="pl-PL"/>
        </w:rPr>
        <w:t>„Wspieraj seniora”.</w:t>
      </w:r>
    </w:p>
    <w:p w:rsidR="00AE6BCB" w:rsidRDefault="00AE6BCB" w:rsidP="0082609E">
      <w:pPr>
        <w:spacing w:line="240" w:lineRule="auto"/>
        <w:ind w:firstLine="357"/>
        <w:jc w:val="both"/>
        <w:rPr>
          <w:lang w:val="pl-PL"/>
        </w:rPr>
      </w:pPr>
      <w:r>
        <w:rPr>
          <w:rFonts w:eastAsia="SimSun"/>
          <w:bCs/>
          <w:lang w:val="pl-PL"/>
        </w:rPr>
        <w:t xml:space="preserve">Świadczenie usługi opieki wytchnieniowej było realizowane w ramach programu Ministra Rodziny i Polityki Społecznej </w:t>
      </w:r>
      <w:r w:rsidR="0082609E">
        <w:rPr>
          <w:rFonts w:eastAsia="SimSun"/>
          <w:b/>
          <w:bCs/>
          <w:lang w:val="pl-PL"/>
        </w:rPr>
        <w:t>„Opieka wytchnieniowa” </w:t>
      </w:r>
      <w:r w:rsidRPr="0088088B">
        <w:rPr>
          <w:rFonts w:eastAsia="SimSun"/>
          <w:b/>
          <w:bCs/>
          <w:lang w:val="pl-PL"/>
        </w:rPr>
        <w:t>edycja 2020</w:t>
      </w:r>
      <w:r>
        <w:rPr>
          <w:rFonts w:eastAsia="SimSun"/>
          <w:bCs/>
          <w:lang w:val="pl-PL"/>
        </w:rPr>
        <w:t xml:space="preserve">, współfinansowanego ze środków państwowego funduszu celowego pn. Solidarnościowy Fundusz Wsparcia Osób Niepełnosprawnych. </w:t>
      </w:r>
      <w:r>
        <w:rPr>
          <w:lang w:val="pl-PL"/>
        </w:rPr>
        <w:t>Celem głównym programu było wsparcie członków rodzin lub opiekunów sprawujących bezpośrednią opiekę nad osobami zależnymi poprzez możliwość uzyskania doraźnej, krótkotrwałej przerwy w sprawowaniu opieki oraz podniesienie swoich umiejętności i wiedzy w zakresie opieki nad tym osobami. Program realizowany był w dwóch formach:</w:t>
      </w:r>
    </w:p>
    <w:p w:rsidR="00AE6BCB" w:rsidRPr="0082609E" w:rsidRDefault="00AE6BCB" w:rsidP="0082609E">
      <w:pPr>
        <w:numPr>
          <w:ilvl w:val="0"/>
          <w:numId w:val="79"/>
        </w:numPr>
        <w:spacing w:line="240" w:lineRule="auto"/>
        <w:jc w:val="both"/>
        <w:rPr>
          <w:lang w:val="pl-PL"/>
        </w:rPr>
      </w:pPr>
      <w:r w:rsidRPr="0082609E">
        <w:rPr>
          <w:lang w:val="pl-PL"/>
        </w:rPr>
        <w:t>w ramach pobytu dziennego w miejscu zamieszkania o</w:t>
      </w:r>
      <w:r w:rsidR="00776F63" w:rsidRPr="0082609E">
        <w:rPr>
          <w:lang w:val="pl-PL"/>
        </w:rPr>
        <w:t xml:space="preserve">soby niepełnosprawnej - </w:t>
      </w:r>
      <w:r w:rsidR="00D4085E" w:rsidRPr="0082609E">
        <w:rPr>
          <w:lang w:val="pl-PL"/>
        </w:rPr>
        <w:t>skorzystały 54 osoby (</w:t>
      </w:r>
      <w:r w:rsidR="00776F63" w:rsidRPr="0082609E">
        <w:rPr>
          <w:lang w:val="pl-PL"/>
        </w:rPr>
        <w:t>w tym 4 dzieci</w:t>
      </w:r>
      <w:r w:rsidR="00D4085E" w:rsidRPr="0082609E">
        <w:rPr>
          <w:lang w:val="pl-PL"/>
        </w:rPr>
        <w:t>)</w:t>
      </w:r>
      <w:r w:rsidR="00776F63" w:rsidRPr="0082609E">
        <w:rPr>
          <w:lang w:val="pl-PL"/>
        </w:rPr>
        <w:t xml:space="preserve"> </w:t>
      </w:r>
      <w:r w:rsidR="00776F63" w:rsidRPr="0082609E">
        <w:rPr>
          <w:bCs/>
          <w:lang w:val="pl-PL"/>
        </w:rPr>
        <w:t>z orzeczeniem o znacznym stopniu niepełnosprawności;</w:t>
      </w:r>
    </w:p>
    <w:p w:rsidR="00AE6BCB" w:rsidRPr="0082609E" w:rsidRDefault="0082609E" w:rsidP="0082609E">
      <w:pPr>
        <w:numPr>
          <w:ilvl w:val="0"/>
          <w:numId w:val="79"/>
        </w:numPr>
        <w:spacing w:line="240" w:lineRule="auto"/>
        <w:jc w:val="both"/>
        <w:rPr>
          <w:lang w:val="pl-PL"/>
        </w:rPr>
      </w:pPr>
      <w:r>
        <w:rPr>
          <w:lang w:val="pl-PL"/>
        </w:rPr>
        <w:t xml:space="preserve"> </w:t>
      </w:r>
      <w:r w:rsidR="00AE6BCB" w:rsidRPr="0082609E">
        <w:rPr>
          <w:lang w:val="pl-PL"/>
        </w:rPr>
        <w:t>poprzez zapewnienie członkom rodziny lub opi</w:t>
      </w:r>
      <w:r>
        <w:rPr>
          <w:lang w:val="pl-PL"/>
        </w:rPr>
        <w:t xml:space="preserve">ekunom sprawującym bezpośrednią </w:t>
      </w:r>
      <w:r w:rsidR="00AE6BCB" w:rsidRPr="0082609E">
        <w:rPr>
          <w:lang w:val="pl-PL"/>
        </w:rPr>
        <w:t>opiekę nad dziećmi z orzeczeniem o niepełnosprawności oraz osobami niepełnosprawnymi ze znacznym stopniem niepełnosprawności, możliwości skorzystania ze specjalistycznego poradnictwa (psychol</w:t>
      </w:r>
      <w:r w:rsidR="00036B6C">
        <w:rPr>
          <w:lang w:val="pl-PL"/>
        </w:rPr>
        <w:t xml:space="preserve">ogicznego </w:t>
      </w:r>
      <w:r w:rsidR="00AE6BCB" w:rsidRPr="0082609E">
        <w:rPr>
          <w:lang w:val="pl-PL"/>
        </w:rPr>
        <w:t>lub terapeutycznego) oraz wsparcia w zakresie nauki pielęgnacji /rehabilitacji / d</w:t>
      </w:r>
      <w:r w:rsidR="00776F63" w:rsidRPr="0082609E">
        <w:rPr>
          <w:lang w:val="pl-PL"/>
        </w:rPr>
        <w:t>ietetyki w miejscu zamieszkania – skorzystało 35 osób (w tym 8 dzieci</w:t>
      </w:r>
      <w:r w:rsidR="00D4085E" w:rsidRPr="0082609E">
        <w:rPr>
          <w:lang w:val="pl-PL"/>
        </w:rPr>
        <w:t>)</w:t>
      </w:r>
      <w:r w:rsidR="00776F63" w:rsidRPr="0082609E">
        <w:rPr>
          <w:lang w:val="pl-PL"/>
        </w:rPr>
        <w:t xml:space="preserve"> </w:t>
      </w:r>
      <w:r w:rsidR="00D4085E" w:rsidRPr="0082609E">
        <w:rPr>
          <w:bCs/>
          <w:lang w:val="pl-PL"/>
        </w:rPr>
        <w:t>z orzeczeniem o znacznym stopniu niepełnosprawności.</w:t>
      </w:r>
    </w:p>
    <w:p w:rsidR="00AE6BCB" w:rsidRDefault="00D4085E" w:rsidP="00D4085E">
      <w:pPr>
        <w:spacing w:line="240" w:lineRule="auto"/>
        <w:jc w:val="both"/>
        <w:rPr>
          <w:lang w:val="pl-PL"/>
        </w:rPr>
      </w:pPr>
      <w:r>
        <w:rPr>
          <w:bCs/>
          <w:lang w:val="pl-PL"/>
        </w:rPr>
        <w:t xml:space="preserve">W/w </w:t>
      </w:r>
      <w:r>
        <w:rPr>
          <w:lang w:val="pl-PL"/>
        </w:rPr>
        <w:t>usługi</w:t>
      </w:r>
      <w:r w:rsidR="00AE6BCB">
        <w:rPr>
          <w:lang w:val="pl-PL"/>
        </w:rPr>
        <w:t xml:space="preserve"> </w:t>
      </w:r>
      <w:r>
        <w:rPr>
          <w:lang w:val="pl-PL"/>
        </w:rPr>
        <w:t>realizowane były</w:t>
      </w:r>
      <w:r w:rsidR="00AE6BCB">
        <w:rPr>
          <w:lang w:val="pl-PL"/>
        </w:rPr>
        <w:t xml:space="preserve"> przez organizacje pozarządowe wyłonione w trakcie otwartego konkursu ofert. </w:t>
      </w:r>
    </w:p>
    <w:p w:rsidR="00AE6BCB" w:rsidRDefault="00AE6BCB" w:rsidP="009C7C02">
      <w:pPr>
        <w:spacing w:line="240" w:lineRule="auto"/>
        <w:ind w:firstLine="709"/>
        <w:jc w:val="both"/>
        <w:rPr>
          <w:lang w:val="pl-PL"/>
        </w:rPr>
      </w:pPr>
      <w:r>
        <w:rPr>
          <w:lang w:val="pl-PL"/>
        </w:rPr>
        <w:lastRenderedPageBreak/>
        <w:t xml:space="preserve">We wrześniu 2020 r. </w:t>
      </w:r>
      <w:r w:rsidRPr="00D4085E">
        <w:rPr>
          <w:lang w:val="pl-PL"/>
        </w:rPr>
        <w:t>powołano</w:t>
      </w:r>
      <w:r>
        <w:rPr>
          <w:lang w:val="pl-PL"/>
        </w:rPr>
        <w:t xml:space="preserve"> koordynatora ds. osób ze szczególnymi potrzebami, który obejmie swoimi działaniami obszary z zakresu dostępności architektonicznej, cyfrowej oraz informacyjno-komunikacyjnej. Spektrum aktywności koordynatora dotyczyć będzie wypełnienia wymagań określonych w standardach dostępności dla polityki spójności Unii Europejskiej. Powołano zespół do wsparcia koordynatora, którego zadaniem będzie m.in. dokonanie inwentaryzacji obiektów budowlanych oraz określenie minimalnych wymagań obiektów w zakresie dostępności, identyfikację osób ze szczególnymi potrzebami, wykonanie analizy stanu zapewnienia dostępności, przygotowanie planu działania na rzecz poprawy zapewnienia dostępności, prowadzenie działań na rzecz promocji dostępności oraz zasad projektowania uniwersalnego. Powyższe działania odnosić się będą </w:t>
      </w:r>
      <w:r w:rsidR="00D4085E">
        <w:rPr>
          <w:lang w:val="pl-PL"/>
        </w:rPr>
        <w:t xml:space="preserve">także </w:t>
      </w:r>
      <w:r>
        <w:rPr>
          <w:lang w:val="pl-PL"/>
        </w:rPr>
        <w:t>do podnoszenia standardów usług świadczonych przez UMT.</w:t>
      </w:r>
    </w:p>
    <w:p w:rsidR="00AE6BCB" w:rsidRDefault="00AE6BCB" w:rsidP="009C7C02">
      <w:pPr>
        <w:spacing w:line="240" w:lineRule="auto"/>
        <w:ind w:firstLine="709"/>
        <w:jc w:val="both"/>
        <w:rPr>
          <w:lang w:val="pl-PL"/>
        </w:rPr>
      </w:pPr>
      <w:r>
        <w:rPr>
          <w:lang w:val="pl-PL"/>
        </w:rPr>
        <w:t>W 2020 r. Toruńskie Centrum Świadczeń Rodzinie udzieliło w ramach realizacji programów rządowych 4</w:t>
      </w:r>
      <w:r w:rsidR="00D4085E">
        <w:rPr>
          <w:lang w:val="pl-PL"/>
        </w:rPr>
        <w:t>.</w:t>
      </w:r>
      <w:r>
        <w:rPr>
          <w:lang w:val="pl-PL"/>
        </w:rPr>
        <w:t xml:space="preserve">405 osobom z niepełnosprawnościami oraz ich opiekunom świadczeń na łączną kwotę </w:t>
      </w:r>
      <w:r w:rsidR="00D4085E">
        <w:rPr>
          <w:lang w:val="pl-PL"/>
        </w:rPr>
        <w:t>prawie 25.000</w:t>
      </w:r>
      <w:r>
        <w:rPr>
          <w:lang w:val="pl-PL"/>
        </w:rPr>
        <w:t xml:space="preserve"> tys. zł, z których skorzystało 3</w:t>
      </w:r>
      <w:r w:rsidR="00D4085E">
        <w:rPr>
          <w:lang w:val="pl-PL"/>
        </w:rPr>
        <w:t>.</w:t>
      </w:r>
      <w:r>
        <w:rPr>
          <w:lang w:val="pl-PL"/>
        </w:rPr>
        <w:t xml:space="preserve">129 osób </w:t>
      </w:r>
      <w:r w:rsidR="0071096C">
        <w:rPr>
          <w:lang w:val="pl-PL"/>
        </w:rPr>
        <w:br/>
      </w:r>
      <w:r>
        <w:rPr>
          <w:lang w:val="pl-PL"/>
        </w:rPr>
        <w:t>z niepełnosprawnościami (z tytułu zasiłku pielęgnacyjnego) oraz 1</w:t>
      </w:r>
      <w:r w:rsidR="00D4085E">
        <w:rPr>
          <w:lang w:val="pl-PL"/>
        </w:rPr>
        <w:t>.</w:t>
      </w:r>
      <w:r>
        <w:rPr>
          <w:lang w:val="pl-PL"/>
        </w:rPr>
        <w:t xml:space="preserve">276 opiekunów osób </w:t>
      </w:r>
      <w:r w:rsidR="0071096C">
        <w:rPr>
          <w:lang w:val="pl-PL"/>
        </w:rPr>
        <w:br/>
      </w:r>
      <w:r>
        <w:rPr>
          <w:lang w:val="pl-PL"/>
        </w:rPr>
        <w:t xml:space="preserve">z niepełnosprawnościami (z tytułu świadczenia pielęgnacyjnego, specjalnego zasiłku opiekuńczego, zasiłku dla opiekuna, dodatku do zasiłku rodzinnego z tytułu kształcenia </w:t>
      </w:r>
      <w:r w:rsidR="0071096C">
        <w:rPr>
          <w:lang w:val="pl-PL"/>
        </w:rPr>
        <w:br/>
      </w:r>
      <w:r>
        <w:rPr>
          <w:lang w:val="pl-PL"/>
        </w:rPr>
        <w:t>i rehabilitacji dziecka niepełnosprawnego).</w:t>
      </w:r>
    </w:p>
    <w:p w:rsidR="00AE6BCB" w:rsidRDefault="00AE6BCB" w:rsidP="009C7C02">
      <w:pPr>
        <w:spacing w:line="240" w:lineRule="auto"/>
        <w:ind w:firstLine="709"/>
        <w:jc w:val="both"/>
        <w:rPr>
          <w:lang w:val="pl-PL"/>
        </w:rPr>
      </w:pPr>
      <w:r>
        <w:rPr>
          <w:lang w:val="pl-PL"/>
        </w:rPr>
        <w:t xml:space="preserve"> Rodziny wychowujące dzieci z niepełnosprawnościami, mieszkające na terenie Torunia, otrzymały też wsparcie z toruńskiego programu </w:t>
      </w:r>
      <w:r w:rsidRPr="00917E6D">
        <w:rPr>
          <w:lang w:val="pl-PL"/>
        </w:rPr>
        <w:t>„Pomagamy”.</w:t>
      </w:r>
      <w:r>
        <w:rPr>
          <w:lang w:val="pl-PL"/>
        </w:rPr>
        <w:t xml:space="preserve"> Z tej formy pomocy skorzystało 1</w:t>
      </w:r>
      <w:r w:rsidR="00D4085E">
        <w:rPr>
          <w:lang w:val="pl-PL"/>
        </w:rPr>
        <w:t>.</w:t>
      </w:r>
      <w:r>
        <w:rPr>
          <w:lang w:val="pl-PL"/>
        </w:rPr>
        <w:t>009 dzieci, na łączną kwotę 1.134 tys. zł.</w:t>
      </w:r>
    </w:p>
    <w:p w:rsidR="00AE6BCB" w:rsidRDefault="00AE6BCB" w:rsidP="009C7C02">
      <w:pPr>
        <w:spacing w:line="240" w:lineRule="auto"/>
        <w:ind w:firstLine="709"/>
        <w:jc w:val="both"/>
        <w:rPr>
          <w:lang w:val="pl-PL"/>
        </w:rPr>
      </w:pPr>
      <w:r>
        <w:rPr>
          <w:lang w:val="pl-PL"/>
        </w:rPr>
        <w:t xml:space="preserve">W ramach rządowych programów mieszkańcy Torunia otrzymali też świadczenia dla dzieci, tj. z programu </w:t>
      </w:r>
      <w:r w:rsidRPr="00917E6D">
        <w:rPr>
          <w:lang w:val="pl-PL"/>
        </w:rPr>
        <w:t>„Dobry start”</w:t>
      </w:r>
      <w:r>
        <w:rPr>
          <w:lang w:val="pl-PL"/>
        </w:rPr>
        <w:t xml:space="preserve"> – są to środki na pokrycie kosztów związanych </w:t>
      </w:r>
      <w:r w:rsidR="0071096C">
        <w:rPr>
          <w:lang w:val="pl-PL"/>
        </w:rPr>
        <w:br/>
      </w:r>
      <w:r>
        <w:rPr>
          <w:lang w:val="pl-PL"/>
        </w:rPr>
        <w:t>z rozpoczęciem przez dzieci roku szkolne</w:t>
      </w:r>
      <w:r w:rsidR="00036B6C">
        <w:rPr>
          <w:lang w:val="pl-PL"/>
        </w:rPr>
        <w:t>go, w wysokości 300 zł (płatne</w:t>
      </w:r>
      <w:r>
        <w:rPr>
          <w:lang w:val="pl-PL"/>
        </w:rPr>
        <w:t xml:space="preserve"> jednorazowo) – </w:t>
      </w:r>
      <w:r w:rsidR="0071096C">
        <w:rPr>
          <w:lang w:val="pl-PL"/>
        </w:rPr>
        <w:br/>
      </w:r>
      <w:r>
        <w:rPr>
          <w:lang w:val="pl-PL"/>
        </w:rPr>
        <w:t xml:space="preserve">z </w:t>
      </w:r>
      <w:r w:rsidR="00D4085E">
        <w:rPr>
          <w:lang w:val="pl-PL"/>
        </w:rPr>
        <w:t>tej formy pomocy skorzystało 14.</w:t>
      </w:r>
      <w:r>
        <w:rPr>
          <w:lang w:val="pl-PL"/>
        </w:rPr>
        <w:t>391 rodzin na łączną kwotę prawie 5</w:t>
      </w:r>
      <w:r w:rsidR="00D4085E">
        <w:rPr>
          <w:lang w:val="pl-PL"/>
        </w:rPr>
        <w:t>.900</w:t>
      </w:r>
      <w:r>
        <w:rPr>
          <w:lang w:val="pl-PL"/>
        </w:rPr>
        <w:t xml:space="preserve"> tys. zł oraz świadczenie wychowaw</w:t>
      </w:r>
      <w:r w:rsidR="00D4085E">
        <w:rPr>
          <w:lang w:val="pl-PL"/>
        </w:rPr>
        <w:t>cze (500 plus) otrzymało ok. 20.</w:t>
      </w:r>
      <w:r>
        <w:rPr>
          <w:lang w:val="pl-PL"/>
        </w:rPr>
        <w:t>610 rodzi</w:t>
      </w:r>
      <w:r w:rsidR="00D4085E">
        <w:rPr>
          <w:lang w:val="pl-PL"/>
        </w:rPr>
        <w:t>n na łączną kwotę ponad 189.500</w:t>
      </w:r>
      <w:r>
        <w:rPr>
          <w:lang w:val="pl-PL"/>
        </w:rPr>
        <w:t xml:space="preserve"> tys. zł.</w:t>
      </w:r>
    </w:p>
    <w:p w:rsidR="00AE6BCB" w:rsidRPr="0071096C" w:rsidRDefault="00AE6BCB" w:rsidP="0071096C">
      <w:pPr>
        <w:pStyle w:val="Nagwek2"/>
        <w:numPr>
          <w:ilvl w:val="0"/>
          <w:numId w:val="0"/>
        </w:numPr>
        <w:spacing w:line="240" w:lineRule="auto"/>
        <w:rPr>
          <w:rFonts w:ascii="Times New Roman" w:hAnsi="Times New Roman" w:cs="Times New Roman"/>
          <w:sz w:val="24"/>
          <w:szCs w:val="24"/>
          <w:lang w:val="pl-PL"/>
        </w:rPr>
      </w:pPr>
      <w:bookmarkStart w:id="50" w:name="__RefHeading__31944_2082197896"/>
      <w:bookmarkStart w:id="51" w:name="_Toc71194097"/>
      <w:bookmarkStart w:id="52" w:name="_Toc69372238"/>
      <w:bookmarkEnd w:id="50"/>
      <w:r w:rsidRPr="0071096C">
        <w:rPr>
          <w:rFonts w:ascii="Times New Roman" w:hAnsi="Times New Roman" w:cs="Times New Roman"/>
          <w:color w:val="4F81BD"/>
          <w:sz w:val="24"/>
          <w:szCs w:val="24"/>
          <w:lang w:val="pl-PL"/>
        </w:rPr>
        <w:t xml:space="preserve">Działania na rzecz seniorów i osób </w:t>
      </w:r>
      <w:bookmarkEnd w:id="51"/>
      <w:bookmarkEnd w:id="52"/>
      <w:r w:rsidRPr="0071096C">
        <w:rPr>
          <w:rFonts w:ascii="Times New Roman" w:hAnsi="Times New Roman" w:cs="Times New Roman"/>
          <w:color w:val="4F81BD"/>
          <w:sz w:val="24"/>
          <w:szCs w:val="24"/>
          <w:lang w:val="pl-PL"/>
        </w:rPr>
        <w:t>niesamodzielnych</w:t>
      </w:r>
    </w:p>
    <w:p w:rsidR="00AE6BCB" w:rsidRDefault="00AE6BCB" w:rsidP="009C7C02">
      <w:pPr>
        <w:spacing w:line="240" w:lineRule="auto"/>
        <w:ind w:firstLine="709"/>
        <w:jc w:val="both"/>
        <w:rPr>
          <w:bCs/>
          <w:lang w:val="pl-PL"/>
        </w:rPr>
      </w:pPr>
      <w:r>
        <w:rPr>
          <w:lang w:val="pl-PL"/>
        </w:rPr>
        <w:t xml:space="preserve">Realizacja programu </w:t>
      </w:r>
      <w:r w:rsidRPr="00917E6D">
        <w:rPr>
          <w:lang w:val="pl-PL"/>
        </w:rPr>
        <w:t>„Wspieraj seniora”</w:t>
      </w:r>
      <w:r>
        <w:rPr>
          <w:lang w:val="pl-PL"/>
        </w:rPr>
        <w:t xml:space="preserve"> była odpowiedzią na potrzeby osób w wieku 70 lat i więcej, w zakresie ochrony przed zakażeniem COVID-19, w związku z utrzymującym się stanem epidemii na obszarze Polski. Strategicznym celem programu było zapewnienie usługi wsparcia na rzecz seniorów, którzy z racji epidemii zdecydowali się na pozostanie </w:t>
      </w:r>
      <w:r w:rsidR="000E786B">
        <w:rPr>
          <w:lang w:val="pl-PL"/>
        </w:rPr>
        <w:br/>
      </w:r>
      <w:r>
        <w:rPr>
          <w:lang w:val="pl-PL"/>
        </w:rPr>
        <w:t xml:space="preserve">w domu i nie byli w stanie poprzez wsparcie innych (rodziny, znajomych) zabezpieczyć sobie artykułów podstawowej potrzeby. </w:t>
      </w:r>
      <w:r>
        <w:rPr>
          <w:bCs/>
          <w:lang w:val="pl-PL"/>
        </w:rPr>
        <w:t xml:space="preserve">Na terenie Gminy Miasta Toruń usługa wsparcia w ramach programu była realizowana poprzez ścisłą współpracę pracowników Miejskiego Ośrodka Pomocy Rodzinie w Toruniu z wolontariuszami, którzy zgłaszali swój akces do niesienia pomocy poprzez ogólnopolską infolinię uruchomioną w ramach Solidarnościowego Korpusu Wsparcia Seniorów lub bezpośrednio w siedzibie urzędowania w MOPR. </w:t>
      </w:r>
    </w:p>
    <w:p w:rsidR="00AE6BCB" w:rsidRDefault="00AE6BCB" w:rsidP="009C7C02">
      <w:pPr>
        <w:pStyle w:val="Akapitzlist1"/>
        <w:spacing w:line="240" w:lineRule="auto"/>
        <w:ind w:left="0" w:firstLine="709"/>
        <w:jc w:val="both"/>
      </w:pPr>
      <w:r>
        <w:rPr>
          <w:bCs/>
        </w:rPr>
        <w:t xml:space="preserve">Na terenie Gminy Miasta Toruń w okresie od 12 marca do 31 grudnia 2020r. usługa wsparcia dla seniorów realizowana była również w ramach </w:t>
      </w:r>
      <w:r w:rsidRPr="00917E6D">
        <w:rPr>
          <w:bCs/>
        </w:rPr>
        <w:t>„</w:t>
      </w:r>
      <w:r w:rsidRPr="00917E6D">
        <w:t>Całodobowego Telefonu Wsparcia dla Mieszkańców Torunia”</w:t>
      </w:r>
      <w:r>
        <w:t xml:space="preserve">. Przyjmowano także zgłoszenia osób znajdujących się </w:t>
      </w:r>
      <w:r w:rsidR="00036B6C">
        <w:br/>
      </w:r>
      <w:r>
        <w:t xml:space="preserve">w kryzysie z powodu nałożonej przez PSSE kwarantanny, izolacji i innych ograniczeń. Udzielano porad specjalistycznych i informacji w zakresie pracy służby zdrowia, miejsc kwarantanny, postępowania w sytuacji epidemicznej. Przyjęto zgłoszenia 185 seniorów </w:t>
      </w:r>
      <w:r w:rsidR="000E786B">
        <w:br/>
      </w:r>
      <w:r>
        <w:t>i innych mieszkańców Torunia. Telefonicznie swoją pomoc dla mieszkańców Torunia zgłosiło 414 wolontariuszy. Koordynowano wsparcie dla ponad 160 seniorów w postaci dostarczania bezpłatnych ponad 3</w:t>
      </w:r>
      <w:r w:rsidR="00103F6D">
        <w:t>.</w:t>
      </w:r>
      <w:r>
        <w:t>200 obiadów przygotowywanych przez Caritas, 133 osób otrzymujących posiłki ze środków Gm</w:t>
      </w:r>
      <w:r w:rsidR="00036B6C">
        <w:t>iny</w:t>
      </w:r>
      <w:r>
        <w:t xml:space="preserve"> oraz osób odbywających kwarantannę nałożoną przez PSSE.</w:t>
      </w:r>
    </w:p>
    <w:p w:rsidR="00AE6BCB" w:rsidRDefault="00AE6BCB" w:rsidP="009C7C02">
      <w:pPr>
        <w:spacing w:line="240" w:lineRule="auto"/>
        <w:ind w:firstLine="709"/>
        <w:jc w:val="both"/>
        <w:rPr>
          <w:i/>
          <w:lang w:val="pl-PL"/>
        </w:rPr>
      </w:pPr>
      <w:r>
        <w:rPr>
          <w:lang w:val="pl-PL"/>
        </w:rPr>
        <w:lastRenderedPageBreak/>
        <w:t>Wyzwania wynikające z procesu starzenia się społeczeństwa wymagają podjęcia wielokierunkowych działań, których celami głównymi są: zapewnienie godnego starzenia się</w:t>
      </w:r>
      <w:r w:rsidR="00036B6C">
        <w:rPr>
          <w:lang w:val="pl-PL"/>
        </w:rPr>
        <w:t>,</w:t>
      </w:r>
      <w:r>
        <w:rPr>
          <w:lang w:val="pl-PL"/>
        </w:rPr>
        <w:t xml:space="preserve"> poprzez poprawę jakości i poziomu życia oraz tworzenie warunków do aktywności zawodowej i społecznej osób starszych. Wychodząc naprzeciw tym oczekiwaniom, w 2016 r. uchwalony został program „</w:t>
      </w:r>
      <w:r>
        <w:rPr>
          <w:b/>
          <w:lang w:val="pl-PL"/>
        </w:rPr>
        <w:t>Rodzina razem – Toruń dla pokoleń</w:t>
      </w:r>
      <w:r>
        <w:rPr>
          <w:lang w:val="pl-PL"/>
        </w:rPr>
        <w:t xml:space="preserve">”. </w:t>
      </w:r>
    </w:p>
    <w:p w:rsidR="00AE6BCB" w:rsidRDefault="00AE6BCB" w:rsidP="009C7C02">
      <w:pPr>
        <w:spacing w:line="240" w:lineRule="auto"/>
        <w:jc w:val="both"/>
        <w:rPr>
          <w:lang w:val="pl-PL"/>
        </w:rPr>
      </w:pPr>
      <w:r>
        <w:rPr>
          <w:i/>
          <w:lang w:val="pl-PL"/>
        </w:rPr>
        <w:t>Szczegółowe sprawozdanie z realizacji program zawiera odrębna informacja przedkładana Radzie Miasta Torunia zgodnie z procedurą.</w:t>
      </w:r>
      <w:r>
        <w:rPr>
          <w:lang w:val="pl-PL"/>
        </w:rPr>
        <w:t xml:space="preserve"> </w:t>
      </w:r>
    </w:p>
    <w:p w:rsidR="00AE6BCB" w:rsidRDefault="00AE6BCB" w:rsidP="009C7C02">
      <w:pPr>
        <w:spacing w:line="240" w:lineRule="auto"/>
        <w:jc w:val="both"/>
        <w:rPr>
          <w:lang w:val="pl-PL"/>
        </w:rPr>
      </w:pPr>
      <w:r>
        <w:rPr>
          <w:lang w:val="pl-PL"/>
        </w:rPr>
        <w:t>W ramach programu wydawana jest m.in. Toruńska Karta Seniora, która upoważnia beneficjentów do korzystania ze zniżek i ulg udzielanych przez partnerów programu. Na koniec grudnia 2020 r. z Toruńskiej Karty Seniora korzystało 9</w:t>
      </w:r>
      <w:r w:rsidR="00103F6D">
        <w:rPr>
          <w:lang w:val="pl-PL"/>
        </w:rPr>
        <w:t>.</w:t>
      </w:r>
      <w:r>
        <w:rPr>
          <w:lang w:val="pl-PL"/>
        </w:rPr>
        <w:t>047 osób. Do programu przystąpiło 136 partnerów oferujących zniżki na swoje produkty i usługi.</w:t>
      </w:r>
    </w:p>
    <w:p w:rsidR="00AE6BCB" w:rsidRDefault="00AE6BCB" w:rsidP="009C7C02">
      <w:pPr>
        <w:spacing w:line="240" w:lineRule="auto"/>
        <w:ind w:firstLine="709"/>
        <w:jc w:val="both"/>
        <w:rPr>
          <w:lang w:val="pl-PL"/>
        </w:rPr>
      </w:pPr>
      <w:r>
        <w:rPr>
          <w:lang w:val="pl-PL"/>
        </w:rPr>
        <w:t xml:space="preserve">W roku sprawozdawczym przyznane zostały dotacje dla organizacji pozarządowych na realizację zadań publicznych skierowanych do seniorów na łączną kwotę 140 tys. zł. </w:t>
      </w:r>
      <w:r w:rsidR="000E786B">
        <w:rPr>
          <w:lang w:val="pl-PL"/>
        </w:rPr>
        <w:br/>
      </w:r>
      <w:r>
        <w:rPr>
          <w:lang w:val="pl-PL"/>
        </w:rPr>
        <w:t xml:space="preserve">Ze względu na pandemię </w:t>
      </w:r>
      <w:r w:rsidR="00036B6C">
        <w:rPr>
          <w:lang w:val="pl-PL"/>
        </w:rPr>
        <w:t>korona</w:t>
      </w:r>
      <w:r w:rsidR="00103F6D">
        <w:rPr>
          <w:lang w:val="pl-PL"/>
        </w:rPr>
        <w:t xml:space="preserve">wirusa </w:t>
      </w:r>
      <w:r>
        <w:rPr>
          <w:lang w:val="pl-PL"/>
        </w:rPr>
        <w:t>wiele organizacji ograniczyło swoje działanie. Wykorzystanie środków wyniosło 120 tys. zł. Pomimo trwających obostrzeń stacjonarnie, hybrydowo lub zdalnie prowadzono punkt informacyjny dla seniorów, kawiarenkę senioralną, bank czasu seniorów, organizowane były wydarzenia kulturalne, inicjowany był udział seniorów w życiu publicznym i społecznym miasta; odbywały się zajęcia informatyczne, ruchowe i edukacyjne dla seniorów. Ogółem z powyżs</w:t>
      </w:r>
      <w:r w:rsidR="00103F6D">
        <w:rPr>
          <w:lang w:val="pl-PL"/>
        </w:rPr>
        <w:t>zych działań skorzystało ok. 16.</w:t>
      </w:r>
      <w:r>
        <w:rPr>
          <w:lang w:val="pl-PL"/>
        </w:rPr>
        <w:t>900 seniorów.</w:t>
      </w:r>
    </w:p>
    <w:p w:rsidR="00AE6BCB" w:rsidRDefault="00AE6BCB" w:rsidP="009C7C02">
      <w:pPr>
        <w:spacing w:line="240" w:lineRule="auto"/>
        <w:ind w:firstLine="709"/>
        <w:jc w:val="both"/>
        <w:rPr>
          <w:b/>
          <w:lang w:val="pl-PL"/>
        </w:rPr>
      </w:pPr>
      <w:r>
        <w:rPr>
          <w:lang w:val="pl-PL"/>
        </w:rPr>
        <w:t>Do osób starszych i niepełnosprawnych/niesamodzielnych skierowane były również działania projektów finansowanych ze środków Europejskiego Funduszu Społecznego realizowanych przez MOPR:</w:t>
      </w:r>
    </w:p>
    <w:p w:rsidR="00AE6BCB" w:rsidRDefault="00AE6BCB" w:rsidP="00912BD8">
      <w:pPr>
        <w:pStyle w:val="ListParagraph"/>
        <w:numPr>
          <w:ilvl w:val="1"/>
          <w:numId w:val="16"/>
        </w:numPr>
        <w:spacing w:line="240" w:lineRule="auto"/>
        <w:ind w:left="0" w:firstLine="357"/>
        <w:jc w:val="both"/>
        <w:rPr>
          <w:lang w:val="pl-PL"/>
        </w:rPr>
      </w:pPr>
      <w:r w:rsidRPr="00917E6D">
        <w:rPr>
          <w:lang w:val="pl-PL"/>
        </w:rPr>
        <w:t>Rozwój usług opiekuńczych i specjalistycznych usług opiekuńczych w Gminie Miasta Toruń”</w:t>
      </w:r>
      <w:r>
        <w:rPr>
          <w:lang w:val="pl-PL"/>
        </w:rPr>
        <w:t xml:space="preserve"> – zakres wsparcia: usługi opiekuńcze świadczone w miejscu zamieszkania seniora (110 osób), usługi asystenckie (asystenta osoby niepełnosprawnej) dla 45 osób z niepełnosprawnością w stopniu umiarkowanym i znacznym oraz klub samopomocy dla 14 uczestników i 12 osób z ich otoczenia.</w:t>
      </w:r>
    </w:p>
    <w:p w:rsidR="00AE6BCB" w:rsidRDefault="00AE6BCB" w:rsidP="00912BD8">
      <w:pPr>
        <w:pStyle w:val="ListParagraph"/>
        <w:numPr>
          <w:ilvl w:val="1"/>
          <w:numId w:val="16"/>
        </w:numPr>
        <w:spacing w:line="240" w:lineRule="auto"/>
        <w:ind w:left="0" w:firstLine="357"/>
        <w:jc w:val="both"/>
        <w:rPr>
          <w:lang w:val="pl-PL"/>
        </w:rPr>
      </w:pPr>
      <w:r w:rsidRPr="00917E6D">
        <w:rPr>
          <w:lang w:val="pl-PL"/>
        </w:rPr>
        <w:t>„Rozwój usług opiekuńczych w Gminie Miasta Toruń”</w:t>
      </w:r>
      <w:r>
        <w:rPr>
          <w:lang w:val="pl-PL"/>
        </w:rPr>
        <w:t xml:space="preserve"> – zakres wsparcia: 4 Kluby Samopomocy: na lewobrzeżu (ul. Poznańska 49, </w:t>
      </w:r>
      <w:r w:rsidR="00103F6D">
        <w:rPr>
          <w:lang w:val="pl-PL"/>
        </w:rPr>
        <w:t>ul. Kujawska</w:t>
      </w:r>
      <w:r>
        <w:rPr>
          <w:lang w:val="pl-PL"/>
        </w:rPr>
        <w:t xml:space="preserve"> 1), na Chełmińskim Przedmieściu (ul. Podgórna 14), na Bielawach (ul. Olsztyńska 20C), na Bydgoskim Przedmieściu (ul. Bydgoska 62),</w:t>
      </w:r>
    </w:p>
    <w:p w:rsidR="00AE6BCB" w:rsidRDefault="00AE6BCB" w:rsidP="00912BD8">
      <w:pPr>
        <w:pStyle w:val="ListParagraph"/>
        <w:numPr>
          <w:ilvl w:val="1"/>
          <w:numId w:val="16"/>
        </w:numPr>
        <w:spacing w:line="240" w:lineRule="auto"/>
        <w:ind w:left="0" w:firstLine="357"/>
        <w:jc w:val="both"/>
        <w:rPr>
          <w:lang w:val="pl-PL"/>
        </w:rPr>
      </w:pPr>
      <w:r w:rsidRPr="00917E6D">
        <w:rPr>
          <w:lang w:val="pl-PL"/>
        </w:rPr>
        <w:t xml:space="preserve">„Skoordynowana opieka środowiskowa skierowana do osób z chorobą otępienną </w:t>
      </w:r>
      <w:r w:rsidR="000E786B" w:rsidRPr="00917E6D">
        <w:rPr>
          <w:lang w:val="pl-PL"/>
        </w:rPr>
        <w:br/>
      </w:r>
      <w:r w:rsidRPr="00917E6D">
        <w:rPr>
          <w:lang w:val="pl-PL"/>
        </w:rPr>
        <w:t>i ich opiekunów”</w:t>
      </w:r>
      <w:r>
        <w:rPr>
          <w:lang w:val="pl-PL"/>
        </w:rPr>
        <w:t xml:space="preserve"> – zakres wsparcia: zacieśnienie współpracy pomiędzy podmiotami świadczącymi usługi na rzecz osób z chorobami otępiennymi i ich opiekunów, koordynacja usług – pomoc w uzyskaniu właściwego wsparcia oraz prowadzenie działań profilaktycznych i edukacyjnych, zwiększających poziom świadomości społeczeństwa na temat chorób otępiennych. Projekt realizowany jest w partnerstwie z Zakł</w:t>
      </w:r>
      <w:r w:rsidR="00AC6A39">
        <w:rPr>
          <w:lang w:val="pl-PL"/>
        </w:rPr>
        <w:t>adem Pielęgnacyjno- Opiekuńczym,</w:t>
      </w:r>
    </w:p>
    <w:p w:rsidR="00AE6BCB" w:rsidRDefault="00AE6BCB" w:rsidP="00912BD8">
      <w:pPr>
        <w:pStyle w:val="ListParagraph"/>
        <w:numPr>
          <w:ilvl w:val="1"/>
          <w:numId w:val="16"/>
        </w:numPr>
        <w:spacing w:line="240" w:lineRule="auto"/>
        <w:ind w:left="0" w:firstLine="357"/>
        <w:jc w:val="both"/>
        <w:rPr>
          <w:rFonts w:cs="Times New Roman"/>
          <w:lang w:val="pl-PL"/>
        </w:rPr>
      </w:pPr>
      <w:r w:rsidRPr="00917E6D">
        <w:rPr>
          <w:lang w:val="pl-PL"/>
        </w:rPr>
        <w:t>„Aktywny senior”</w:t>
      </w:r>
      <w:r>
        <w:rPr>
          <w:lang w:val="pl-PL"/>
        </w:rPr>
        <w:t xml:space="preserve"> – zakres wsparcia: utworzenie 4 Dziennych Domów Pobytu dla 30 osób każdy (w 2020 r. utworzono 2), utworzenie 1 klubu seniora (utworzony w 2020 r.) dla 30 osób oraz 60 mieszkań </w:t>
      </w:r>
      <w:r>
        <w:rPr>
          <w:bCs/>
          <w:lang w:val="pl-PL"/>
        </w:rPr>
        <w:t xml:space="preserve">w ramach programu </w:t>
      </w:r>
      <w:r w:rsidRPr="00917E6D">
        <w:rPr>
          <w:bCs/>
          <w:lang w:val="pl-PL"/>
        </w:rPr>
        <w:t xml:space="preserve">„Mieszkania na wynajem dla osób starszych </w:t>
      </w:r>
      <w:r w:rsidR="00036B6C">
        <w:rPr>
          <w:bCs/>
          <w:lang w:val="pl-PL"/>
        </w:rPr>
        <w:br/>
      </w:r>
      <w:r w:rsidRPr="00917E6D">
        <w:rPr>
          <w:bCs/>
          <w:lang w:val="pl-PL"/>
        </w:rPr>
        <w:t>i niepełnosprawnych”</w:t>
      </w:r>
      <w:r>
        <w:rPr>
          <w:bCs/>
          <w:lang w:val="pl-PL"/>
        </w:rPr>
        <w:t xml:space="preserve"> przy ul. Watzenrodego 15 i 15A. (w 2020 r. zasiedlono 48 mieszkań). Na wyposażenie lokali pozyskano środki z funduszy UE.</w:t>
      </w:r>
    </w:p>
    <w:p w:rsidR="00AE6BCB" w:rsidRPr="000E786B" w:rsidRDefault="00AE6BCB" w:rsidP="000E786B">
      <w:pPr>
        <w:pStyle w:val="Nagwek2"/>
        <w:numPr>
          <w:ilvl w:val="0"/>
          <w:numId w:val="0"/>
        </w:numPr>
        <w:spacing w:line="240" w:lineRule="auto"/>
        <w:rPr>
          <w:rFonts w:ascii="Times New Roman" w:hAnsi="Times New Roman" w:cs="Times New Roman"/>
          <w:sz w:val="24"/>
          <w:szCs w:val="24"/>
          <w:lang w:val="pl-PL"/>
        </w:rPr>
      </w:pPr>
      <w:bookmarkStart w:id="53" w:name="__RefHeading__31946_2082197896"/>
      <w:bookmarkStart w:id="54" w:name="_Toc71194098"/>
      <w:bookmarkStart w:id="55" w:name="_Toc69372239"/>
      <w:bookmarkEnd w:id="53"/>
      <w:r w:rsidRPr="000E786B">
        <w:rPr>
          <w:rFonts w:ascii="Times New Roman" w:hAnsi="Times New Roman" w:cs="Times New Roman"/>
          <w:color w:val="4F81BD"/>
          <w:sz w:val="24"/>
          <w:szCs w:val="24"/>
          <w:lang w:val="pl-PL"/>
        </w:rPr>
        <w:t>Działania na rzecz osób i rodzin posiadających na utrzymaniu co najmniej troje dzieci</w:t>
      </w:r>
    </w:p>
    <w:p w:rsidR="00AE6BCB" w:rsidRDefault="00AE6BCB" w:rsidP="009C7C02">
      <w:pPr>
        <w:spacing w:line="240" w:lineRule="auto"/>
        <w:ind w:firstLine="709"/>
        <w:jc w:val="both"/>
        <w:rPr>
          <w:strike/>
          <w:lang w:val="pl-PL"/>
        </w:rPr>
      </w:pPr>
      <w:r>
        <w:rPr>
          <w:lang w:val="pl-PL"/>
        </w:rPr>
        <w:t>W ramach realizacji programu „</w:t>
      </w:r>
      <w:r>
        <w:rPr>
          <w:b/>
          <w:lang w:val="pl-PL"/>
        </w:rPr>
        <w:t>Rodzina razem – Toruń dla pokoleń</w:t>
      </w:r>
      <w:r>
        <w:rPr>
          <w:lang w:val="pl-PL"/>
        </w:rPr>
        <w:t xml:space="preserve">” wydawana jest Toruńska Karta Dużej Rodziny, dedykowana toruńskim rodzinom wielodzietnym, posiadającym na utrzymaniu co najmniej troje dzieci. W 2020 r. przyznano 490 Toruńskich </w:t>
      </w:r>
      <w:r>
        <w:rPr>
          <w:lang w:val="pl-PL"/>
        </w:rPr>
        <w:lastRenderedPageBreak/>
        <w:t xml:space="preserve">Kart Dużej Rodziny. Ponadto w budżecie Gminy Miasta Toruń w 2020 r. przeznaczono 330 tys. zł na zlecenie zadań publicznych w ww. zakresie organizacjom pozarządowym, </w:t>
      </w:r>
      <w:r w:rsidR="000E786B">
        <w:rPr>
          <w:lang w:val="pl-PL"/>
        </w:rPr>
        <w:br/>
      </w:r>
      <w:r>
        <w:rPr>
          <w:lang w:val="pl-PL"/>
        </w:rPr>
        <w:t xml:space="preserve">w tym m.in. na prowadzenie Punktu Informacji dla Dużych Rodzin, prowadzenie działań edukacyjnych, organizację przedsięwzięć związanych z uczestnictwem dzieci i młodzieży </w:t>
      </w:r>
      <w:r w:rsidR="000E786B">
        <w:rPr>
          <w:lang w:val="pl-PL"/>
        </w:rPr>
        <w:br/>
      </w:r>
      <w:r>
        <w:rPr>
          <w:lang w:val="pl-PL"/>
        </w:rPr>
        <w:t xml:space="preserve">w kulturze i rekreacji (warsztaty tematyczne dla dzieci, wydarzenia sportowe, mecze </w:t>
      </w:r>
      <w:r w:rsidR="000E786B">
        <w:rPr>
          <w:lang w:val="pl-PL"/>
        </w:rPr>
        <w:br/>
      </w:r>
      <w:r>
        <w:rPr>
          <w:lang w:val="pl-PL"/>
        </w:rPr>
        <w:t>i rozgrywki sportowe), organizację zajęć nauki języka angielskiego dla dzieci i młodzieży czy warsztatów i czasu wolnego dla rodziców. W 2020 r. z uwagi na COVID-19 wiele zajęć odbywało się z zachowaniem reżimu sanitarnego.</w:t>
      </w:r>
    </w:p>
    <w:p w:rsidR="00AE6BCB" w:rsidRPr="000E786B" w:rsidRDefault="00AE6BCB" w:rsidP="000E786B">
      <w:pPr>
        <w:pStyle w:val="Nagwek2"/>
        <w:numPr>
          <w:ilvl w:val="0"/>
          <w:numId w:val="0"/>
        </w:numPr>
        <w:spacing w:line="240" w:lineRule="auto"/>
        <w:rPr>
          <w:rFonts w:ascii="Times New Roman" w:hAnsi="Times New Roman" w:cs="Times New Roman"/>
          <w:sz w:val="24"/>
          <w:szCs w:val="24"/>
          <w:lang w:val="pl-PL"/>
        </w:rPr>
      </w:pPr>
      <w:bookmarkStart w:id="56" w:name="__RefHeading__31948_2082197896"/>
      <w:bookmarkEnd w:id="56"/>
      <w:r w:rsidRPr="000E786B">
        <w:rPr>
          <w:rFonts w:ascii="Times New Roman" w:hAnsi="Times New Roman" w:cs="Times New Roman"/>
          <w:color w:val="4F81BD"/>
          <w:sz w:val="24"/>
          <w:szCs w:val="24"/>
          <w:lang w:val="pl-PL"/>
        </w:rPr>
        <w:t>Opieka nad dziećmi w wieku do lat 3</w:t>
      </w:r>
      <w:bookmarkEnd w:id="54"/>
      <w:bookmarkEnd w:id="55"/>
    </w:p>
    <w:p w:rsidR="00AE6BCB" w:rsidRDefault="00AE6BCB" w:rsidP="009C7C02">
      <w:pPr>
        <w:spacing w:line="240" w:lineRule="auto"/>
        <w:ind w:firstLine="709"/>
        <w:jc w:val="both"/>
        <w:rPr>
          <w:lang w:val="pl-PL"/>
        </w:rPr>
      </w:pPr>
      <w:r>
        <w:rPr>
          <w:lang w:val="pl-PL"/>
        </w:rPr>
        <w:t xml:space="preserve">W 2020 r. w ramach działań prowadzonych przez Miejski Ośrodek Pomocy Rodzinie, udzielona została pomoc w projektach: </w:t>
      </w:r>
      <w:r w:rsidRPr="00917E6D">
        <w:rPr>
          <w:lang w:val="pl-PL"/>
        </w:rPr>
        <w:t>„Wspieramy Mamy”</w:t>
      </w:r>
      <w:r>
        <w:rPr>
          <w:lang w:val="pl-PL"/>
        </w:rPr>
        <w:t xml:space="preserve"> – 79 uczestników, </w:t>
      </w:r>
      <w:r w:rsidRPr="00917E6D">
        <w:rPr>
          <w:lang w:val="pl-PL"/>
        </w:rPr>
        <w:t>„Aktywna mama, aktywny tata”</w:t>
      </w:r>
      <w:r>
        <w:rPr>
          <w:lang w:val="pl-PL"/>
        </w:rPr>
        <w:t xml:space="preserve"> – 352 uczestników. Oba projekty realizowane są w ramach RPO WK-P 2014-2020 oś priorytetowa 8. </w:t>
      </w:r>
    </w:p>
    <w:p w:rsidR="00AE6BCB" w:rsidRDefault="00AE6BCB" w:rsidP="009C7C02">
      <w:pPr>
        <w:spacing w:line="240" w:lineRule="auto"/>
        <w:ind w:firstLine="709"/>
        <w:jc w:val="both"/>
        <w:rPr>
          <w:lang w:val="pl-PL"/>
        </w:rPr>
      </w:pPr>
      <w:r>
        <w:rPr>
          <w:lang w:val="pl-PL"/>
        </w:rPr>
        <w:t>Od 2011 r., czyli od wejścia w życie ustawy o opiece nad dziećmi w wieku do lat 3, systematycznie zwiększa się w Toruniu liczba miejsc opieki nad tą grupą wiekową. Istotny wpływ na taką sytuację ma fakt, że Gmina Miasta Torunia przeznacza miesięcznie</w:t>
      </w:r>
      <w:r w:rsidR="00372564">
        <w:rPr>
          <w:lang w:val="pl-PL"/>
        </w:rPr>
        <w:t>,</w:t>
      </w:r>
      <w:r>
        <w:rPr>
          <w:lang w:val="pl-PL"/>
        </w:rPr>
        <w:t xml:space="preserve"> w postaci dotacji celowej</w:t>
      </w:r>
      <w:r w:rsidR="00372564">
        <w:rPr>
          <w:lang w:val="pl-PL"/>
        </w:rPr>
        <w:t>,</w:t>
      </w:r>
      <w:r>
        <w:rPr>
          <w:lang w:val="pl-PL"/>
        </w:rPr>
        <w:t xml:space="preserve"> 400 zł na dziecko lub 500 zł na dziecko </w:t>
      </w:r>
      <w:r w:rsidR="00372564">
        <w:rPr>
          <w:lang w:val="pl-PL"/>
        </w:rPr>
        <w:t xml:space="preserve">z </w:t>
      </w:r>
      <w:r>
        <w:rPr>
          <w:lang w:val="pl-PL"/>
        </w:rPr>
        <w:t xml:space="preserve">niepełnosprawnością zapisane do żłobka niepublicznego. Na koniec 2020 r. w Toruniu funkcjonowało 35 </w:t>
      </w:r>
      <w:r>
        <w:rPr>
          <w:rStyle w:val="TekstpodstawowyZnak"/>
          <w:szCs w:val="24"/>
          <w:lang w:val="pl-PL"/>
        </w:rPr>
        <w:t>żłobków niepublicznych, w których łączna liczba miejsc wyniosła 1</w:t>
      </w:r>
      <w:r w:rsidR="00AC6A39">
        <w:rPr>
          <w:rStyle w:val="TekstpodstawowyZnak"/>
          <w:szCs w:val="24"/>
          <w:lang w:val="pl-PL"/>
        </w:rPr>
        <w:t>.</w:t>
      </w:r>
      <w:r>
        <w:rPr>
          <w:rStyle w:val="TekstpodstawowyZnak"/>
          <w:szCs w:val="24"/>
          <w:lang w:val="pl-PL"/>
        </w:rPr>
        <w:t>606, 1 klub dziecięcy liczący 10 miejsc oraz 2 dziennych opiekunów, mogących łącznie objąć opieką 10 dz</w:t>
      </w:r>
      <w:r w:rsidR="00372564">
        <w:rPr>
          <w:rStyle w:val="TekstpodstawowyZnak"/>
          <w:szCs w:val="24"/>
          <w:lang w:val="pl-PL"/>
        </w:rPr>
        <w:t>ieci, a w przypadku sprawowania</w:t>
      </w:r>
      <w:r>
        <w:rPr>
          <w:rStyle w:val="TekstpodstawowyZnak"/>
          <w:szCs w:val="24"/>
          <w:lang w:val="pl-PL"/>
        </w:rPr>
        <w:t xml:space="preserve"> wspólnie opieki z 1 rodzicem liczba ta mogła wzrosnąć do 16. </w:t>
      </w:r>
    </w:p>
    <w:p w:rsidR="00AE6BCB" w:rsidRDefault="00AE6BCB" w:rsidP="009C7C02">
      <w:pPr>
        <w:spacing w:line="240" w:lineRule="auto"/>
        <w:ind w:firstLine="709"/>
        <w:jc w:val="both"/>
        <w:rPr>
          <w:lang w:val="pl-PL"/>
        </w:rPr>
      </w:pPr>
      <w:r>
        <w:rPr>
          <w:lang w:val="pl-PL"/>
        </w:rPr>
        <w:t xml:space="preserve">W 2020 r. liczba dostępnych miejsc w żłobkach miejskich zwiększyła się o 220, dając łącznie 502 miejsca opieki dla dzieci. Gmina Miasta Toruń pozyskała fundusze unijne oraz przeznaczyła środki gminne na wkład własny na rozbudowę 3 miejskich żłobków (po 25 miejsc w każdym) oraz na budowę nowego żłobka miejskiego. </w:t>
      </w:r>
      <w:r>
        <w:rPr>
          <w:rStyle w:val="TekstpodstawowyZnak"/>
          <w:szCs w:val="24"/>
          <w:lang w:val="pl-PL"/>
        </w:rPr>
        <w:t>Żłobek Miejski nr 4 zlokalizowany przy ul. Andersa 21</w:t>
      </w:r>
      <w:r w:rsidR="00AC6A39">
        <w:rPr>
          <w:rStyle w:val="TekstpodstawowyZnak"/>
          <w:szCs w:val="24"/>
          <w:lang w:val="pl-PL"/>
        </w:rPr>
        <w:t xml:space="preserve"> - </w:t>
      </w:r>
      <w:r>
        <w:rPr>
          <w:rStyle w:val="TekstpodstawowyZnak"/>
          <w:szCs w:val="24"/>
          <w:lang w:val="pl-PL"/>
        </w:rPr>
        <w:t>to pierwsza tego typu placówka w lewobrzeżnej części Torunia i zarazem największa w mieście, ponieważ zapewnia 145 miejsc opieki.</w:t>
      </w:r>
    </w:p>
    <w:p w:rsidR="00AE6BCB" w:rsidRDefault="00AE6BCB" w:rsidP="009C7C02">
      <w:pPr>
        <w:spacing w:line="240" w:lineRule="auto"/>
        <w:ind w:firstLine="709"/>
        <w:jc w:val="both"/>
        <w:rPr>
          <w:lang w:val="pl-PL"/>
        </w:rPr>
      </w:pPr>
      <w:r>
        <w:rPr>
          <w:lang w:val="pl-PL"/>
        </w:rPr>
        <w:t>Podsumowując – na koniec 2020 r. w Toruniu funkcjonowały 42 placówki opieki nad dziećmi w wieku do lat 3, w których dostępnych było łącznie 2</w:t>
      </w:r>
      <w:r w:rsidR="00AC6A39">
        <w:rPr>
          <w:lang w:val="pl-PL"/>
        </w:rPr>
        <w:t>.</w:t>
      </w:r>
      <w:r>
        <w:rPr>
          <w:lang w:val="pl-PL"/>
        </w:rPr>
        <w:t>134 miejsc</w:t>
      </w:r>
      <w:r w:rsidR="00AC6A39">
        <w:rPr>
          <w:lang w:val="pl-PL"/>
        </w:rPr>
        <w:t>a</w:t>
      </w:r>
      <w:r>
        <w:rPr>
          <w:lang w:val="pl-PL"/>
        </w:rPr>
        <w:t xml:space="preserve">. Wykorzystanie miejsc w żłobkach publicznych – 88%, a w żłobkach niepublicznych – ok. 70%. Poziom wykorzystanych miejsc w placówkach ściśle powiązany był ze stanem trwającej epidemii. </w:t>
      </w:r>
    </w:p>
    <w:p w:rsidR="00AE6BCB" w:rsidRPr="000E786B" w:rsidRDefault="00AE6BCB" w:rsidP="000E786B">
      <w:pPr>
        <w:pStyle w:val="Nagwek2"/>
        <w:numPr>
          <w:ilvl w:val="0"/>
          <w:numId w:val="0"/>
        </w:numPr>
        <w:spacing w:line="240" w:lineRule="auto"/>
        <w:rPr>
          <w:rFonts w:ascii="Times New Roman" w:hAnsi="Times New Roman" w:cs="Times New Roman"/>
          <w:sz w:val="24"/>
          <w:szCs w:val="24"/>
          <w:lang w:val="pl-PL"/>
        </w:rPr>
      </w:pPr>
      <w:bookmarkStart w:id="57" w:name="__RefHeading__31950_2082197896"/>
      <w:bookmarkStart w:id="58" w:name="_Toc71194099"/>
      <w:bookmarkStart w:id="59" w:name="_Toc69372240"/>
      <w:bookmarkEnd w:id="57"/>
      <w:r w:rsidRPr="000E786B">
        <w:rPr>
          <w:rFonts w:ascii="Times New Roman" w:hAnsi="Times New Roman" w:cs="Times New Roman"/>
          <w:color w:val="4F81BD"/>
          <w:sz w:val="24"/>
          <w:szCs w:val="24"/>
          <w:lang w:val="pl-PL"/>
        </w:rPr>
        <w:t>Piecza zastępcza</w:t>
      </w:r>
      <w:bookmarkEnd w:id="58"/>
      <w:bookmarkEnd w:id="59"/>
    </w:p>
    <w:p w:rsidR="00AE6BCB" w:rsidRDefault="00AE6BCB" w:rsidP="009C7C02">
      <w:pPr>
        <w:pStyle w:val="NoSpacing"/>
        <w:spacing w:line="240" w:lineRule="auto"/>
        <w:ind w:firstLine="709"/>
        <w:jc w:val="both"/>
        <w:rPr>
          <w:rFonts w:ascii="Times New Roman" w:hAnsi="Times New Roman"/>
          <w:sz w:val="24"/>
          <w:szCs w:val="24"/>
        </w:rPr>
      </w:pPr>
      <w:r>
        <w:rPr>
          <w:rFonts w:ascii="Times New Roman" w:hAnsi="Times New Roman"/>
          <w:sz w:val="24"/>
          <w:szCs w:val="24"/>
        </w:rPr>
        <w:t>Dzieci pozbawione opieki biologicznych rodziców mogą liczyć na pomoc Gminy, organizowaną w systemie instytucjonalnej lub pozainstytucjonalnej pieczy zastępczej. Działania realizowane są w ramach „</w:t>
      </w:r>
      <w:r>
        <w:rPr>
          <w:rFonts w:ascii="Times New Roman" w:hAnsi="Times New Roman"/>
          <w:b/>
          <w:sz w:val="24"/>
          <w:szCs w:val="24"/>
        </w:rPr>
        <w:t>Programu Gminy Miasta Toruń na rzecz wspierania rodziny i rozwoju pieczy zastępczej na lata 2019–2021</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przyjętego uchwałą nr 180/19 Rady Miasta Torunia z dnia 25 lipca 2019 r. W 2020 r. Gmina:</w:t>
      </w:r>
    </w:p>
    <w:p w:rsidR="00AE6BCB" w:rsidRDefault="00AE6BCB" w:rsidP="00912BD8">
      <w:pPr>
        <w:pStyle w:val="NoSpacing"/>
        <w:numPr>
          <w:ilvl w:val="0"/>
          <w:numId w:val="35"/>
        </w:numPr>
        <w:spacing w:line="240" w:lineRule="auto"/>
        <w:jc w:val="both"/>
        <w:rPr>
          <w:rFonts w:ascii="Times New Roman" w:hAnsi="Times New Roman"/>
          <w:sz w:val="24"/>
          <w:szCs w:val="24"/>
        </w:rPr>
      </w:pPr>
      <w:r w:rsidRPr="000E786B">
        <w:rPr>
          <w:rFonts w:ascii="Times New Roman" w:hAnsi="Times New Roman"/>
          <w:sz w:val="24"/>
          <w:szCs w:val="24"/>
        </w:rPr>
        <w:t xml:space="preserve">prowadziła 9 instytucjonalnych placówek opiekuńczo-wychowawczych, w tym </w:t>
      </w:r>
      <w:r w:rsidR="000E786B">
        <w:rPr>
          <w:rFonts w:ascii="Times New Roman" w:hAnsi="Times New Roman"/>
          <w:sz w:val="24"/>
          <w:szCs w:val="24"/>
        </w:rPr>
        <w:br/>
      </w:r>
      <w:r w:rsidRPr="000E786B">
        <w:rPr>
          <w:rFonts w:ascii="Times New Roman" w:hAnsi="Times New Roman"/>
          <w:sz w:val="24"/>
          <w:szCs w:val="24"/>
        </w:rPr>
        <w:t>3 placówki opiekuńczo-wychowawcze typu rodzinnego i 1 plac</w:t>
      </w:r>
      <w:r w:rsidR="00372564">
        <w:rPr>
          <w:rFonts w:ascii="Times New Roman" w:hAnsi="Times New Roman"/>
          <w:sz w:val="24"/>
          <w:szCs w:val="24"/>
        </w:rPr>
        <w:t>ówkę niepubliczną</w:t>
      </w:r>
      <w:r w:rsidRPr="000E786B">
        <w:rPr>
          <w:rFonts w:ascii="Times New Roman" w:hAnsi="Times New Roman"/>
          <w:sz w:val="24"/>
          <w:szCs w:val="24"/>
        </w:rPr>
        <w:t xml:space="preserve"> „Insieme–Razem”, dysponujących łącznie 106 miejscami dla dzieci (1 placówka opiekuńczo-wychowawcza typu rodzinnego została zlikwidowana z dniem 22 lipca 2020 r.),</w:t>
      </w:r>
    </w:p>
    <w:p w:rsidR="00AE6BCB" w:rsidRDefault="00AE6BCB" w:rsidP="00912BD8">
      <w:pPr>
        <w:pStyle w:val="NoSpacing"/>
        <w:numPr>
          <w:ilvl w:val="0"/>
          <w:numId w:val="35"/>
        </w:numPr>
        <w:spacing w:line="240" w:lineRule="auto"/>
        <w:jc w:val="both"/>
        <w:rPr>
          <w:rFonts w:ascii="Times New Roman" w:hAnsi="Times New Roman"/>
          <w:sz w:val="24"/>
          <w:szCs w:val="24"/>
        </w:rPr>
      </w:pPr>
      <w:r w:rsidRPr="000E786B">
        <w:rPr>
          <w:rFonts w:ascii="Times New Roman" w:hAnsi="Times New Roman"/>
          <w:sz w:val="24"/>
          <w:szCs w:val="24"/>
        </w:rPr>
        <w:t>finansowała 13 rodzinnych domów dziecka i 11 zawodowych rodzin zastępczych, w których umieszczonych było 149 dzieci,</w:t>
      </w:r>
    </w:p>
    <w:p w:rsidR="00AE6BCB" w:rsidRPr="000E786B" w:rsidRDefault="00AE6BCB" w:rsidP="00912BD8">
      <w:pPr>
        <w:pStyle w:val="NoSpacing"/>
        <w:numPr>
          <w:ilvl w:val="0"/>
          <w:numId w:val="35"/>
        </w:numPr>
        <w:spacing w:line="240" w:lineRule="auto"/>
        <w:jc w:val="both"/>
        <w:rPr>
          <w:rFonts w:ascii="Times New Roman" w:hAnsi="Times New Roman"/>
          <w:sz w:val="24"/>
          <w:szCs w:val="24"/>
        </w:rPr>
      </w:pPr>
      <w:r w:rsidRPr="000E786B">
        <w:rPr>
          <w:rFonts w:ascii="Times New Roman" w:hAnsi="Times New Roman"/>
          <w:sz w:val="24"/>
          <w:szCs w:val="24"/>
        </w:rPr>
        <w:t>wspierała finansowo 71 niezawodowych rodzin zastępczych i 219 rodzin zastępczych spokrewnionych, w których opieką objętych było łącznie 364 dzieci.</w:t>
      </w:r>
    </w:p>
    <w:p w:rsidR="00AE6BCB" w:rsidRDefault="00AE6BCB" w:rsidP="009C7C02">
      <w:pPr>
        <w:pStyle w:val="NoSpacing"/>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Ponadto w ramach prowadzonych w tym zakresie działań Gmina zatrudnia koordynatorów pieczy zastępczej, finansuje wypoczynek letni dla dzieci oraz udziela świadczeń dla osób usamodzielniających się. </w:t>
      </w:r>
    </w:p>
    <w:p w:rsidR="00AE6BCB" w:rsidRDefault="00AE6BCB" w:rsidP="009C7C02">
      <w:pPr>
        <w:pStyle w:val="NoSpacing"/>
        <w:spacing w:line="240" w:lineRule="auto"/>
        <w:ind w:firstLine="709"/>
        <w:jc w:val="both"/>
        <w:rPr>
          <w:rFonts w:ascii="Times New Roman" w:hAnsi="Times New Roman"/>
          <w:sz w:val="24"/>
          <w:szCs w:val="24"/>
        </w:rPr>
      </w:pPr>
      <w:r>
        <w:rPr>
          <w:rFonts w:ascii="Times New Roman" w:hAnsi="Times New Roman"/>
          <w:sz w:val="24"/>
          <w:szCs w:val="24"/>
        </w:rPr>
        <w:t>W 2020 r., z uwagi na ograniczenia związane z pandemią COVID-19, dzieci umieszczone w rodzinach zastępczych, rodzinnych domach dziecka i placówkach opiekuńczo wychowawczych objęte zostały p</w:t>
      </w:r>
      <w:r w:rsidR="00C65919">
        <w:rPr>
          <w:rFonts w:ascii="Times New Roman" w:hAnsi="Times New Roman"/>
          <w:sz w:val="24"/>
          <w:szCs w:val="24"/>
        </w:rPr>
        <w:t>rojektem Ministerstwa Rodziny</w:t>
      </w:r>
      <w:r>
        <w:rPr>
          <w:rFonts w:ascii="Times New Roman" w:hAnsi="Times New Roman"/>
          <w:sz w:val="24"/>
          <w:szCs w:val="24"/>
        </w:rPr>
        <w:t xml:space="preserve"> i Polityki Społecznej </w:t>
      </w:r>
      <w:r w:rsidRPr="00917E6D">
        <w:rPr>
          <w:rFonts w:ascii="Times New Roman" w:hAnsi="Times New Roman"/>
          <w:sz w:val="24"/>
          <w:szCs w:val="24"/>
        </w:rPr>
        <w:t>„Wsparcie dzieci umieszczonych w pieczy zastępczej w okresie epidemii COVID-19”.</w:t>
      </w:r>
      <w:r>
        <w:rPr>
          <w:rFonts w:ascii="Times New Roman" w:hAnsi="Times New Roman"/>
          <w:sz w:val="24"/>
          <w:szCs w:val="24"/>
        </w:rPr>
        <w:t xml:space="preserve"> Głównym celem projektu było zapobieganie i ograniczenie negatywnych skutków wystąpienia COVID-19 w obszarze pieczy zastępczej poprzez:</w:t>
      </w:r>
    </w:p>
    <w:p w:rsidR="00AE6BCB" w:rsidRDefault="00AE6BCB" w:rsidP="00912BD8">
      <w:pPr>
        <w:pStyle w:val="NoSpacing"/>
        <w:numPr>
          <w:ilvl w:val="0"/>
          <w:numId w:val="10"/>
        </w:numPr>
        <w:spacing w:line="240" w:lineRule="auto"/>
        <w:ind w:left="0" w:firstLine="340"/>
        <w:jc w:val="both"/>
        <w:rPr>
          <w:rFonts w:ascii="Times New Roman" w:hAnsi="Times New Roman"/>
          <w:sz w:val="24"/>
          <w:szCs w:val="24"/>
        </w:rPr>
      </w:pPr>
      <w:r>
        <w:rPr>
          <w:rFonts w:ascii="Times New Roman" w:hAnsi="Times New Roman"/>
          <w:sz w:val="24"/>
          <w:szCs w:val="24"/>
        </w:rPr>
        <w:t xml:space="preserve">Zakup wyposażenia na cele realizowania zadań w trybie zdalnego nauczania: </w:t>
      </w:r>
    </w:p>
    <w:p w:rsidR="00AE6BCB" w:rsidRDefault="00AE6BCB" w:rsidP="00912BD8">
      <w:pPr>
        <w:pStyle w:val="NoSpacing"/>
        <w:numPr>
          <w:ilvl w:val="0"/>
          <w:numId w:val="36"/>
        </w:numPr>
        <w:spacing w:line="240" w:lineRule="auto"/>
        <w:jc w:val="both"/>
        <w:rPr>
          <w:rFonts w:ascii="Times New Roman" w:hAnsi="Times New Roman"/>
          <w:sz w:val="24"/>
          <w:szCs w:val="24"/>
        </w:rPr>
      </w:pPr>
      <w:r w:rsidRPr="000E786B">
        <w:rPr>
          <w:rFonts w:ascii="Times New Roman" w:hAnsi="Times New Roman"/>
          <w:sz w:val="24"/>
          <w:szCs w:val="24"/>
        </w:rPr>
        <w:t>73 fabrycznie nowych komputerów przenośnych o przekątnej ekranu 15,6” typu notebook wraz z oprogramowaniem, myszką i torbą do przechowywania;</w:t>
      </w:r>
    </w:p>
    <w:p w:rsidR="00AE6BCB" w:rsidRPr="000E786B" w:rsidRDefault="00AE6BCB" w:rsidP="00912BD8">
      <w:pPr>
        <w:pStyle w:val="NoSpacing"/>
        <w:numPr>
          <w:ilvl w:val="0"/>
          <w:numId w:val="36"/>
        </w:numPr>
        <w:spacing w:line="240" w:lineRule="auto"/>
        <w:jc w:val="both"/>
        <w:rPr>
          <w:rFonts w:ascii="Times New Roman" w:hAnsi="Times New Roman"/>
          <w:sz w:val="24"/>
          <w:szCs w:val="24"/>
        </w:rPr>
      </w:pPr>
      <w:r w:rsidRPr="000E786B">
        <w:rPr>
          <w:rFonts w:ascii="Times New Roman" w:hAnsi="Times New Roman"/>
          <w:sz w:val="24"/>
          <w:szCs w:val="24"/>
        </w:rPr>
        <w:t>10 fabrycznie nowych zestawów komputerowych (stacja robocza, monitor, słuchawki z mikrofonem, klawiatura i mysz przewodowa, kabel zasilający) wraz z oprogramowaniem;</w:t>
      </w:r>
    </w:p>
    <w:p w:rsidR="00AE6BCB" w:rsidRDefault="00AE6BCB" w:rsidP="00912BD8">
      <w:pPr>
        <w:pStyle w:val="NoSpacing"/>
        <w:numPr>
          <w:ilvl w:val="0"/>
          <w:numId w:val="10"/>
        </w:numPr>
        <w:spacing w:line="240" w:lineRule="auto"/>
        <w:ind w:left="0" w:firstLine="340"/>
        <w:jc w:val="both"/>
        <w:rPr>
          <w:rFonts w:ascii="Times New Roman" w:hAnsi="Times New Roman"/>
          <w:sz w:val="24"/>
          <w:szCs w:val="24"/>
        </w:rPr>
      </w:pPr>
      <w:r>
        <w:rPr>
          <w:rFonts w:ascii="Times New Roman" w:hAnsi="Times New Roman"/>
          <w:sz w:val="24"/>
          <w:szCs w:val="24"/>
        </w:rPr>
        <w:t>Zakup środków ochrony indywidualnej (maseczek, rękaw</w:t>
      </w:r>
      <w:r w:rsidR="00372564">
        <w:rPr>
          <w:rFonts w:ascii="Times New Roman" w:hAnsi="Times New Roman"/>
          <w:sz w:val="24"/>
          <w:szCs w:val="24"/>
        </w:rPr>
        <w:t xml:space="preserve">iczek, </w:t>
      </w:r>
      <w:r>
        <w:rPr>
          <w:rFonts w:ascii="Times New Roman" w:hAnsi="Times New Roman"/>
          <w:sz w:val="24"/>
          <w:szCs w:val="24"/>
        </w:rPr>
        <w:t>środków dezynfekcyjnych).</w:t>
      </w:r>
    </w:p>
    <w:p w:rsidR="00AE6BCB" w:rsidRDefault="00AE6BCB" w:rsidP="000E786B">
      <w:pPr>
        <w:pStyle w:val="NoSpacing"/>
        <w:spacing w:line="240" w:lineRule="auto"/>
        <w:jc w:val="both"/>
        <w:rPr>
          <w:rFonts w:ascii="Times New Roman" w:hAnsi="Times New Roman"/>
          <w:sz w:val="24"/>
          <w:szCs w:val="24"/>
        </w:rPr>
      </w:pPr>
      <w:r>
        <w:rPr>
          <w:rFonts w:ascii="Times New Roman" w:hAnsi="Times New Roman"/>
          <w:sz w:val="24"/>
          <w:szCs w:val="24"/>
        </w:rPr>
        <w:t>W projekcie wzięło udział: 49 rodzin zastępczych spokrewnionych, 12 rodzin zastępczych niezawodowych, 8 rodzin zastępczych zawodowych, 13 rodzinnych domów dziecka.</w:t>
      </w:r>
    </w:p>
    <w:p w:rsidR="00AE6BCB" w:rsidRDefault="00AE6BCB" w:rsidP="009C7C02">
      <w:pPr>
        <w:pStyle w:val="NoSpacing"/>
        <w:spacing w:line="240" w:lineRule="auto"/>
        <w:ind w:firstLine="709"/>
        <w:jc w:val="both"/>
        <w:rPr>
          <w:rFonts w:ascii="Times New Roman" w:hAnsi="Times New Roman"/>
          <w:color w:val="FF0000"/>
          <w:sz w:val="24"/>
          <w:szCs w:val="24"/>
        </w:rPr>
      </w:pPr>
      <w:r>
        <w:rPr>
          <w:rFonts w:ascii="Times New Roman" w:hAnsi="Times New Roman"/>
          <w:sz w:val="24"/>
          <w:szCs w:val="24"/>
        </w:rPr>
        <w:t xml:space="preserve">W Miejskim Ośrodku Pomocy Rodzinie w Toruniu na dzień 31.12.2020 r. zatrudnionych było 11 asystentów rodziny (w ramach umowy o pracę), którzy pracowali łącznie z 212 rodzinami (546 dzieci). </w:t>
      </w:r>
    </w:p>
    <w:p w:rsidR="00AE6BCB" w:rsidRDefault="00AE6BCB" w:rsidP="009C7C02">
      <w:pPr>
        <w:pStyle w:val="NoSpacing"/>
        <w:spacing w:line="240" w:lineRule="auto"/>
        <w:jc w:val="both"/>
        <w:rPr>
          <w:rFonts w:ascii="Times New Roman" w:hAnsi="Times New Roman"/>
          <w:color w:val="FF0000"/>
          <w:sz w:val="24"/>
          <w:szCs w:val="24"/>
        </w:rPr>
      </w:pPr>
    </w:p>
    <w:p w:rsidR="00AE6BCB" w:rsidRDefault="000E786B" w:rsidP="009C25FB">
      <w:pPr>
        <w:pStyle w:val="Nagwek1"/>
        <w:numPr>
          <w:ilvl w:val="0"/>
          <w:numId w:val="0"/>
        </w:numPr>
        <w:spacing w:line="240" w:lineRule="auto"/>
        <w:ind w:left="432" w:hanging="432"/>
        <w:rPr>
          <w:color w:val="0070C0"/>
          <w:sz w:val="28"/>
          <w:szCs w:val="28"/>
          <w:lang w:val="pl-PL"/>
        </w:rPr>
      </w:pPr>
      <w:bookmarkStart w:id="60" w:name="__RefHeading__31952_2082197896"/>
      <w:bookmarkStart w:id="61" w:name="_Toc69477698"/>
      <w:bookmarkStart w:id="62" w:name="_Toc69372246"/>
      <w:bookmarkEnd w:id="60"/>
      <w:r>
        <w:rPr>
          <w:color w:val="0070C0"/>
          <w:lang w:val="pl-PL"/>
        </w:rPr>
        <w:t>IX</w:t>
      </w:r>
      <w:r w:rsidR="00F155F0">
        <w:rPr>
          <w:color w:val="0070C0"/>
          <w:lang w:val="pl-PL"/>
        </w:rPr>
        <w:t xml:space="preserve">. </w:t>
      </w:r>
      <w:r w:rsidR="00AE6BCB">
        <w:rPr>
          <w:color w:val="0070C0"/>
          <w:lang w:val="pl-PL"/>
        </w:rPr>
        <w:t>OCHRONA ZDROWIA</w:t>
      </w:r>
      <w:bookmarkEnd w:id="61"/>
      <w:bookmarkEnd w:id="62"/>
      <w:r w:rsidR="009C25FB">
        <w:rPr>
          <w:color w:val="0070C0"/>
          <w:lang w:val="pl-PL"/>
        </w:rPr>
        <w:br/>
      </w:r>
    </w:p>
    <w:p w:rsidR="00AE6BCB" w:rsidRDefault="00AE6BCB" w:rsidP="009C7C02">
      <w:pPr>
        <w:pStyle w:val="NoSpacing"/>
        <w:spacing w:line="240" w:lineRule="auto"/>
        <w:ind w:firstLine="709"/>
        <w:jc w:val="both"/>
        <w:rPr>
          <w:rFonts w:ascii="Times New Roman" w:hAnsi="Times New Roman"/>
          <w:sz w:val="24"/>
          <w:szCs w:val="24"/>
        </w:rPr>
      </w:pPr>
      <w:r>
        <w:rPr>
          <w:rFonts w:ascii="Times New Roman" w:hAnsi="Times New Roman"/>
          <w:sz w:val="24"/>
          <w:szCs w:val="24"/>
        </w:rPr>
        <w:t xml:space="preserve">Miasto jest organem założycielskim dla trzech samodzielnych publicznych zakładów opieki zdrowotnej: </w:t>
      </w:r>
    </w:p>
    <w:p w:rsidR="00AE6BCB" w:rsidRDefault="00AE6BCB" w:rsidP="00912BD8">
      <w:pPr>
        <w:pStyle w:val="NoSpacing"/>
        <w:numPr>
          <w:ilvl w:val="0"/>
          <w:numId w:val="37"/>
        </w:numPr>
        <w:spacing w:line="240" w:lineRule="auto"/>
        <w:jc w:val="both"/>
        <w:rPr>
          <w:rFonts w:ascii="Times New Roman" w:hAnsi="Times New Roman"/>
          <w:sz w:val="24"/>
          <w:szCs w:val="24"/>
        </w:rPr>
      </w:pPr>
      <w:r w:rsidRPr="00707EAB">
        <w:rPr>
          <w:rFonts w:ascii="Times New Roman" w:hAnsi="Times New Roman"/>
          <w:sz w:val="24"/>
          <w:szCs w:val="24"/>
        </w:rPr>
        <w:t xml:space="preserve">Specjalistycznego Szpitala Miejskiego im. M. Kopernika, </w:t>
      </w:r>
    </w:p>
    <w:p w:rsidR="00AE6BCB" w:rsidRDefault="00AE6BCB" w:rsidP="00912BD8">
      <w:pPr>
        <w:pStyle w:val="NoSpacing"/>
        <w:numPr>
          <w:ilvl w:val="0"/>
          <w:numId w:val="37"/>
        </w:numPr>
        <w:spacing w:line="240" w:lineRule="auto"/>
        <w:jc w:val="both"/>
        <w:rPr>
          <w:rFonts w:ascii="Times New Roman" w:hAnsi="Times New Roman"/>
          <w:sz w:val="24"/>
          <w:szCs w:val="24"/>
        </w:rPr>
      </w:pPr>
      <w:r w:rsidRPr="00707EAB">
        <w:rPr>
          <w:rFonts w:ascii="Times New Roman" w:hAnsi="Times New Roman"/>
          <w:sz w:val="24"/>
          <w:szCs w:val="24"/>
        </w:rPr>
        <w:t>Miejskiej Przychodni Specjalistycznej,</w:t>
      </w:r>
    </w:p>
    <w:p w:rsidR="00AE6BCB" w:rsidRPr="00707EAB" w:rsidRDefault="00AE6BCB" w:rsidP="00912BD8">
      <w:pPr>
        <w:pStyle w:val="NoSpacing"/>
        <w:numPr>
          <w:ilvl w:val="0"/>
          <w:numId w:val="37"/>
        </w:numPr>
        <w:spacing w:line="240" w:lineRule="auto"/>
        <w:jc w:val="both"/>
        <w:rPr>
          <w:rFonts w:ascii="Times New Roman" w:hAnsi="Times New Roman"/>
          <w:sz w:val="24"/>
          <w:szCs w:val="24"/>
        </w:rPr>
      </w:pPr>
      <w:r w:rsidRPr="00707EAB">
        <w:rPr>
          <w:rFonts w:ascii="Times New Roman" w:hAnsi="Times New Roman"/>
          <w:sz w:val="24"/>
          <w:szCs w:val="24"/>
        </w:rPr>
        <w:t>Zakładu Pielęgnacyjno-Opiekuńczego im. ks. J. Popiełuszki.</w:t>
      </w:r>
    </w:p>
    <w:p w:rsidR="00AE6BCB" w:rsidRDefault="00AE6BCB" w:rsidP="009C7C02">
      <w:pPr>
        <w:pStyle w:val="NoSpacing"/>
        <w:spacing w:line="240" w:lineRule="auto"/>
        <w:ind w:firstLine="709"/>
        <w:jc w:val="both"/>
        <w:rPr>
          <w:rFonts w:ascii="Times New Roman" w:hAnsi="Times New Roman"/>
          <w:sz w:val="24"/>
          <w:szCs w:val="24"/>
        </w:rPr>
      </w:pPr>
      <w:r>
        <w:rPr>
          <w:rFonts w:ascii="Times New Roman" w:hAnsi="Times New Roman"/>
          <w:sz w:val="24"/>
          <w:szCs w:val="24"/>
        </w:rPr>
        <w:t>W 2020 r., w celu zapewnienia właściwego poziomu usług Specjalistycznego Szpitala Miejskiego, Gmina pokryła stratę szpitala za 2019 r., wynikającą z udzielanych świadczeń zdrowotnych ponad limit finansowan</w:t>
      </w:r>
      <w:r w:rsidR="00AC6A39">
        <w:rPr>
          <w:rFonts w:ascii="Times New Roman" w:hAnsi="Times New Roman"/>
          <w:sz w:val="24"/>
          <w:szCs w:val="24"/>
        </w:rPr>
        <w:t>y przez NFZ, w kwocie ponad 9.750</w:t>
      </w:r>
      <w:r>
        <w:rPr>
          <w:rFonts w:ascii="Times New Roman" w:hAnsi="Times New Roman"/>
          <w:sz w:val="24"/>
          <w:szCs w:val="24"/>
        </w:rPr>
        <w:t xml:space="preserve"> tys. zł. Ponadto, wszystkie miejskie zakłady opieki zdrowotnej uzyskały wsparcie Gminy w zakresie finansowania prac remontowych i modernizacyjnych oraz zakupu specjalistycznego sprzętu </w:t>
      </w:r>
      <w:r w:rsidR="00707EAB">
        <w:rPr>
          <w:rFonts w:ascii="Times New Roman" w:hAnsi="Times New Roman"/>
          <w:sz w:val="24"/>
          <w:szCs w:val="24"/>
        </w:rPr>
        <w:br/>
      </w:r>
      <w:r>
        <w:rPr>
          <w:rFonts w:ascii="Times New Roman" w:hAnsi="Times New Roman"/>
          <w:sz w:val="24"/>
          <w:szCs w:val="24"/>
        </w:rPr>
        <w:t>i aparatury medycznej. W 2020 r., przy wsparciu funduszy unijnych, zakończono termomodernizację trzech budynków szpitala oraz budowę nowego, czterokondygnacyjnego budynku w celu zwiększenia dostępności usług medycznych związanych z leczeniem udarów i przeszczepem szpiku. Zakończona została także nadbudowa obiektu Zakładu Opiekuńczo- Leczniczego (zwiększenie ilości miejsc o 33 w opiece długoterminowej).</w:t>
      </w:r>
    </w:p>
    <w:p w:rsidR="00AC6A39" w:rsidRPr="00AC6A39" w:rsidRDefault="00AC6A39" w:rsidP="00AC6A39">
      <w:pPr>
        <w:pStyle w:val="NoSpacing"/>
        <w:spacing w:line="240" w:lineRule="auto"/>
        <w:jc w:val="both"/>
        <w:rPr>
          <w:rFonts w:ascii="Times New Roman" w:hAnsi="Times New Roman"/>
          <w:i/>
          <w:sz w:val="24"/>
          <w:szCs w:val="24"/>
        </w:rPr>
      </w:pPr>
      <w:r>
        <w:rPr>
          <w:rFonts w:ascii="Times New Roman" w:hAnsi="Times New Roman"/>
          <w:i/>
          <w:sz w:val="24"/>
          <w:szCs w:val="24"/>
        </w:rPr>
        <w:t>Informacje z zakresu działań spz-ów w okresie pandemii – w pierwszej części opracowania „Rok 2020 – rokiem epidemii COVID-19”.</w:t>
      </w:r>
    </w:p>
    <w:p w:rsidR="00AE6BCB" w:rsidRDefault="00AE6BCB" w:rsidP="009C7C02">
      <w:pPr>
        <w:pStyle w:val="NoSpacing"/>
        <w:spacing w:line="240" w:lineRule="auto"/>
        <w:ind w:firstLine="709"/>
        <w:jc w:val="both"/>
        <w:rPr>
          <w:rFonts w:ascii="Times New Roman" w:hAnsi="Times New Roman"/>
          <w:sz w:val="24"/>
          <w:szCs w:val="24"/>
        </w:rPr>
      </w:pPr>
      <w:r>
        <w:rPr>
          <w:rFonts w:ascii="Times New Roman" w:hAnsi="Times New Roman"/>
          <w:sz w:val="24"/>
          <w:szCs w:val="24"/>
        </w:rPr>
        <w:t xml:space="preserve">W 2019 r. Gmina Miasta Toruń przyjęła do realizacji, podjętą na podstawie uchwały RMT nr 177/19 z dnia 25 lipca 2019 r. </w:t>
      </w:r>
      <w:r>
        <w:rPr>
          <w:rFonts w:ascii="Times New Roman" w:hAnsi="Times New Roman"/>
          <w:b/>
          <w:sz w:val="24"/>
          <w:szCs w:val="24"/>
        </w:rPr>
        <w:t xml:space="preserve">„Politykę zdrowotną dla miasta Torunia na lata 2019–2025”. </w:t>
      </w:r>
      <w:r>
        <w:rPr>
          <w:rFonts w:ascii="Times New Roman" w:hAnsi="Times New Roman"/>
          <w:sz w:val="24"/>
          <w:szCs w:val="24"/>
        </w:rPr>
        <w:t xml:space="preserve">Określa ona zasady stanowiące ogólne wytyczne, kryteria i granice podejmowania decyzji w różnych obszarach ochrony zdrowia. Polityka odnosi się również do sposobów inicjowania, koordynowania i wspierania przez miasto działań wszystkich podmiotów ochrony zdrowia, także tych które nie podlegają miastu. </w:t>
      </w:r>
    </w:p>
    <w:p w:rsidR="00AE6BCB" w:rsidRDefault="00AE6BCB" w:rsidP="009C7C02">
      <w:pPr>
        <w:pStyle w:val="NoSpacing"/>
        <w:spacing w:line="240" w:lineRule="auto"/>
        <w:ind w:firstLine="709"/>
        <w:jc w:val="both"/>
        <w:rPr>
          <w:rFonts w:ascii="Times New Roman" w:hAnsi="Times New Roman"/>
          <w:b/>
          <w:bCs/>
          <w:sz w:val="24"/>
          <w:szCs w:val="24"/>
        </w:rPr>
      </w:pPr>
      <w:r>
        <w:rPr>
          <w:rFonts w:ascii="Times New Roman" w:hAnsi="Times New Roman"/>
          <w:sz w:val="24"/>
          <w:szCs w:val="24"/>
        </w:rPr>
        <w:t>W 2020 r. w Toruniu realizowanych było 5 programów polityki zdrowotnej:</w:t>
      </w:r>
    </w:p>
    <w:p w:rsidR="00AE6BCB" w:rsidRDefault="00AE6BCB" w:rsidP="00912BD8">
      <w:pPr>
        <w:pStyle w:val="NoSpacing"/>
        <w:numPr>
          <w:ilvl w:val="0"/>
          <w:numId w:val="8"/>
        </w:numPr>
        <w:spacing w:line="240" w:lineRule="auto"/>
        <w:ind w:left="0" w:firstLine="357"/>
        <w:jc w:val="both"/>
        <w:rPr>
          <w:rFonts w:ascii="Times New Roman" w:hAnsi="Times New Roman"/>
          <w:b/>
          <w:bCs/>
          <w:sz w:val="24"/>
          <w:szCs w:val="24"/>
        </w:rPr>
      </w:pPr>
      <w:r w:rsidRPr="00917E6D">
        <w:rPr>
          <w:rFonts w:ascii="Times New Roman" w:hAnsi="Times New Roman"/>
          <w:bCs/>
          <w:sz w:val="24"/>
          <w:szCs w:val="24"/>
        </w:rPr>
        <w:lastRenderedPageBreak/>
        <w:t>Program promocji zdrowia wśród toruńskiej młodzieży</w:t>
      </w:r>
      <w:r>
        <w:rPr>
          <w:rFonts w:ascii="Times New Roman" w:hAnsi="Times New Roman"/>
          <w:bCs/>
          <w:sz w:val="24"/>
          <w:szCs w:val="24"/>
        </w:rPr>
        <w:t xml:space="preserve"> </w:t>
      </w:r>
      <w:r>
        <w:rPr>
          <w:rFonts w:ascii="Times New Roman" w:hAnsi="Times New Roman"/>
          <w:sz w:val="24"/>
          <w:szCs w:val="24"/>
        </w:rPr>
        <w:t>– realizowany był na terenie 45 szkół w wymiarze 762 godziny/miesiąc przez dodatkowo zatrudnioną kadrę medyczną, którego realizację zakończono w marcu w związku z epidemią która uniemożliwiła jego kontynuację. Koszt projektu realizowanego w okresie styczeń</w:t>
      </w:r>
      <w:r w:rsidR="00707EAB">
        <w:rPr>
          <w:rFonts w:ascii="Times New Roman" w:hAnsi="Times New Roman"/>
          <w:sz w:val="24"/>
          <w:szCs w:val="24"/>
        </w:rPr>
        <w:t xml:space="preserve"> </w:t>
      </w:r>
      <w:r>
        <w:rPr>
          <w:rFonts w:ascii="Times New Roman" w:hAnsi="Times New Roman"/>
          <w:sz w:val="24"/>
          <w:szCs w:val="24"/>
        </w:rPr>
        <w:t>–</w:t>
      </w:r>
      <w:r w:rsidR="00707EAB">
        <w:rPr>
          <w:rFonts w:ascii="Times New Roman" w:hAnsi="Times New Roman"/>
          <w:sz w:val="24"/>
          <w:szCs w:val="24"/>
        </w:rPr>
        <w:t xml:space="preserve"> </w:t>
      </w:r>
      <w:r>
        <w:rPr>
          <w:rFonts w:ascii="Times New Roman" w:hAnsi="Times New Roman"/>
          <w:sz w:val="24"/>
          <w:szCs w:val="24"/>
        </w:rPr>
        <w:t xml:space="preserve">marzec wyniósł </w:t>
      </w:r>
      <w:r w:rsidR="00182B39">
        <w:rPr>
          <w:rFonts w:ascii="Times New Roman" w:hAnsi="Times New Roman"/>
          <w:sz w:val="24"/>
          <w:szCs w:val="24"/>
        </w:rPr>
        <w:t>prawie 141 tys.</w:t>
      </w:r>
      <w:r>
        <w:rPr>
          <w:rFonts w:ascii="Times New Roman" w:hAnsi="Times New Roman"/>
          <w:sz w:val="24"/>
          <w:szCs w:val="24"/>
        </w:rPr>
        <w:t xml:space="preserve"> zł.</w:t>
      </w:r>
    </w:p>
    <w:p w:rsidR="00AE6BCB" w:rsidRDefault="00AE6BCB" w:rsidP="00912BD8">
      <w:pPr>
        <w:pStyle w:val="NoSpacing"/>
        <w:numPr>
          <w:ilvl w:val="0"/>
          <w:numId w:val="8"/>
        </w:numPr>
        <w:spacing w:line="240" w:lineRule="auto"/>
        <w:ind w:left="0" w:firstLine="357"/>
        <w:jc w:val="both"/>
        <w:rPr>
          <w:rFonts w:ascii="Times New Roman" w:hAnsi="Times New Roman"/>
          <w:b/>
          <w:bCs/>
          <w:sz w:val="24"/>
          <w:szCs w:val="24"/>
        </w:rPr>
      </w:pPr>
      <w:r w:rsidRPr="00917E6D">
        <w:rPr>
          <w:rFonts w:ascii="Times New Roman" w:hAnsi="Times New Roman"/>
          <w:bCs/>
          <w:sz w:val="24"/>
          <w:szCs w:val="24"/>
        </w:rPr>
        <w:t>Program profilaktyki i leczenia wad postawy pn. „Postawa to podstawa”</w:t>
      </w:r>
      <w:r>
        <w:rPr>
          <w:rFonts w:ascii="Times New Roman" w:hAnsi="Times New Roman"/>
          <w:sz w:val="24"/>
          <w:szCs w:val="24"/>
        </w:rPr>
        <w:t xml:space="preserve"> – </w:t>
      </w:r>
      <w:r>
        <w:rPr>
          <w:rFonts w:ascii="Times New Roman" w:eastAsia="Verdana" w:hAnsi="Times New Roman"/>
          <w:sz w:val="24"/>
          <w:szCs w:val="24"/>
        </w:rPr>
        <w:t>z</w:t>
      </w:r>
      <w:r>
        <w:rPr>
          <w:rFonts w:ascii="Times New Roman" w:hAnsi="Times New Roman"/>
          <w:sz w:val="24"/>
          <w:szCs w:val="24"/>
        </w:rPr>
        <w:t xml:space="preserve">badano 154 uczniów, a 43 z nich uczestniczyło w indywidualnych zajęciach korekcyjnych. </w:t>
      </w:r>
      <w:r w:rsidR="00707EAB">
        <w:rPr>
          <w:rFonts w:ascii="Times New Roman" w:hAnsi="Times New Roman"/>
          <w:sz w:val="24"/>
          <w:szCs w:val="24"/>
        </w:rPr>
        <w:br/>
      </w:r>
      <w:r>
        <w:rPr>
          <w:rFonts w:ascii="Times New Roman" w:hAnsi="Times New Roman"/>
          <w:sz w:val="24"/>
          <w:szCs w:val="24"/>
        </w:rPr>
        <w:t>Z programu skorzystało również 111 osób dorosłych aktywnych zawodowo ze schorzeniami kręgosłupa. Obowiązujące zasady reżimu sanitarnego i tryb nauczania zdalnego spowodowały, że program nie dotarł do szerokiego grona uczniów. Koszt rea</w:t>
      </w:r>
      <w:r w:rsidR="00182B39">
        <w:rPr>
          <w:rFonts w:ascii="Times New Roman" w:hAnsi="Times New Roman"/>
          <w:sz w:val="24"/>
          <w:szCs w:val="24"/>
        </w:rPr>
        <w:t>lizacji projektu wyniósł 122,6 tys.</w:t>
      </w:r>
      <w:r>
        <w:rPr>
          <w:rFonts w:ascii="Times New Roman" w:hAnsi="Times New Roman"/>
          <w:sz w:val="24"/>
          <w:szCs w:val="24"/>
        </w:rPr>
        <w:t xml:space="preserve"> zł.</w:t>
      </w:r>
    </w:p>
    <w:p w:rsidR="00AE6BCB" w:rsidRDefault="00AE6BCB" w:rsidP="00912BD8">
      <w:pPr>
        <w:pStyle w:val="NoSpacing"/>
        <w:numPr>
          <w:ilvl w:val="0"/>
          <w:numId w:val="8"/>
        </w:numPr>
        <w:spacing w:line="240" w:lineRule="auto"/>
        <w:ind w:left="0" w:firstLine="357"/>
        <w:jc w:val="both"/>
        <w:rPr>
          <w:rFonts w:ascii="Times New Roman" w:hAnsi="Times New Roman"/>
          <w:b/>
          <w:bCs/>
          <w:sz w:val="24"/>
          <w:szCs w:val="24"/>
        </w:rPr>
      </w:pPr>
      <w:r w:rsidRPr="00917E6D">
        <w:rPr>
          <w:rFonts w:ascii="Times New Roman" w:hAnsi="Times New Roman"/>
          <w:bCs/>
          <w:sz w:val="24"/>
          <w:szCs w:val="24"/>
        </w:rPr>
        <w:t>Program szczepień ochronnych przeciw HPV</w:t>
      </w:r>
      <w:r>
        <w:rPr>
          <w:rFonts w:ascii="Times New Roman" w:hAnsi="Times New Roman"/>
          <w:bCs/>
          <w:sz w:val="24"/>
          <w:szCs w:val="24"/>
        </w:rPr>
        <w:t xml:space="preserve"> – d</w:t>
      </w:r>
      <w:r>
        <w:rPr>
          <w:rFonts w:ascii="Times New Roman" w:hAnsi="Times New Roman"/>
          <w:sz w:val="24"/>
          <w:szCs w:val="24"/>
        </w:rPr>
        <w:t>rugą dawką zaszczepiono 275 dziewczynek – rocznik 2006 (I dawka została podana w drugiej połowie 201</w:t>
      </w:r>
      <w:r w:rsidR="00182B39">
        <w:rPr>
          <w:rFonts w:ascii="Times New Roman" w:hAnsi="Times New Roman"/>
          <w:sz w:val="24"/>
          <w:szCs w:val="24"/>
        </w:rPr>
        <w:t>9 r.). Koszt realizacji – ponad 67 tys.</w:t>
      </w:r>
      <w:r>
        <w:rPr>
          <w:rFonts w:ascii="Times New Roman" w:hAnsi="Times New Roman"/>
          <w:sz w:val="24"/>
          <w:szCs w:val="24"/>
        </w:rPr>
        <w:t xml:space="preserve"> zł.</w:t>
      </w:r>
    </w:p>
    <w:p w:rsidR="00AE6BCB" w:rsidRDefault="00AE6BCB" w:rsidP="00912BD8">
      <w:pPr>
        <w:pStyle w:val="NoSpacing"/>
        <w:numPr>
          <w:ilvl w:val="0"/>
          <w:numId w:val="8"/>
        </w:numPr>
        <w:spacing w:line="240" w:lineRule="auto"/>
        <w:ind w:left="0" w:firstLine="357"/>
        <w:jc w:val="both"/>
        <w:rPr>
          <w:rFonts w:ascii="Times New Roman" w:hAnsi="Times New Roman"/>
          <w:b/>
          <w:bCs/>
          <w:sz w:val="24"/>
          <w:szCs w:val="24"/>
        </w:rPr>
      </w:pPr>
      <w:r w:rsidRPr="00917E6D">
        <w:rPr>
          <w:rFonts w:ascii="Times New Roman" w:hAnsi="Times New Roman"/>
          <w:bCs/>
          <w:sz w:val="24"/>
          <w:szCs w:val="24"/>
        </w:rPr>
        <w:t>Program profilaktyki próchnicy i urazów zębów mlecznych i stałych skierowany do dzieci i młodzieży, ich rodziców i opiekunów oraz pracowników oświaty pt. „Toruń olśniewa uśmiechem”</w:t>
      </w:r>
      <w:r>
        <w:rPr>
          <w:rFonts w:ascii="Times New Roman" w:hAnsi="Times New Roman"/>
          <w:bCs/>
          <w:sz w:val="24"/>
          <w:szCs w:val="24"/>
        </w:rPr>
        <w:t xml:space="preserve"> – w</w:t>
      </w:r>
      <w:r>
        <w:rPr>
          <w:rFonts w:ascii="Times New Roman" w:hAnsi="Times New Roman"/>
          <w:sz w:val="24"/>
          <w:szCs w:val="24"/>
        </w:rPr>
        <w:t>ykonano ponad 4</w:t>
      </w:r>
      <w:r w:rsidR="00182B39">
        <w:rPr>
          <w:rFonts w:ascii="Times New Roman" w:hAnsi="Times New Roman"/>
          <w:sz w:val="24"/>
          <w:szCs w:val="24"/>
        </w:rPr>
        <w:t>.</w:t>
      </w:r>
      <w:r>
        <w:rPr>
          <w:rFonts w:ascii="Times New Roman" w:hAnsi="Times New Roman"/>
          <w:sz w:val="24"/>
          <w:szCs w:val="24"/>
        </w:rPr>
        <w:t>600 świadcz</w:t>
      </w:r>
      <w:r w:rsidR="00182B39">
        <w:rPr>
          <w:rFonts w:ascii="Times New Roman" w:hAnsi="Times New Roman"/>
          <w:sz w:val="24"/>
          <w:szCs w:val="24"/>
        </w:rPr>
        <w:t>eń, za kwotę 140 tys.</w:t>
      </w:r>
      <w:r>
        <w:rPr>
          <w:rFonts w:ascii="Times New Roman" w:hAnsi="Times New Roman"/>
          <w:sz w:val="24"/>
          <w:szCs w:val="24"/>
        </w:rPr>
        <w:t xml:space="preserve"> zł.</w:t>
      </w:r>
    </w:p>
    <w:p w:rsidR="00AE6BCB" w:rsidRDefault="00AE6BCB" w:rsidP="00912BD8">
      <w:pPr>
        <w:pStyle w:val="NoSpacing"/>
        <w:numPr>
          <w:ilvl w:val="0"/>
          <w:numId w:val="8"/>
        </w:numPr>
        <w:spacing w:line="240" w:lineRule="auto"/>
        <w:ind w:left="0" w:firstLine="357"/>
        <w:jc w:val="both"/>
        <w:rPr>
          <w:rFonts w:ascii="Times New Roman" w:eastAsia="Verdana" w:hAnsi="Times New Roman"/>
          <w:sz w:val="24"/>
          <w:szCs w:val="24"/>
        </w:rPr>
      </w:pPr>
      <w:r w:rsidRPr="0088088B">
        <w:rPr>
          <w:rFonts w:ascii="Times New Roman" w:hAnsi="Times New Roman"/>
          <w:bCs/>
          <w:sz w:val="24"/>
          <w:szCs w:val="24"/>
        </w:rPr>
        <w:t>Program szczepień ochronnych przeciwko grypie dla mieszkańców Torunia po 65 roku życia</w:t>
      </w:r>
      <w:r>
        <w:rPr>
          <w:rFonts w:ascii="Times New Roman" w:hAnsi="Times New Roman"/>
          <w:bCs/>
          <w:sz w:val="24"/>
          <w:szCs w:val="24"/>
        </w:rPr>
        <w:t xml:space="preserve"> </w:t>
      </w:r>
      <w:r w:rsidR="00182B39">
        <w:rPr>
          <w:rFonts w:ascii="Times New Roman" w:hAnsi="Times New Roman"/>
          <w:bCs/>
          <w:sz w:val="24"/>
          <w:szCs w:val="24"/>
        </w:rPr>
        <w:t xml:space="preserve">(w tym </w:t>
      </w:r>
      <w:r w:rsidR="00182B39">
        <w:rPr>
          <w:rFonts w:ascii="Times New Roman" w:hAnsi="Times New Roman"/>
          <w:sz w:val="24"/>
          <w:szCs w:val="24"/>
        </w:rPr>
        <w:t xml:space="preserve">pensjonariuszy domów pomocy społecznej i zakładów opieki długoterminowej w Toruniu) </w:t>
      </w:r>
      <w:r>
        <w:rPr>
          <w:rFonts w:ascii="Times New Roman" w:hAnsi="Times New Roman"/>
          <w:bCs/>
          <w:sz w:val="24"/>
          <w:szCs w:val="24"/>
        </w:rPr>
        <w:t>–</w:t>
      </w:r>
      <w:r w:rsidR="00182B39">
        <w:rPr>
          <w:rFonts w:ascii="Times New Roman" w:hAnsi="Times New Roman"/>
          <w:bCs/>
          <w:sz w:val="24"/>
          <w:szCs w:val="24"/>
        </w:rPr>
        <w:t xml:space="preserve"> </w:t>
      </w:r>
      <w:r w:rsidR="00182B39">
        <w:rPr>
          <w:rFonts w:ascii="Times New Roman" w:hAnsi="Times New Roman"/>
          <w:sz w:val="24"/>
          <w:szCs w:val="24"/>
        </w:rPr>
        <w:t>p</w:t>
      </w:r>
      <w:r>
        <w:rPr>
          <w:rFonts w:ascii="Times New Roman" w:hAnsi="Times New Roman"/>
          <w:sz w:val="24"/>
          <w:szCs w:val="24"/>
        </w:rPr>
        <w:t>lanowano zaszczepić 5</w:t>
      </w:r>
      <w:r w:rsidR="00182B39">
        <w:rPr>
          <w:rFonts w:ascii="Times New Roman" w:hAnsi="Times New Roman"/>
          <w:sz w:val="24"/>
          <w:szCs w:val="24"/>
        </w:rPr>
        <w:t>.</w:t>
      </w:r>
      <w:r>
        <w:rPr>
          <w:rFonts w:ascii="Times New Roman" w:hAnsi="Times New Roman"/>
          <w:sz w:val="24"/>
          <w:szCs w:val="24"/>
        </w:rPr>
        <w:t xml:space="preserve">000 osób, jednak ze względu na brak szczepionek na rynku zaszczepiono 666 osób. Koszt realizacji </w:t>
      </w:r>
      <w:r w:rsidR="00182B39">
        <w:rPr>
          <w:rFonts w:ascii="Times New Roman" w:hAnsi="Times New Roman"/>
          <w:sz w:val="24"/>
          <w:szCs w:val="24"/>
        </w:rPr>
        <w:t>prawie 40 tys.</w:t>
      </w:r>
      <w:r>
        <w:rPr>
          <w:rFonts w:ascii="Times New Roman" w:hAnsi="Times New Roman"/>
          <w:sz w:val="24"/>
          <w:szCs w:val="24"/>
        </w:rPr>
        <w:t xml:space="preserve"> zł.</w:t>
      </w:r>
    </w:p>
    <w:p w:rsidR="00AE6BCB" w:rsidRDefault="00AE6BCB" w:rsidP="009C7C02">
      <w:pPr>
        <w:pStyle w:val="NoSpacing"/>
        <w:spacing w:line="240" w:lineRule="auto"/>
        <w:ind w:firstLine="709"/>
        <w:jc w:val="both"/>
        <w:rPr>
          <w:rFonts w:ascii="Times New Roman" w:eastAsia="Verdana" w:hAnsi="Times New Roman"/>
          <w:sz w:val="24"/>
          <w:szCs w:val="24"/>
        </w:rPr>
      </w:pPr>
      <w:r>
        <w:rPr>
          <w:rFonts w:ascii="Times New Roman" w:eastAsia="Verdana" w:hAnsi="Times New Roman"/>
          <w:sz w:val="24"/>
          <w:szCs w:val="24"/>
        </w:rPr>
        <w:t xml:space="preserve"> Gmina Miasta Toruń z dofinansowania otrzymanego z Ministerstwa Zdrowia realizowała w ramach Narodowego Programu Zdrowia program </w:t>
      </w:r>
      <w:r w:rsidRPr="0088088B">
        <w:rPr>
          <w:rFonts w:ascii="Times New Roman" w:eastAsia="Verdana" w:hAnsi="Times New Roman"/>
          <w:sz w:val="24"/>
          <w:szCs w:val="24"/>
        </w:rPr>
        <w:t>„Tworzenie grup wsparcia dla osób z otyłością”</w:t>
      </w:r>
      <w:r w:rsidR="00182B39">
        <w:rPr>
          <w:rFonts w:ascii="Times New Roman" w:eastAsia="Verdana" w:hAnsi="Times New Roman"/>
          <w:sz w:val="24"/>
          <w:szCs w:val="24"/>
        </w:rPr>
        <w:t>,</w:t>
      </w:r>
      <w:r>
        <w:rPr>
          <w:rFonts w:ascii="Times New Roman" w:eastAsia="Verdana" w:hAnsi="Times New Roman"/>
          <w:sz w:val="24"/>
          <w:szCs w:val="24"/>
        </w:rPr>
        <w:t xml:space="preserve"> w którym udział wzięło 60 uczestników (40 osób dorosłych i 20 dzieci)</w:t>
      </w:r>
      <w:r w:rsidR="00182B39">
        <w:rPr>
          <w:rFonts w:ascii="Times New Roman" w:eastAsia="Verdana" w:hAnsi="Times New Roman"/>
          <w:sz w:val="24"/>
          <w:szCs w:val="24"/>
        </w:rPr>
        <w:t>.</w:t>
      </w:r>
      <w:r>
        <w:rPr>
          <w:rFonts w:ascii="Times New Roman" w:eastAsia="Verdana" w:hAnsi="Times New Roman"/>
          <w:sz w:val="24"/>
          <w:szCs w:val="24"/>
        </w:rPr>
        <w:t xml:space="preserve"> Koszt dofinansowania programu wyniósł </w:t>
      </w:r>
      <w:r w:rsidR="00182B39">
        <w:rPr>
          <w:rFonts w:ascii="Times New Roman" w:eastAsia="Verdana" w:hAnsi="Times New Roman"/>
          <w:sz w:val="24"/>
          <w:szCs w:val="24"/>
        </w:rPr>
        <w:t>ponad 101 tys.</w:t>
      </w:r>
      <w:r>
        <w:rPr>
          <w:rFonts w:ascii="Times New Roman" w:eastAsia="Verdana" w:hAnsi="Times New Roman"/>
          <w:sz w:val="24"/>
          <w:szCs w:val="24"/>
        </w:rPr>
        <w:t xml:space="preserve"> zł</w:t>
      </w:r>
    </w:p>
    <w:p w:rsidR="00AE6BCB" w:rsidRDefault="00AE6BCB" w:rsidP="009C7C02">
      <w:pPr>
        <w:pStyle w:val="NoSpacing"/>
        <w:spacing w:line="240" w:lineRule="auto"/>
        <w:ind w:firstLine="709"/>
        <w:jc w:val="both"/>
        <w:rPr>
          <w:rFonts w:ascii="Times New Roman" w:hAnsi="Times New Roman"/>
          <w:b/>
          <w:sz w:val="24"/>
          <w:szCs w:val="24"/>
        </w:rPr>
      </w:pPr>
      <w:r>
        <w:rPr>
          <w:rFonts w:ascii="Times New Roman" w:eastAsia="Verdana" w:hAnsi="Times New Roman"/>
          <w:sz w:val="24"/>
          <w:szCs w:val="24"/>
        </w:rPr>
        <w:t xml:space="preserve">W partnerstwie </w:t>
      </w:r>
      <w:r>
        <w:rPr>
          <w:rFonts w:ascii="Times New Roman" w:hAnsi="Times New Roman"/>
          <w:sz w:val="24"/>
          <w:szCs w:val="24"/>
        </w:rPr>
        <w:t>z samorządem województwa kujawsko-pomorskiego realizowano również:</w:t>
      </w:r>
    </w:p>
    <w:p w:rsidR="00AE6BCB" w:rsidRDefault="00AE6BCB" w:rsidP="00912BD8">
      <w:pPr>
        <w:pStyle w:val="NoSpacing"/>
        <w:numPr>
          <w:ilvl w:val="0"/>
          <w:numId w:val="9"/>
        </w:numPr>
        <w:spacing w:line="240" w:lineRule="auto"/>
        <w:ind w:left="0" w:firstLine="357"/>
        <w:jc w:val="both"/>
        <w:rPr>
          <w:rFonts w:ascii="Times New Roman" w:hAnsi="Times New Roman"/>
          <w:b/>
          <w:sz w:val="24"/>
          <w:szCs w:val="24"/>
        </w:rPr>
      </w:pPr>
      <w:r w:rsidRPr="0088088B">
        <w:rPr>
          <w:rFonts w:ascii="Times New Roman" w:hAnsi="Times New Roman"/>
          <w:sz w:val="24"/>
          <w:szCs w:val="24"/>
        </w:rPr>
        <w:t xml:space="preserve">Program profilaktyki zakażeń pneumokokowych wśród dorosłych w oparciu </w:t>
      </w:r>
      <w:r w:rsidR="00707EAB" w:rsidRPr="0088088B">
        <w:rPr>
          <w:rFonts w:ascii="Times New Roman" w:hAnsi="Times New Roman"/>
          <w:sz w:val="24"/>
          <w:szCs w:val="24"/>
        </w:rPr>
        <w:br/>
      </w:r>
      <w:r w:rsidRPr="0088088B">
        <w:rPr>
          <w:rFonts w:ascii="Times New Roman" w:hAnsi="Times New Roman"/>
          <w:sz w:val="24"/>
          <w:szCs w:val="24"/>
        </w:rPr>
        <w:t>o szczepienia przeciwko pneumokokom w województwie kujawsko-pomorskim</w:t>
      </w:r>
      <w:r>
        <w:rPr>
          <w:rFonts w:ascii="Times New Roman" w:hAnsi="Times New Roman"/>
          <w:sz w:val="24"/>
          <w:szCs w:val="24"/>
        </w:rPr>
        <w:t xml:space="preserve"> – obejmujący szczepienia osób po 65 roku życia będących mieszkańcami Torunia. W ramach programu zaszczepiono 92 osoby. Koszt realizacji </w:t>
      </w:r>
      <w:r w:rsidR="00182B39">
        <w:rPr>
          <w:rFonts w:ascii="Times New Roman" w:hAnsi="Times New Roman"/>
          <w:sz w:val="24"/>
          <w:szCs w:val="24"/>
        </w:rPr>
        <w:t>prawie 14 tys.</w:t>
      </w:r>
      <w:r>
        <w:rPr>
          <w:rFonts w:ascii="Times New Roman" w:hAnsi="Times New Roman"/>
          <w:sz w:val="24"/>
          <w:szCs w:val="24"/>
        </w:rPr>
        <w:t xml:space="preserve"> zł.</w:t>
      </w:r>
    </w:p>
    <w:p w:rsidR="00AE6BCB" w:rsidRDefault="00AE6BCB" w:rsidP="00912BD8">
      <w:pPr>
        <w:pStyle w:val="NoSpacing"/>
        <w:numPr>
          <w:ilvl w:val="0"/>
          <w:numId w:val="9"/>
        </w:numPr>
        <w:spacing w:line="240" w:lineRule="auto"/>
        <w:ind w:left="0" w:firstLine="357"/>
        <w:jc w:val="both"/>
        <w:rPr>
          <w:rFonts w:ascii="Times New Roman" w:hAnsi="Times New Roman"/>
          <w:b/>
          <w:sz w:val="24"/>
          <w:szCs w:val="24"/>
        </w:rPr>
      </w:pPr>
      <w:r w:rsidRPr="0088088B">
        <w:rPr>
          <w:rFonts w:ascii="Times New Roman" w:hAnsi="Times New Roman"/>
          <w:sz w:val="24"/>
          <w:szCs w:val="24"/>
        </w:rPr>
        <w:t>Program zapobiegania upadkom dla seniorów w województwie kujawsko-pomorskim</w:t>
      </w:r>
      <w:r>
        <w:rPr>
          <w:rFonts w:ascii="Times New Roman" w:hAnsi="Times New Roman"/>
          <w:sz w:val="24"/>
          <w:szCs w:val="24"/>
        </w:rPr>
        <w:t xml:space="preserve"> – przeprowadzono badania kwalifikacyjne oraz 21 godzin zajęć aktywizujących na rzecz 20 seniorów. Koszt realizacji </w:t>
      </w:r>
      <w:r w:rsidR="00182B39">
        <w:rPr>
          <w:rFonts w:ascii="Times New Roman" w:hAnsi="Times New Roman"/>
          <w:sz w:val="24"/>
          <w:szCs w:val="24"/>
        </w:rPr>
        <w:t xml:space="preserve">ponad </w:t>
      </w:r>
      <w:r>
        <w:rPr>
          <w:rFonts w:ascii="Times New Roman" w:hAnsi="Times New Roman"/>
          <w:sz w:val="24"/>
          <w:szCs w:val="24"/>
        </w:rPr>
        <w:t>4</w:t>
      </w:r>
      <w:r w:rsidR="00182B39">
        <w:rPr>
          <w:rFonts w:ascii="Times New Roman" w:hAnsi="Times New Roman"/>
          <w:sz w:val="24"/>
          <w:szCs w:val="24"/>
        </w:rPr>
        <w:t xml:space="preserve"> tys.</w:t>
      </w:r>
      <w:r>
        <w:rPr>
          <w:rFonts w:ascii="Times New Roman" w:hAnsi="Times New Roman"/>
          <w:sz w:val="24"/>
          <w:szCs w:val="24"/>
        </w:rPr>
        <w:t xml:space="preserve"> zł. Ze względu na zawieszenie zajęć zrealizowano połowę z zaplanowanych spotkań.</w:t>
      </w:r>
    </w:p>
    <w:p w:rsidR="00AE6BCB" w:rsidRDefault="00AE6BCB" w:rsidP="00912BD8">
      <w:pPr>
        <w:pStyle w:val="NoSpacing"/>
        <w:numPr>
          <w:ilvl w:val="0"/>
          <w:numId w:val="9"/>
        </w:numPr>
        <w:spacing w:line="240" w:lineRule="auto"/>
        <w:ind w:left="0" w:firstLine="357"/>
        <w:jc w:val="both"/>
        <w:rPr>
          <w:rFonts w:ascii="Times New Roman" w:eastAsia="Verdana" w:hAnsi="Times New Roman"/>
          <w:sz w:val="24"/>
          <w:szCs w:val="24"/>
        </w:rPr>
      </w:pPr>
      <w:r w:rsidRPr="0088088B">
        <w:rPr>
          <w:rFonts w:ascii="Times New Roman" w:hAnsi="Times New Roman"/>
          <w:sz w:val="24"/>
          <w:szCs w:val="24"/>
        </w:rPr>
        <w:t>Program wykrywania zakażeń WZW B i C w województwie kujawsko-pomorskim</w:t>
      </w:r>
      <w:r>
        <w:rPr>
          <w:rFonts w:ascii="Times New Roman" w:hAnsi="Times New Roman"/>
          <w:sz w:val="24"/>
          <w:szCs w:val="24"/>
        </w:rPr>
        <w:t xml:space="preserve"> – </w:t>
      </w:r>
      <w:r w:rsidR="0088088B">
        <w:rPr>
          <w:rFonts w:ascii="Times New Roman" w:hAnsi="Times New Roman"/>
          <w:sz w:val="24"/>
          <w:szCs w:val="24"/>
        </w:rPr>
        <w:br/>
      </w:r>
      <w:r>
        <w:rPr>
          <w:rFonts w:ascii="Times New Roman" w:hAnsi="Times New Roman"/>
          <w:sz w:val="24"/>
          <w:szCs w:val="24"/>
        </w:rPr>
        <w:t>u 166 mieszkańców Torunia wykonano badania laboratoryjne (ag HBs i anty HCV) oraz zorganizowano szkolenie dla mi</w:t>
      </w:r>
      <w:r w:rsidR="00182B39">
        <w:rPr>
          <w:rFonts w:ascii="Times New Roman" w:hAnsi="Times New Roman"/>
          <w:sz w:val="24"/>
          <w:szCs w:val="24"/>
        </w:rPr>
        <w:t>eszkańców. Koszt realizacji prawie 2 tys.</w:t>
      </w:r>
      <w:r>
        <w:rPr>
          <w:rFonts w:ascii="Times New Roman" w:hAnsi="Times New Roman"/>
          <w:sz w:val="24"/>
          <w:szCs w:val="24"/>
        </w:rPr>
        <w:t xml:space="preserve"> zł.</w:t>
      </w:r>
    </w:p>
    <w:p w:rsidR="00AE6BCB" w:rsidRDefault="00AE6BCB" w:rsidP="009C7C02">
      <w:pPr>
        <w:pStyle w:val="NoSpacing"/>
        <w:spacing w:line="240" w:lineRule="auto"/>
        <w:ind w:firstLine="709"/>
        <w:jc w:val="both"/>
        <w:rPr>
          <w:rFonts w:ascii="Times New Roman" w:hAnsi="Times New Roman"/>
          <w:sz w:val="24"/>
          <w:szCs w:val="24"/>
        </w:rPr>
      </w:pPr>
      <w:r>
        <w:rPr>
          <w:rFonts w:ascii="Times New Roman" w:eastAsia="Verdana" w:hAnsi="Times New Roman"/>
          <w:sz w:val="24"/>
          <w:szCs w:val="24"/>
        </w:rPr>
        <w:t xml:space="preserve">Opracowano również </w:t>
      </w:r>
      <w:r w:rsidR="00182B39">
        <w:rPr>
          <w:rFonts w:ascii="Times New Roman" w:eastAsia="Verdana" w:hAnsi="Times New Roman"/>
          <w:sz w:val="24"/>
          <w:szCs w:val="24"/>
        </w:rPr>
        <w:t xml:space="preserve">kolejny </w:t>
      </w:r>
      <w:r>
        <w:rPr>
          <w:rFonts w:ascii="Times New Roman" w:eastAsia="Verdana" w:hAnsi="Times New Roman"/>
          <w:sz w:val="24"/>
          <w:szCs w:val="24"/>
        </w:rPr>
        <w:t>program polityki zdrowotnej</w:t>
      </w:r>
      <w:r w:rsidR="00182B39">
        <w:rPr>
          <w:rFonts w:ascii="Times New Roman" w:eastAsia="Verdana" w:hAnsi="Times New Roman"/>
          <w:sz w:val="24"/>
          <w:szCs w:val="24"/>
        </w:rPr>
        <w:t>:</w:t>
      </w:r>
      <w:r>
        <w:rPr>
          <w:rFonts w:ascii="Times New Roman" w:eastAsia="Verdana" w:hAnsi="Times New Roman"/>
          <w:sz w:val="24"/>
          <w:szCs w:val="24"/>
        </w:rPr>
        <w:t xml:space="preserve"> </w:t>
      </w:r>
      <w:r>
        <w:rPr>
          <w:rFonts w:ascii="Times New Roman" w:hAnsi="Times New Roman"/>
          <w:sz w:val="24"/>
          <w:szCs w:val="24"/>
        </w:rPr>
        <w:t xml:space="preserve">wczesnego wykrywania wad wzroku u dzieci w wieku </w:t>
      </w:r>
      <w:r w:rsidR="00182B39">
        <w:rPr>
          <w:rFonts w:ascii="Times New Roman" w:hAnsi="Times New Roman"/>
          <w:sz w:val="24"/>
          <w:szCs w:val="24"/>
        </w:rPr>
        <w:t>5 lat zamieszkałych na terenie m</w:t>
      </w:r>
      <w:r>
        <w:rPr>
          <w:rFonts w:ascii="Times New Roman" w:hAnsi="Times New Roman"/>
          <w:sz w:val="24"/>
          <w:szCs w:val="24"/>
        </w:rPr>
        <w:t xml:space="preserve">iasta Torunia na lata 2020–2025 pn. </w:t>
      </w:r>
      <w:r w:rsidRPr="0088088B">
        <w:rPr>
          <w:rFonts w:ascii="Times New Roman" w:hAnsi="Times New Roman"/>
          <w:b/>
          <w:sz w:val="24"/>
          <w:szCs w:val="24"/>
        </w:rPr>
        <w:t>„Toruń ma oko na dzieciaki</w:t>
      </w:r>
      <w:r w:rsidR="00182B39" w:rsidRPr="0088088B">
        <w:rPr>
          <w:rFonts w:ascii="Times New Roman" w:hAnsi="Times New Roman"/>
          <w:b/>
          <w:i/>
          <w:sz w:val="24"/>
          <w:szCs w:val="24"/>
        </w:rPr>
        <w:t>”</w:t>
      </w:r>
      <w:r w:rsidR="00182B39">
        <w:rPr>
          <w:rFonts w:ascii="Times New Roman" w:hAnsi="Times New Roman"/>
          <w:i/>
          <w:sz w:val="24"/>
          <w:szCs w:val="24"/>
        </w:rPr>
        <w:t xml:space="preserve"> </w:t>
      </w:r>
      <w:r w:rsidR="00182B39">
        <w:rPr>
          <w:rFonts w:ascii="Times New Roman" w:hAnsi="Times New Roman"/>
          <w:sz w:val="24"/>
          <w:szCs w:val="24"/>
        </w:rPr>
        <w:t xml:space="preserve">oraz zaktualizowano program dotyczący szczepień przeciw HPV skierowany do 13-letnich dziewcząt i chłopców pn. </w:t>
      </w:r>
      <w:r w:rsidR="00182B39" w:rsidRPr="0088088B">
        <w:rPr>
          <w:rFonts w:ascii="Times New Roman" w:hAnsi="Times New Roman"/>
          <w:b/>
          <w:sz w:val="24"/>
          <w:szCs w:val="24"/>
        </w:rPr>
        <w:t xml:space="preserve">„HPV – odporni </w:t>
      </w:r>
      <w:r w:rsidR="00707EAB" w:rsidRPr="0088088B">
        <w:rPr>
          <w:rFonts w:ascii="Times New Roman" w:hAnsi="Times New Roman"/>
          <w:b/>
          <w:sz w:val="24"/>
          <w:szCs w:val="24"/>
        </w:rPr>
        <w:br/>
      </w:r>
      <w:r w:rsidR="00182B39" w:rsidRPr="0088088B">
        <w:rPr>
          <w:rFonts w:ascii="Times New Roman" w:hAnsi="Times New Roman"/>
          <w:b/>
          <w:sz w:val="24"/>
          <w:szCs w:val="24"/>
        </w:rPr>
        <w:t>w Toruniu”</w:t>
      </w:r>
      <w:r w:rsidR="00182B39" w:rsidRPr="0088088B">
        <w:rPr>
          <w:rFonts w:ascii="Times New Roman" w:hAnsi="Times New Roman"/>
          <w:sz w:val="24"/>
          <w:szCs w:val="24"/>
        </w:rPr>
        <w:t>.</w:t>
      </w:r>
      <w:r w:rsidR="00182B39">
        <w:rPr>
          <w:rFonts w:ascii="Times New Roman" w:hAnsi="Times New Roman"/>
          <w:sz w:val="24"/>
          <w:szCs w:val="24"/>
        </w:rPr>
        <w:t xml:space="preserve"> Oba programy </w:t>
      </w:r>
      <w:r>
        <w:rPr>
          <w:rFonts w:ascii="Times New Roman" w:hAnsi="Times New Roman"/>
          <w:bCs/>
          <w:sz w:val="24"/>
          <w:szCs w:val="24"/>
        </w:rPr>
        <w:t>uzyskał</w:t>
      </w:r>
      <w:r w:rsidR="00182B39">
        <w:rPr>
          <w:rFonts w:ascii="Times New Roman" w:hAnsi="Times New Roman"/>
          <w:bCs/>
          <w:sz w:val="24"/>
          <w:szCs w:val="24"/>
        </w:rPr>
        <w:t>y</w:t>
      </w:r>
      <w:r>
        <w:rPr>
          <w:rFonts w:ascii="Times New Roman" w:hAnsi="Times New Roman"/>
          <w:bCs/>
          <w:sz w:val="24"/>
          <w:szCs w:val="24"/>
        </w:rPr>
        <w:t xml:space="preserve"> pozytywną opinię Agencji Oceny Technologii Medycznych i Taryfikacji w Warszawie oraz Wojewody Kujawsko-Pomorskiego i został</w:t>
      </w:r>
      <w:r w:rsidR="00182B39">
        <w:rPr>
          <w:rFonts w:ascii="Times New Roman" w:hAnsi="Times New Roman"/>
          <w:bCs/>
          <w:sz w:val="24"/>
          <w:szCs w:val="24"/>
        </w:rPr>
        <w:t>y przyjęte przez RMT uchwałami</w:t>
      </w:r>
      <w:r>
        <w:rPr>
          <w:rFonts w:ascii="Times New Roman" w:hAnsi="Times New Roman"/>
          <w:bCs/>
          <w:sz w:val="24"/>
          <w:szCs w:val="24"/>
        </w:rPr>
        <w:t xml:space="preserve"> nr </w:t>
      </w:r>
      <w:r w:rsidR="00182B39">
        <w:rPr>
          <w:rFonts w:ascii="Times New Roman" w:hAnsi="Times New Roman"/>
          <w:bCs/>
          <w:sz w:val="24"/>
          <w:szCs w:val="24"/>
        </w:rPr>
        <w:t>407/20 i 406/</w:t>
      </w:r>
      <w:r>
        <w:rPr>
          <w:rFonts w:ascii="Times New Roman" w:hAnsi="Times New Roman"/>
          <w:bCs/>
          <w:sz w:val="24"/>
          <w:szCs w:val="24"/>
        </w:rPr>
        <w:t>20 z dnia 18.06.2020 r.</w:t>
      </w:r>
    </w:p>
    <w:p w:rsidR="00AE6BCB" w:rsidRDefault="00EB3441" w:rsidP="00EB3441">
      <w:pPr>
        <w:pStyle w:val="NoSpacing"/>
        <w:spacing w:line="240" w:lineRule="auto"/>
        <w:ind w:firstLine="709"/>
        <w:jc w:val="both"/>
        <w:rPr>
          <w:rFonts w:ascii="Times New Roman" w:hAnsi="Times New Roman"/>
          <w:sz w:val="24"/>
          <w:szCs w:val="24"/>
        </w:rPr>
      </w:pPr>
      <w:r>
        <w:rPr>
          <w:rFonts w:ascii="Times New Roman" w:hAnsi="Times New Roman"/>
          <w:sz w:val="24"/>
          <w:szCs w:val="24"/>
        </w:rPr>
        <w:t>I</w:t>
      </w:r>
      <w:r w:rsidR="00AE6BCB">
        <w:rPr>
          <w:rFonts w:ascii="Times New Roman" w:hAnsi="Times New Roman"/>
          <w:sz w:val="24"/>
          <w:szCs w:val="24"/>
        </w:rPr>
        <w:t xml:space="preserve">stotnym wątkiem są działania profilaktyczne oraz naprawcze podejmowane </w:t>
      </w:r>
      <w:r>
        <w:rPr>
          <w:rFonts w:ascii="Times New Roman" w:hAnsi="Times New Roman"/>
          <w:sz w:val="24"/>
          <w:szCs w:val="24"/>
        </w:rPr>
        <w:t xml:space="preserve">przez Gminę </w:t>
      </w:r>
      <w:r w:rsidR="00AE6BCB">
        <w:rPr>
          <w:rFonts w:ascii="Times New Roman" w:hAnsi="Times New Roman"/>
          <w:sz w:val="24"/>
          <w:szCs w:val="24"/>
        </w:rPr>
        <w:t xml:space="preserve">w związku z problemem używania środków psychoaktywnych. Działania te ujmowane są w rokrocznie przyjmowanym przez Radę Miasta Torunia dokumencie pn. </w:t>
      </w:r>
      <w:r w:rsidR="00AE6BCB">
        <w:rPr>
          <w:rFonts w:ascii="Times New Roman" w:hAnsi="Times New Roman"/>
          <w:b/>
          <w:bCs/>
          <w:sz w:val="24"/>
          <w:szCs w:val="24"/>
        </w:rPr>
        <w:t xml:space="preserve">„Gminny program profilaktyki i rozwiązywania problemów alkoholowych, narkomanii oraz innych uzależnień”. </w:t>
      </w:r>
      <w:r>
        <w:rPr>
          <w:rFonts w:ascii="Times New Roman" w:hAnsi="Times New Roman"/>
          <w:sz w:val="24"/>
          <w:szCs w:val="24"/>
        </w:rPr>
        <w:t>W</w:t>
      </w:r>
      <w:r w:rsidR="00AE6BCB">
        <w:rPr>
          <w:rFonts w:ascii="Times New Roman" w:hAnsi="Times New Roman"/>
          <w:sz w:val="24"/>
          <w:szCs w:val="24"/>
        </w:rPr>
        <w:t xml:space="preserve"> ramach Programu w 2020 r. </w:t>
      </w:r>
      <w:r>
        <w:rPr>
          <w:rFonts w:ascii="Times New Roman" w:hAnsi="Times New Roman"/>
          <w:sz w:val="24"/>
          <w:szCs w:val="24"/>
        </w:rPr>
        <w:t>przekazano środki</w:t>
      </w:r>
      <w:r w:rsidR="00AE6BCB">
        <w:rPr>
          <w:rFonts w:ascii="Times New Roman" w:hAnsi="Times New Roman"/>
          <w:sz w:val="24"/>
          <w:szCs w:val="24"/>
        </w:rPr>
        <w:t xml:space="preserve"> </w:t>
      </w:r>
      <w:r w:rsidR="00AC6EFC">
        <w:rPr>
          <w:rFonts w:ascii="Times New Roman" w:hAnsi="Times New Roman"/>
          <w:sz w:val="24"/>
          <w:szCs w:val="24"/>
        </w:rPr>
        <w:t>(</w:t>
      </w:r>
      <w:r>
        <w:rPr>
          <w:rFonts w:ascii="Times New Roman" w:hAnsi="Times New Roman"/>
          <w:sz w:val="24"/>
          <w:szCs w:val="24"/>
        </w:rPr>
        <w:t xml:space="preserve">pochodzące z opłat </w:t>
      </w:r>
      <w:r>
        <w:rPr>
          <w:rFonts w:ascii="Times New Roman" w:hAnsi="Times New Roman"/>
          <w:sz w:val="24"/>
          <w:szCs w:val="24"/>
        </w:rPr>
        <w:lastRenderedPageBreak/>
        <w:t>za zezwolenia na sprzedaż napojów alkoholowych</w:t>
      </w:r>
      <w:r w:rsidR="00AC6EFC">
        <w:rPr>
          <w:rFonts w:ascii="Times New Roman" w:hAnsi="Times New Roman"/>
          <w:sz w:val="24"/>
          <w:szCs w:val="24"/>
        </w:rPr>
        <w:t>, w kwocie prawie 3.700 tys. zł</w:t>
      </w:r>
      <w:r>
        <w:rPr>
          <w:rFonts w:ascii="Times New Roman" w:hAnsi="Times New Roman"/>
          <w:sz w:val="24"/>
          <w:szCs w:val="24"/>
        </w:rPr>
        <w:t xml:space="preserve">) </w:t>
      </w:r>
      <w:r w:rsidR="00372564">
        <w:rPr>
          <w:rFonts w:ascii="Times New Roman" w:hAnsi="Times New Roman"/>
          <w:sz w:val="24"/>
          <w:szCs w:val="24"/>
        </w:rPr>
        <w:br/>
      </w:r>
      <w:r w:rsidR="00AE6BCB">
        <w:rPr>
          <w:rFonts w:ascii="Times New Roman" w:hAnsi="Times New Roman"/>
          <w:sz w:val="24"/>
          <w:szCs w:val="24"/>
        </w:rPr>
        <w:t>27 organizacjom pozarządowym statutowo działającym w przedmiotowym obszarze, na realizację często całorocznych projektów</w:t>
      </w:r>
      <w:r>
        <w:rPr>
          <w:rFonts w:ascii="Times New Roman" w:hAnsi="Times New Roman"/>
          <w:sz w:val="24"/>
          <w:szCs w:val="24"/>
        </w:rPr>
        <w:t>.</w:t>
      </w:r>
      <w:r w:rsidR="00AE6BCB">
        <w:rPr>
          <w:rFonts w:ascii="Times New Roman" w:hAnsi="Times New Roman"/>
          <w:sz w:val="24"/>
          <w:szCs w:val="24"/>
        </w:rPr>
        <w:t xml:space="preserve"> </w:t>
      </w:r>
      <w:r>
        <w:rPr>
          <w:rFonts w:ascii="Times New Roman" w:hAnsi="Times New Roman"/>
          <w:sz w:val="24"/>
          <w:szCs w:val="24"/>
        </w:rPr>
        <w:t xml:space="preserve">W związku ze stanem epidemii wywołanym przez wirusa SARS-CoV-2, realizacja zadań dotyczących profilaktyki uzależnień była znacznie utrudniona. Znaczna część z nich była wykonywana w formie zdalnej a w przypadku konieczności działań bezpośrednich – z zachowaniem ścisłych zasad reżimu sanitarnego. Działania w ramach programu w 2020 r. </w:t>
      </w:r>
      <w:r w:rsidR="00AC6EFC">
        <w:rPr>
          <w:rFonts w:ascii="Times New Roman" w:hAnsi="Times New Roman"/>
          <w:sz w:val="24"/>
          <w:szCs w:val="24"/>
        </w:rPr>
        <w:t xml:space="preserve">skierowane zostały do ok. </w:t>
      </w:r>
      <w:r w:rsidR="00AE6BCB">
        <w:rPr>
          <w:rFonts w:ascii="Times New Roman" w:hAnsi="Times New Roman"/>
          <w:sz w:val="24"/>
          <w:szCs w:val="24"/>
        </w:rPr>
        <w:t>69 tys. mieszkańców Torunia.</w:t>
      </w:r>
    </w:p>
    <w:p w:rsidR="00AE6BCB" w:rsidRPr="00AC6EFC" w:rsidRDefault="00AE6BCB" w:rsidP="00AC6EFC">
      <w:pPr>
        <w:pStyle w:val="NoSpacing"/>
        <w:spacing w:line="240" w:lineRule="auto"/>
        <w:ind w:firstLine="708"/>
        <w:jc w:val="both"/>
        <w:rPr>
          <w:i/>
          <w:sz w:val="24"/>
          <w:szCs w:val="24"/>
        </w:rPr>
      </w:pPr>
      <w:r w:rsidRPr="00AC6EFC">
        <w:rPr>
          <w:rFonts w:ascii="Times New Roman" w:hAnsi="Times New Roman"/>
          <w:i/>
          <w:sz w:val="24"/>
          <w:szCs w:val="24"/>
        </w:rPr>
        <w:t xml:space="preserve">Szczegółowe sprawozdanie z realizacji „Gminnego programu profilaktyki </w:t>
      </w:r>
      <w:r w:rsidR="00707EAB">
        <w:rPr>
          <w:rFonts w:ascii="Times New Roman" w:hAnsi="Times New Roman"/>
          <w:i/>
          <w:sz w:val="24"/>
          <w:szCs w:val="24"/>
        </w:rPr>
        <w:br/>
      </w:r>
      <w:r w:rsidRPr="00AC6EFC">
        <w:rPr>
          <w:rFonts w:ascii="Times New Roman" w:hAnsi="Times New Roman"/>
          <w:i/>
          <w:sz w:val="24"/>
          <w:szCs w:val="24"/>
        </w:rPr>
        <w:t>i rozwiązywania problemów alkoholowych, narkomanii oraz innych uzależnień” zawiera odrębna informacja przedkładana Radzie Miasta Torunia zgodnie z procedurą.</w:t>
      </w:r>
    </w:p>
    <w:p w:rsidR="00AE6BCB" w:rsidRDefault="00AE6BCB" w:rsidP="009C7C02">
      <w:pPr>
        <w:spacing w:line="240" w:lineRule="auto"/>
        <w:ind w:firstLine="709"/>
        <w:jc w:val="both"/>
        <w:rPr>
          <w:lang w:val="pl-PL"/>
        </w:rPr>
      </w:pPr>
      <w:r>
        <w:rPr>
          <w:lang w:val="pl-PL"/>
        </w:rPr>
        <w:t xml:space="preserve">W celu rozwoju systemu przeciwdziałania przemocy w rodzinie na terenie Gminy Miasta Toruń, Rada Miasta Torunia podjęła uchwałę nr 471/16 z dnia 24 listopada 2016 r. </w:t>
      </w:r>
      <w:r w:rsidR="00AC4DC7">
        <w:rPr>
          <w:lang w:val="pl-PL"/>
        </w:rPr>
        <w:br/>
      </w:r>
      <w:r>
        <w:rPr>
          <w:lang w:val="pl-PL"/>
        </w:rPr>
        <w:t xml:space="preserve">w sprawie </w:t>
      </w:r>
      <w:r>
        <w:rPr>
          <w:b/>
          <w:lang w:val="pl-PL"/>
        </w:rPr>
        <w:t>„Gminnego programu przeciwdziałania przemocy w rodzinie oraz ochrony ofiar przemocy w rodzinie w Toruniu na lata 2017–2020”.</w:t>
      </w:r>
      <w:r>
        <w:rPr>
          <w:lang w:val="pl-PL"/>
        </w:rPr>
        <w:t xml:space="preserve"> Podstawowe działania </w:t>
      </w:r>
      <w:r w:rsidR="00AC4DC7">
        <w:rPr>
          <w:lang w:val="pl-PL"/>
        </w:rPr>
        <w:br/>
      </w:r>
      <w:r>
        <w:rPr>
          <w:lang w:val="pl-PL"/>
        </w:rPr>
        <w:t xml:space="preserve">w zakresie realizacji celów przyjętych w Programie realizował Zespół Interdyscyplinarny </w:t>
      </w:r>
      <w:r w:rsidR="00372564">
        <w:rPr>
          <w:lang w:val="pl-PL"/>
        </w:rPr>
        <w:br/>
      </w:r>
      <w:r>
        <w:rPr>
          <w:lang w:val="pl-PL"/>
        </w:rPr>
        <w:t xml:space="preserve">ds. Rozwiązywania Problemów Przemocy w Rodzinie oraz Ochrony Ofiar Przemocy </w:t>
      </w:r>
      <w:r w:rsidR="00372564">
        <w:rPr>
          <w:lang w:val="pl-PL"/>
        </w:rPr>
        <w:br/>
      </w:r>
      <w:r>
        <w:rPr>
          <w:lang w:val="pl-PL"/>
        </w:rPr>
        <w:t xml:space="preserve">w Rodzinie, powoływany przez Prezydenta Miasta Torunia. Realizowano m.in. akcje informacyjne o zjawisku przemocy w rodzinie oraz o możliwościach uzyskania pomocy; bezpłatne poradnictwo specjalistyczne (prawne, psychologiczne, socjalne i rodzinne); konsultacje lekarzy psychiatrów i lekarzy rodzinnych oraz terapeutów rodzinnych </w:t>
      </w:r>
      <w:r w:rsidR="00372564">
        <w:rPr>
          <w:lang w:val="pl-PL"/>
        </w:rPr>
        <w:br/>
      </w:r>
      <w:r>
        <w:rPr>
          <w:lang w:val="pl-PL"/>
        </w:rPr>
        <w:t xml:space="preserve">i psychoterapeutów, a także prowadzono statystykę ujawnianych przypadków przemocy </w:t>
      </w:r>
      <w:r w:rsidR="00372564">
        <w:rPr>
          <w:lang w:val="pl-PL"/>
        </w:rPr>
        <w:br/>
      </w:r>
      <w:r>
        <w:rPr>
          <w:lang w:val="pl-PL"/>
        </w:rPr>
        <w:t>w rodzinie na terenie miasta Torunia i badania ilościowe dotyczące procedury ,,Niebieskiej Karty”.</w:t>
      </w:r>
    </w:p>
    <w:p w:rsidR="00AE6BCB" w:rsidRDefault="00AE6BCB" w:rsidP="009C7C02">
      <w:pPr>
        <w:pStyle w:val="ListParagraph"/>
        <w:spacing w:line="240" w:lineRule="auto"/>
        <w:ind w:left="1428"/>
        <w:jc w:val="both"/>
        <w:rPr>
          <w:lang w:val="pl-PL"/>
        </w:rPr>
      </w:pPr>
    </w:p>
    <w:p w:rsidR="009C25FB" w:rsidRPr="009C25FB" w:rsidRDefault="00F155F0" w:rsidP="009C25FB">
      <w:pPr>
        <w:pStyle w:val="Nagwek1"/>
        <w:numPr>
          <w:ilvl w:val="0"/>
          <w:numId w:val="0"/>
        </w:numPr>
        <w:spacing w:line="240" w:lineRule="auto"/>
        <w:ind w:left="432" w:hanging="432"/>
        <w:rPr>
          <w:color w:val="0070C0"/>
          <w:lang w:val="pl-PL"/>
        </w:rPr>
      </w:pPr>
      <w:bookmarkStart w:id="63" w:name="__RefHeading__31954_2082197896"/>
      <w:bookmarkStart w:id="64" w:name="_Toc69477699"/>
      <w:bookmarkStart w:id="65" w:name="_Toc69372247"/>
      <w:bookmarkEnd w:id="63"/>
      <w:r>
        <w:rPr>
          <w:color w:val="0070C0"/>
          <w:lang w:val="pl-PL"/>
        </w:rPr>
        <w:t xml:space="preserve">X. </w:t>
      </w:r>
      <w:r w:rsidR="00AE6BCB">
        <w:rPr>
          <w:color w:val="0070C0"/>
          <w:lang w:val="pl-PL"/>
        </w:rPr>
        <w:t>OŚWIATA I WYCHOWANIE</w:t>
      </w:r>
      <w:bookmarkEnd w:id="64"/>
      <w:bookmarkEnd w:id="65"/>
      <w:r w:rsidR="009C25FB">
        <w:rPr>
          <w:color w:val="0070C0"/>
          <w:lang w:val="pl-PL"/>
        </w:rPr>
        <w:br/>
      </w:r>
    </w:p>
    <w:p w:rsidR="00AE6BCB" w:rsidRPr="00AC4DC7" w:rsidRDefault="00AE6BCB" w:rsidP="009C7C02">
      <w:pPr>
        <w:pStyle w:val="Nagwek2"/>
        <w:spacing w:before="0" w:after="0" w:line="240" w:lineRule="auto"/>
        <w:rPr>
          <w:rFonts w:ascii="Times New Roman" w:hAnsi="Times New Roman" w:cs="Times New Roman"/>
          <w:color w:val="0070C0"/>
          <w:sz w:val="24"/>
          <w:szCs w:val="24"/>
          <w:lang w:val="pl-PL"/>
        </w:rPr>
      </w:pPr>
      <w:bookmarkStart w:id="66" w:name="__RefHeading__31956_2082197896"/>
      <w:bookmarkStart w:id="67" w:name="_Toc69477700"/>
      <w:bookmarkStart w:id="68" w:name="_Toc69372248"/>
      <w:bookmarkEnd w:id="66"/>
      <w:r w:rsidRPr="00AC4DC7">
        <w:rPr>
          <w:rFonts w:ascii="Times New Roman" w:hAnsi="Times New Roman" w:cs="Times New Roman"/>
          <w:color w:val="0070C0"/>
          <w:sz w:val="24"/>
          <w:szCs w:val="24"/>
          <w:lang w:val="pl-PL"/>
        </w:rPr>
        <w:t>Toruńska oświata w licz</w:t>
      </w:r>
      <w:r w:rsidR="008F5F16">
        <w:rPr>
          <w:rFonts w:ascii="Times New Roman" w:hAnsi="Times New Roman" w:cs="Times New Roman"/>
          <w:color w:val="0070C0"/>
          <w:sz w:val="24"/>
          <w:szCs w:val="24"/>
          <w:lang w:val="pl-PL"/>
        </w:rPr>
        <w:t>bach: liczba uczniów, oddziałów;</w:t>
      </w:r>
      <w:r w:rsidRPr="00AC4DC7">
        <w:rPr>
          <w:rFonts w:ascii="Times New Roman" w:hAnsi="Times New Roman" w:cs="Times New Roman"/>
          <w:color w:val="0070C0"/>
          <w:sz w:val="24"/>
          <w:szCs w:val="24"/>
          <w:lang w:val="pl-PL"/>
        </w:rPr>
        <w:t xml:space="preserve"> typy szkół</w:t>
      </w:r>
      <w:bookmarkStart w:id="69" w:name="_Toc69477701"/>
      <w:bookmarkStart w:id="70" w:name="_Toc69372249"/>
      <w:bookmarkEnd w:id="67"/>
      <w:bookmarkEnd w:id="68"/>
      <w:r w:rsidR="008F5F16">
        <w:rPr>
          <w:rFonts w:ascii="Times New Roman" w:hAnsi="Times New Roman" w:cs="Times New Roman"/>
          <w:color w:val="0070C0"/>
          <w:sz w:val="24"/>
          <w:szCs w:val="24"/>
          <w:lang w:val="pl-PL"/>
        </w:rPr>
        <w:t>;</w:t>
      </w:r>
      <w:r w:rsidR="00AC4DC7">
        <w:rPr>
          <w:rFonts w:ascii="Times New Roman" w:hAnsi="Times New Roman" w:cs="Times New Roman"/>
          <w:color w:val="0070C0"/>
          <w:sz w:val="24"/>
          <w:szCs w:val="24"/>
          <w:lang w:val="pl-PL"/>
        </w:rPr>
        <w:t xml:space="preserve"> z</w:t>
      </w:r>
      <w:r w:rsidRPr="00AC4DC7">
        <w:rPr>
          <w:rFonts w:ascii="Times New Roman" w:hAnsi="Times New Roman" w:cs="Times New Roman"/>
          <w:color w:val="0070C0"/>
          <w:sz w:val="24"/>
          <w:szCs w:val="24"/>
          <w:lang w:val="pl-PL"/>
        </w:rPr>
        <w:t xml:space="preserve">atrudnienie </w:t>
      </w:r>
      <w:bookmarkEnd w:id="69"/>
      <w:bookmarkEnd w:id="70"/>
    </w:p>
    <w:tbl>
      <w:tblPr>
        <w:tblW w:w="9777" w:type="dxa"/>
        <w:tblInd w:w="-68" w:type="dxa"/>
        <w:tblLayout w:type="fixed"/>
        <w:tblCellMar>
          <w:left w:w="70" w:type="dxa"/>
          <w:right w:w="70" w:type="dxa"/>
        </w:tblCellMar>
        <w:tblLook w:val="0000"/>
      </w:tblPr>
      <w:tblGrid>
        <w:gridCol w:w="2896"/>
        <w:gridCol w:w="1313"/>
        <w:gridCol w:w="1175"/>
        <w:gridCol w:w="794"/>
        <w:gridCol w:w="1472"/>
        <w:gridCol w:w="1070"/>
        <w:gridCol w:w="1057"/>
      </w:tblGrid>
      <w:tr w:rsidR="00AC4DC7" w:rsidTr="00AC4DC7">
        <w:trPr>
          <w:cantSplit/>
          <w:trHeight w:val="431"/>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r>
              <w:rPr>
                <w:b/>
                <w:bCs/>
                <w:sz w:val="20"/>
                <w:szCs w:val="20"/>
                <w:lang w:val="pl-PL"/>
              </w:rPr>
              <w:t>Typ placówki</w:t>
            </w:r>
          </w:p>
        </w:tc>
        <w:tc>
          <w:tcPr>
            <w:tcW w:w="3278" w:type="dxa"/>
            <w:gridSpan w:val="3"/>
            <w:tcBorders>
              <w:top w:val="single" w:sz="4" w:space="0" w:color="000000"/>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r>
              <w:rPr>
                <w:b/>
                <w:bCs/>
                <w:sz w:val="20"/>
                <w:szCs w:val="20"/>
                <w:lang w:val="pl-PL"/>
              </w:rPr>
              <w:t>W okresie od I do VI 2020</w:t>
            </w:r>
          </w:p>
        </w:tc>
        <w:tc>
          <w:tcPr>
            <w:tcW w:w="3602" w:type="dxa"/>
            <w:gridSpan w:val="3"/>
            <w:tcBorders>
              <w:top w:val="single" w:sz="4" w:space="0" w:color="000000"/>
              <w:bottom w:val="single" w:sz="4" w:space="0" w:color="000000"/>
              <w:right w:val="single" w:sz="4" w:space="0" w:color="000000"/>
            </w:tcBorders>
            <w:vAlign w:val="center"/>
          </w:tcPr>
          <w:p w:rsidR="00AC4DC7" w:rsidRDefault="00AC4DC7" w:rsidP="009C7C02">
            <w:pPr>
              <w:spacing w:line="240" w:lineRule="auto"/>
              <w:jc w:val="center"/>
              <w:rPr>
                <w:lang w:val="pl-PL"/>
              </w:rPr>
            </w:pPr>
            <w:r>
              <w:rPr>
                <w:b/>
                <w:bCs/>
                <w:sz w:val="20"/>
                <w:szCs w:val="20"/>
                <w:lang w:val="pl-PL"/>
              </w:rPr>
              <w:t>W okresie od IX do XII 2020</w:t>
            </w:r>
          </w:p>
        </w:tc>
      </w:tr>
      <w:tr w:rsidR="00AC4DC7" w:rsidTr="00AC4DC7">
        <w:trPr>
          <w:cantSplit/>
          <w:trHeight w:val="717"/>
        </w:trPr>
        <w:tc>
          <w:tcPr>
            <w:tcW w:w="2897" w:type="dxa"/>
            <w:vMerge/>
            <w:tcBorders>
              <w:top w:val="single" w:sz="4" w:space="0" w:color="000000"/>
              <w:left w:val="single" w:sz="4" w:space="0" w:color="000000"/>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r>
              <w:rPr>
                <w:b/>
                <w:bCs/>
                <w:sz w:val="20"/>
                <w:szCs w:val="20"/>
                <w:lang w:val="pl-PL"/>
              </w:rPr>
              <w:t>Liczba jednostek oświatowych</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r>
              <w:rPr>
                <w:b/>
                <w:bCs/>
                <w:sz w:val="20"/>
                <w:szCs w:val="20"/>
                <w:lang w:val="pl-PL"/>
              </w:rPr>
              <w:t>Liczba oddziałów</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r>
              <w:rPr>
                <w:b/>
                <w:bCs/>
                <w:sz w:val="20"/>
                <w:szCs w:val="20"/>
                <w:lang w:val="pl-PL"/>
              </w:rPr>
              <w:t>Liczba uczniów</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r>
              <w:rPr>
                <w:b/>
                <w:bCs/>
                <w:sz w:val="20"/>
                <w:szCs w:val="20"/>
                <w:lang w:val="pl-PL"/>
              </w:rPr>
              <w:t>Liczba jednostek oświatowych</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b/>
                <w:bCs/>
                <w:sz w:val="20"/>
                <w:szCs w:val="20"/>
                <w:lang w:val="pl-PL"/>
              </w:rPr>
            </w:pPr>
            <w:r>
              <w:rPr>
                <w:b/>
                <w:bCs/>
                <w:sz w:val="20"/>
                <w:szCs w:val="20"/>
                <w:lang w:val="pl-PL"/>
              </w:rPr>
              <w:t>Liczba oddziałów</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b/>
                <w:bCs/>
                <w:sz w:val="20"/>
                <w:szCs w:val="20"/>
                <w:lang w:val="pl-PL"/>
              </w:rPr>
              <w:t>Liczba uczniów</w:t>
            </w:r>
          </w:p>
        </w:tc>
      </w:tr>
      <w:tr w:rsidR="00AC4DC7" w:rsidTr="00AC4DC7">
        <w:trPr>
          <w:trHeight w:val="198"/>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 xml:space="preserve">Przedszkole miejskie </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18</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140</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3 324</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18</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142</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3 353</w:t>
            </w:r>
          </w:p>
        </w:tc>
      </w:tr>
      <w:tr w:rsidR="00AC4DC7" w:rsidTr="00AC4DC7">
        <w:trPr>
          <w:trHeight w:val="357"/>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Oddział przedszkolny w szkole podstawowej</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20</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57</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1 375</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18</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55</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1 304</w:t>
            </w:r>
          </w:p>
        </w:tc>
      </w:tr>
      <w:tr w:rsidR="00AC4DC7" w:rsidTr="00AC4DC7">
        <w:trPr>
          <w:trHeight w:val="95"/>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Oddział przedszkolny w szkole specjalnej</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8</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44</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8</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40</w:t>
            </w:r>
          </w:p>
        </w:tc>
      </w:tr>
      <w:tr w:rsidR="00AC4DC7" w:rsidTr="00AC4DC7">
        <w:trPr>
          <w:trHeight w:val="70"/>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Szkoła podstawowa</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26</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614</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13 405</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26</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611</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13 435</w:t>
            </w:r>
          </w:p>
        </w:tc>
      </w:tr>
      <w:tr w:rsidR="00AC4DC7" w:rsidTr="00AC4DC7">
        <w:trPr>
          <w:trHeight w:val="276"/>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Klasy dotychczasowego gimnazjum</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0</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0</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0</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0</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0</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0</w:t>
            </w:r>
          </w:p>
        </w:tc>
      </w:tr>
      <w:tr w:rsidR="00AC4DC7" w:rsidTr="00AC4DC7">
        <w:trPr>
          <w:trHeight w:val="759"/>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Szkoła ponadpodstawowa/ ponadgimnazjalna (bez szkół specjalnych)</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24</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355</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10 169</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24</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359</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10 406</w:t>
            </w:r>
          </w:p>
        </w:tc>
      </w:tr>
      <w:tr w:rsidR="00AC4DC7" w:rsidTr="00AC4DC7">
        <w:trPr>
          <w:trHeight w:val="370"/>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 xml:space="preserve">Szkoły dla dorosłych </w:t>
            </w:r>
            <w:r>
              <w:rPr>
                <w:bCs/>
                <w:sz w:val="20"/>
                <w:szCs w:val="20"/>
                <w:lang w:val="pl-PL"/>
              </w:rPr>
              <w:t>(+ realizacja kursów zawodowych)</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3</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17</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1 333</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3</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14</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1 082</w:t>
            </w:r>
          </w:p>
        </w:tc>
      </w:tr>
      <w:tr w:rsidR="00AC4DC7" w:rsidTr="00AC4DC7">
        <w:trPr>
          <w:trHeight w:val="86"/>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 xml:space="preserve">Szkoła specjalna </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3</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56</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287</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3</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60</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293</w:t>
            </w:r>
          </w:p>
        </w:tc>
      </w:tr>
      <w:tr w:rsidR="00AC4DC7" w:rsidTr="00AC4DC7">
        <w:trPr>
          <w:trHeight w:val="70"/>
        </w:trPr>
        <w:tc>
          <w:tcPr>
            <w:tcW w:w="2897" w:type="dxa"/>
            <w:tcBorders>
              <w:left w:val="single" w:sz="4" w:space="0" w:color="000000"/>
              <w:bottom w:val="single" w:sz="4" w:space="0" w:color="000000"/>
              <w:right w:val="single" w:sz="4" w:space="0" w:color="000000"/>
            </w:tcBorders>
            <w:vAlign w:val="center"/>
          </w:tcPr>
          <w:p w:rsidR="00AC4DC7" w:rsidRDefault="00AC4DC7" w:rsidP="009C7C02">
            <w:pPr>
              <w:spacing w:line="240" w:lineRule="auto"/>
              <w:rPr>
                <w:sz w:val="20"/>
                <w:szCs w:val="20"/>
                <w:lang w:val="pl-PL"/>
              </w:rPr>
            </w:pPr>
            <w:r>
              <w:rPr>
                <w:sz w:val="20"/>
                <w:szCs w:val="20"/>
                <w:lang w:val="pl-PL"/>
              </w:rPr>
              <w:t xml:space="preserve">Szkoła artystyczna </w:t>
            </w:r>
          </w:p>
        </w:tc>
        <w:tc>
          <w:tcPr>
            <w:tcW w:w="131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4</w:t>
            </w:r>
          </w:p>
        </w:tc>
        <w:tc>
          <w:tcPr>
            <w:tcW w:w="11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47</w:t>
            </w:r>
          </w:p>
        </w:tc>
        <w:tc>
          <w:tcPr>
            <w:tcW w:w="794"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678</w:t>
            </w:r>
          </w:p>
        </w:tc>
        <w:tc>
          <w:tcPr>
            <w:tcW w:w="1473"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4</w:t>
            </w:r>
          </w:p>
        </w:tc>
        <w:tc>
          <w:tcPr>
            <w:tcW w:w="1071" w:type="dxa"/>
            <w:tcBorders>
              <w:bottom w:val="single" w:sz="4" w:space="0" w:color="000000"/>
              <w:right w:val="single" w:sz="4" w:space="0" w:color="000000"/>
            </w:tcBorders>
            <w:vAlign w:val="center"/>
          </w:tcPr>
          <w:p w:rsidR="00AC4DC7" w:rsidRDefault="00AC4DC7" w:rsidP="009C7C02">
            <w:pPr>
              <w:spacing w:line="240" w:lineRule="auto"/>
              <w:jc w:val="center"/>
              <w:rPr>
                <w:sz w:val="20"/>
                <w:szCs w:val="20"/>
                <w:lang w:val="pl-PL"/>
              </w:rPr>
            </w:pPr>
            <w:r>
              <w:rPr>
                <w:sz w:val="20"/>
                <w:szCs w:val="20"/>
                <w:lang w:val="pl-PL"/>
              </w:rPr>
              <w:t>44</w:t>
            </w:r>
          </w:p>
        </w:tc>
        <w:tc>
          <w:tcPr>
            <w:tcW w:w="1058" w:type="dxa"/>
            <w:tcBorders>
              <w:bottom w:val="single" w:sz="4" w:space="0" w:color="000000"/>
              <w:right w:val="single" w:sz="4" w:space="0" w:color="000000"/>
            </w:tcBorders>
            <w:vAlign w:val="center"/>
          </w:tcPr>
          <w:p w:rsidR="00AC4DC7" w:rsidRDefault="00AC4DC7" w:rsidP="009C7C02">
            <w:pPr>
              <w:spacing w:line="240" w:lineRule="auto"/>
              <w:jc w:val="center"/>
              <w:rPr>
                <w:lang w:val="pl-PL"/>
              </w:rPr>
            </w:pPr>
            <w:r>
              <w:rPr>
                <w:sz w:val="20"/>
                <w:szCs w:val="20"/>
                <w:lang w:val="pl-PL"/>
              </w:rPr>
              <w:t>707</w:t>
            </w:r>
          </w:p>
        </w:tc>
      </w:tr>
      <w:tr w:rsidR="00AC4DC7" w:rsidTr="00AC4DC7">
        <w:trPr>
          <w:trHeight w:val="70"/>
        </w:trPr>
        <w:tc>
          <w:tcPr>
            <w:tcW w:w="2892" w:type="dxa"/>
            <w:tcBorders>
              <w:left w:val="single" w:sz="4" w:space="0" w:color="000000"/>
              <w:bottom w:val="single" w:sz="4" w:space="0" w:color="000000"/>
              <w:right w:val="single" w:sz="4" w:space="0" w:color="auto"/>
            </w:tcBorders>
            <w:shd w:val="clear" w:color="auto" w:fill="FFFFFF"/>
            <w:vAlign w:val="center"/>
          </w:tcPr>
          <w:p w:rsidR="00AC4DC7" w:rsidRDefault="00AC4DC7" w:rsidP="00AC4DC7">
            <w:pPr>
              <w:spacing w:line="240" w:lineRule="auto"/>
              <w:jc w:val="right"/>
              <w:rPr>
                <w:b/>
                <w:bCs/>
                <w:sz w:val="20"/>
                <w:szCs w:val="20"/>
                <w:lang w:val="pl-PL"/>
              </w:rPr>
            </w:pPr>
            <w:r>
              <w:rPr>
                <w:b/>
                <w:bCs/>
                <w:sz w:val="20"/>
                <w:szCs w:val="20"/>
                <w:lang w:val="pl-PL"/>
              </w:rPr>
              <w:t>Razem uczniów</w:t>
            </w:r>
          </w:p>
        </w:tc>
        <w:tc>
          <w:tcPr>
            <w:tcW w:w="2489" w:type="dxa"/>
            <w:gridSpan w:val="2"/>
            <w:tcBorders>
              <w:left w:val="single" w:sz="4" w:space="0" w:color="auto"/>
              <w:bottom w:val="single" w:sz="4" w:space="0" w:color="000000"/>
              <w:right w:val="single" w:sz="4" w:space="0" w:color="000000"/>
            </w:tcBorders>
            <w:shd w:val="clear" w:color="auto" w:fill="FFFFFF"/>
            <w:vAlign w:val="center"/>
          </w:tcPr>
          <w:p w:rsidR="00AC4DC7" w:rsidRDefault="00AC4DC7" w:rsidP="009C7C02">
            <w:pPr>
              <w:jc w:val="right"/>
              <w:rPr>
                <w:b/>
                <w:bCs/>
                <w:sz w:val="20"/>
                <w:szCs w:val="20"/>
                <w:lang w:val="pl-PL"/>
              </w:rPr>
            </w:pPr>
          </w:p>
        </w:tc>
        <w:tc>
          <w:tcPr>
            <w:tcW w:w="794" w:type="dxa"/>
            <w:tcBorders>
              <w:bottom w:val="single" w:sz="4" w:space="0" w:color="000000"/>
              <w:right w:val="single" w:sz="4" w:space="0" w:color="auto"/>
            </w:tcBorders>
            <w:shd w:val="clear" w:color="auto" w:fill="FFFFFF"/>
            <w:vAlign w:val="center"/>
          </w:tcPr>
          <w:p w:rsidR="00AC4DC7" w:rsidRDefault="00AC4DC7" w:rsidP="00AC4DC7">
            <w:pPr>
              <w:spacing w:line="240" w:lineRule="auto"/>
              <w:rPr>
                <w:b/>
                <w:bCs/>
                <w:sz w:val="20"/>
                <w:szCs w:val="20"/>
                <w:lang w:val="pl-PL"/>
              </w:rPr>
            </w:pPr>
            <w:r>
              <w:rPr>
                <w:b/>
                <w:bCs/>
                <w:sz w:val="20"/>
                <w:szCs w:val="20"/>
                <w:lang w:val="pl-PL"/>
              </w:rPr>
              <w:t xml:space="preserve"> 30 615</w:t>
            </w:r>
          </w:p>
        </w:tc>
        <w:tc>
          <w:tcPr>
            <w:tcW w:w="2544" w:type="dxa"/>
            <w:gridSpan w:val="2"/>
            <w:tcBorders>
              <w:bottom w:val="single" w:sz="4" w:space="0" w:color="auto"/>
              <w:right w:val="single" w:sz="4" w:space="0" w:color="auto"/>
            </w:tcBorders>
            <w:shd w:val="clear" w:color="auto" w:fill="FFFFFF"/>
            <w:vAlign w:val="center"/>
          </w:tcPr>
          <w:p w:rsidR="00AC4DC7" w:rsidRDefault="00AC4DC7" w:rsidP="00AC4DC7">
            <w:pPr>
              <w:spacing w:line="240" w:lineRule="auto"/>
              <w:rPr>
                <w:b/>
                <w:bCs/>
                <w:sz w:val="20"/>
                <w:szCs w:val="20"/>
                <w:lang w:val="pl-PL"/>
              </w:rPr>
            </w:pPr>
          </w:p>
        </w:tc>
        <w:tc>
          <w:tcPr>
            <w:tcW w:w="1058" w:type="dxa"/>
            <w:tcBorders>
              <w:left w:val="single" w:sz="4" w:space="0" w:color="auto"/>
              <w:bottom w:val="single" w:sz="4" w:space="0" w:color="000000"/>
              <w:right w:val="single" w:sz="4" w:space="0" w:color="000000"/>
            </w:tcBorders>
            <w:shd w:val="clear" w:color="auto" w:fill="FFFFFF"/>
            <w:vAlign w:val="center"/>
          </w:tcPr>
          <w:p w:rsidR="00AC4DC7" w:rsidRDefault="00AC4DC7" w:rsidP="00AC4DC7">
            <w:pPr>
              <w:rPr>
                <w:b/>
                <w:bCs/>
                <w:sz w:val="20"/>
                <w:szCs w:val="20"/>
                <w:lang w:val="pl-PL"/>
              </w:rPr>
            </w:pPr>
            <w:r>
              <w:rPr>
                <w:b/>
                <w:bCs/>
                <w:sz w:val="20"/>
                <w:szCs w:val="20"/>
                <w:lang w:val="pl-PL"/>
              </w:rPr>
              <w:t xml:space="preserve">    30 620</w:t>
            </w:r>
          </w:p>
        </w:tc>
      </w:tr>
    </w:tbl>
    <w:p w:rsidR="00AE6BCB" w:rsidRDefault="00AE6BCB" w:rsidP="009C7C02">
      <w:pPr>
        <w:spacing w:line="240" w:lineRule="auto"/>
        <w:rPr>
          <w:i/>
          <w:lang w:val="pl-PL"/>
        </w:rPr>
      </w:pPr>
    </w:p>
    <w:p w:rsidR="009C25FB" w:rsidRDefault="009C25FB" w:rsidP="009C7C02">
      <w:pPr>
        <w:spacing w:line="240" w:lineRule="auto"/>
        <w:rPr>
          <w:i/>
          <w:lang w:val="pl-PL"/>
        </w:rPr>
      </w:pPr>
    </w:p>
    <w:p w:rsidR="009C25FB" w:rsidRDefault="009C25FB" w:rsidP="009C7C02">
      <w:pPr>
        <w:spacing w:line="240" w:lineRule="auto"/>
        <w:rPr>
          <w:i/>
          <w:lang w:val="pl-PL"/>
        </w:rPr>
      </w:pPr>
    </w:p>
    <w:p w:rsidR="009C25FB" w:rsidRDefault="009C25FB" w:rsidP="009C7C02">
      <w:pPr>
        <w:spacing w:line="240" w:lineRule="auto"/>
        <w:rPr>
          <w:i/>
          <w:lang w:val="pl-PL"/>
        </w:rPr>
      </w:pPr>
    </w:p>
    <w:tbl>
      <w:tblPr>
        <w:tblW w:w="0" w:type="auto"/>
        <w:tblInd w:w="-68" w:type="dxa"/>
        <w:tblLayout w:type="fixed"/>
        <w:tblCellMar>
          <w:left w:w="70" w:type="dxa"/>
          <w:right w:w="70" w:type="dxa"/>
        </w:tblCellMar>
        <w:tblLook w:val="0000"/>
      </w:tblPr>
      <w:tblGrid>
        <w:gridCol w:w="3188"/>
        <w:gridCol w:w="3188"/>
        <w:gridCol w:w="3043"/>
      </w:tblGrid>
      <w:tr w:rsidR="00AE6BCB">
        <w:trPr>
          <w:trHeight w:val="400"/>
        </w:trPr>
        <w:tc>
          <w:tcPr>
            <w:tcW w:w="3188" w:type="dxa"/>
            <w:tcBorders>
              <w:top w:val="single" w:sz="4" w:space="0" w:color="000000"/>
              <w:left w:val="single" w:sz="4" w:space="0" w:color="000000"/>
              <w:bottom w:val="single" w:sz="4" w:space="0" w:color="000000"/>
              <w:right w:val="single" w:sz="4" w:space="0" w:color="000000"/>
            </w:tcBorders>
            <w:vAlign w:val="center"/>
          </w:tcPr>
          <w:p w:rsidR="00AE6BCB" w:rsidRDefault="00AE6BCB" w:rsidP="009C7C02">
            <w:pPr>
              <w:spacing w:line="240" w:lineRule="auto"/>
              <w:jc w:val="center"/>
              <w:rPr>
                <w:b/>
                <w:bCs/>
                <w:sz w:val="20"/>
                <w:lang w:val="pl-PL"/>
              </w:rPr>
            </w:pPr>
            <w:r>
              <w:rPr>
                <w:b/>
                <w:bCs/>
                <w:sz w:val="20"/>
                <w:lang w:val="pl-PL"/>
              </w:rPr>
              <w:t>Etaty</w:t>
            </w:r>
          </w:p>
        </w:tc>
        <w:tc>
          <w:tcPr>
            <w:tcW w:w="3188" w:type="dxa"/>
            <w:tcBorders>
              <w:top w:val="single" w:sz="4" w:space="0" w:color="000000"/>
              <w:bottom w:val="single" w:sz="4" w:space="0" w:color="000000"/>
              <w:right w:val="single" w:sz="4" w:space="0" w:color="000000"/>
            </w:tcBorders>
            <w:vAlign w:val="center"/>
          </w:tcPr>
          <w:p w:rsidR="00AE6BCB" w:rsidRDefault="00AE6BCB" w:rsidP="009C7C02">
            <w:pPr>
              <w:spacing w:line="240" w:lineRule="auto"/>
              <w:jc w:val="center"/>
              <w:rPr>
                <w:b/>
                <w:bCs/>
                <w:sz w:val="20"/>
                <w:lang w:val="pl-PL"/>
              </w:rPr>
            </w:pPr>
            <w:r>
              <w:rPr>
                <w:b/>
                <w:bCs/>
                <w:sz w:val="20"/>
                <w:lang w:val="pl-PL"/>
              </w:rPr>
              <w:t>Ostatni aneks w 2019/2020</w:t>
            </w:r>
          </w:p>
        </w:tc>
        <w:tc>
          <w:tcPr>
            <w:tcW w:w="3043" w:type="dxa"/>
            <w:tcBorders>
              <w:top w:val="single" w:sz="4" w:space="0" w:color="000000"/>
              <w:bottom w:val="single" w:sz="4" w:space="0" w:color="000000"/>
              <w:right w:val="single" w:sz="4" w:space="0" w:color="000000"/>
            </w:tcBorders>
            <w:vAlign w:val="center"/>
          </w:tcPr>
          <w:p w:rsidR="00AE6BCB" w:rsidRDefault="00AE6BCB" w:rsidP="009C7C02">
            <w:pPr>
              <w:spacing w:line="240" w:lineRule="auto"/>
              <w:jc w:val="center"/>
              <w:rPr>
                <w:lang w:val="pl-PL"/>
              </w:rPr>
            </w:pPr>
            <w:r>
              <w:rPr>
                <w:b/>
                <w:bCs/>
                <w:sz w:val="20"/>
                <w:lang w:val="pl-PL"/>
              </w:rPr>
              <w:t>Aneks wrześniowy w 2020/2021</w:t>
            </w:r>
          </w:p>
        </w:tc>
      </w:tr>
      <w:tr w:rsidR="00AE6BCB">
        <w:trPr>
          <w:trHeight w:val="135"/>
        </w:trPr>
        <w:tc>
          <w:tcPr>
            <w:tcW w:w="3188" w:type="dxa"/>
            <w:tcBorders>
              <w:left w:val="single" w:sz="4" w:space="0" w:color="000000"/>
              <w:bottom w:val="single" w:sz="4" w:space="0" w:color="000000"/>
              <w:right w:val="single" w:sz="4" w:space="0" w:color="000000"/>
            </w:tcBorders>
            <w:vAlign w:val="center"/>
          </w:tcPr>
          <w:p w:rsidR="00AE6BCB" w:rsidRDefault="00AE6BCB" w:rsidP="009C7C02">
            <w:pPr>
              <w:spacing w:line="240" w:lineRule="auto"/>
              <w:jc w:val="center"/>
              <w:rPr>
                <w:sz w:val="20"/>
                <w:lang w:val="pl-PL"/>
              </w:rPr>
            </w:pPr>
            <w:r>
              <w:rPr>
                <w:sz w:val="20"/>
                <w:lang w:val="pl-PL"/>
              </w:rPr>
              <w:t>Nauczyciele</w:t>
            </w:r>
          </w:p>
        </w:tc>
        <w:tc>
          <w:tcPr>
            <w:tcW w:w="3188" w:type="dxa"/>
            <w:tcBorders>
              <w:bottom w:val="single" w:sz="4" w:space="0" w:color="000000"/>
              <w:right w:val="single" w:sz="4" w:space="0" w:color="000000"/>
            </w:tcBorders>
            <w:vAlign w:val="center"/>
          </w:tcPr>
          <w:p w:rsidR="00AE6BCB" w:rsidRDefault="00AE6BCB" w:rsidP="009C7C02">
            <w:pPr>
              <w:spacing w:line="240" w:lineRule="auto"/>
              <w:jc w:val="center"/>
              <w:rPr>
                <w:sz w:val="20"/>
                <w:lang w:val="pl-PL"/>
              </w:rPr>
            </w:pPr>
            <w:r>
              <w:rPr>
                <w:sz w:val="20"/>
                <w:lang w:val="pl-PL"/>
              </w:rPr>
              <w:t>3561,58</w:t>
            </w:r>
          </w:p>
        </w:tc>
        <w:tc>
          <w:tcPr>
            <w:tcW w:w="3043" w:type="dxa"/>
            <w:tcBorders>
              <w:bottom w:val="single" w:sz="4" w:space="0" w:color="000000"/>
              <w:right w:val="single" w:sz="4" w:space="0" w:color="000000"/>
            </w:tcBorders>
            <w:vAlign w:val="center"/>
          </w:tcPr>
          <w:p w:rsidR="00AE6BCB" w:rsidRDefault="00AE6BCB" w:rsidP="009C7C02">
            <w:pPr>
              <w:spacing w:line="240" w:lineRule="auto"/>
              <w:jc w:val="center"/>
              <w:rPr>
                <w:lang w:val="pl-PL"/>
              </w:rPr>
            </w:pPr>
            <w:r>
              <w:rPr>
                <w:sz w:val="20"/>
                <w:lang w:val="pl-PL"/>
              </w:rPr>
              <w:t>3455,1</w:t>
            </w:r>
          </w:p>
        </w:tc>
      </w:tr>
      <w:tr w:rsidR="00AE6BCB">
        <w:trPr>
          <w:trHeight w:val="70"/>
        </w:trPr>
        <w:tc>
          <w:tcPr>
            <w:tcW w:w="3188" w:type="dxa"/>
            <w:tcBorders>
              <w:left w:val="single" w:sz="4" w:space="0" w:color="000000"/>
              <w:bottom w:val="single" w:sz="4" w:space="0" w:color="000000"/>
              <w:right w:val="single" w:sz="4" w:space="0" w:color="000000"/>
            </w:tcBorders>
            <w:vAlign w:val="center"/>
          </w:tcPr>
          <w:p w:rsidR="00AE6BCB" w:rsidRDefault="00AE6BCB" w:rsidP="009C7C02">
            <w:pPr>
              <w:spacing w:line="240" w:lineRule="auto"/>
              <w:jc w:val="center"/>
              <w:rPr>
                <w:sz w:val="20"/>
                <w:lang w:val="pl-PL"/>
              </w:rPr>
            </w:pPr>
            <w:r>
              <w:rPr>
                <w:sz w:val="20"/>
                <w:lang w:val="pl-PL"/>
              </w:rPr>
              <w:t>AiO</w:t>
            </w:r>
          </w:p>
        </w:tc>
        <w:tc>
          <w:tcPr>
            <w:tcW w:w="3188" w:type="dxa"/>
            <w:tcBorders>
              <w:bottom w:val="single" w:sz="4" w:space="0" w:color="000000"/>
              <w:right w:val="single" w:sz="4" w:space="0" w:color="000000"/>
            </w:tcBorders>
            <w:vAlign w:val="center"/>
          </w:tcPr>
          <w:p w:rsidR="00AE6BCB" w:rsidRDefault="00AE6BCB" w:rsidP="009C7C02">
            <w:pPr>
              <w:spacing w:line="240" w:lineRule="auto"/>
              <w:jc w:val="center"/>
              <w:rPr>
                <w:sz w:val="20"/>
                <w:lang w:val="pl-PL"/>
              </w:rPr>
            </w:pPr>
            <w:r>
              <w:rPr>
                <w:sz w:val="20"/>
                <w:lang w:val="pl-PL"/>
              </w:rPr>
              <w:t>1100,42</w:t>
            </w:r>
          </w:p>
        </w:tc>
        <w:tc>
          <w:tcPr>
            <w:tcW w:w="3043" w:type="dxa"/>
            <w:tcBorders>
              <w:bottom w:val="single" w:sz="4" w:space="0" w:color="000000"/>
              <w:right w:val="single" w:sz="4" w:space="0" w:color="000000"/>
            </w:tcBorders>
            <w:vAlign w:val="center"/>
          </w:tcPr>
          <w:p w:rsidR="00AE6BCB" w:rsidRDefault="00AE6BCB" w:rsidP="009C7C02">
            <w:pPr>
              <w:spacing w:line="240" w:lineRule="auto"/>
              <w:jc w:val="center"/>
              <w:rPr>
                <w:lang w:val="pl-PL"/>
              </w:rPr>
            </w:pPr>
            <w:r>
              <w:rPr>
                <w:sz w:val="20"/>
                <w:lang w:val="pl-PL"/>
              </w:rPr>
              <w:t>1050,88</w:t>
            </w:r>
          </w:p>
        </w:tc>
      </w:tr>
    </w:tbl>
    <w:p w:rsidR="001F733D" w:rsidRDefault="001F733D" w:rsidP="009C7C02">
      <w:pPr>
        <w:spacing w:line="240" w:lineRule="auto"/>
        <w:rPr>
          <w:i/>
          <w:lang w:val="pl-PL"/>
        </w:rPr>
      </w:pPr>
    </w:p>
    <w:p w:rsidR="00AE6BCB" w:rsidRPr="001F733D" w:rsidRDefault="00AE6BCB" w:rsidP="009C7C02">
      <w:pPr>
        <w:spacing w:line="240" w:lineRule="auto"/>
        <w:rPr>
          <w:i/>
          <w:sz w:val="20"/>
          <w:szCs w:val="20"/>
          <w:lang w:val="pl-PL"/>
        </w:rPr>
      </w:pPr>
      <w:r w:rsidRPr="001F733D">
        <w:rPr>
          <w:i/>
          <w:sz w:val="20"/>
          <w:szCs w:val="20"/>
          <w:lang w:val="pl-PL"/>
        </w:rPr>
        <w:t>Źródło danych dla okresu od I do VI 2020: ostatni aneks obowiązujący w roku szkolnym 2019/2020.</w:t>
      </w:r>
    </w:p>
    <w:p w:rsidR="00AE6BCB" w:rsidRPr="001F733D" w:rsidRDefault="00AE6BCB" w:rsidP="009C7C02">
      <w:pPr>
        <w:spacing w:line="240" w:lineRule="auto"/>
        <w:rPr>
          <w:sz w:val="20"/>
          <w:szCs w:val="20"/>
          <w:lang w:val="pl-PL"/>
        </w:rPr>
      </w:pPr>
      <w:r w:rsidRPr="001F733D">
        <w:rPr>
          <w:i/>
          <w:sz w:val="20"/>
          <w:szCs w:val="20"/>
          <w:lang w:val="pl-PL"/>
        </w:rPr>
        <w:t>Źródło danych dla okresu od IX do XII 2020: aneks wrześniowy obowiązujący w roku szkolnym 2020/2021.</w:t>
      </w:r>
    </w:p>
    <w:p w:rsidR="00AE6BCB" w:rsidRDefault="00AE6BCB" w:rsidP="009C7C02">
      <w:pPr>
        <w:spacing w:line="240" w:lineRule="auto"/>
        <w:rPr>
          <w:b/>
          <w:bCs/>
          <w:color w:val="FF0000"/>
          <w:lang w:val="pl-PL"/>
        </w:rPr>
      </w:pPr>
    </w:p>
    <w:p w:rsidR="00AE6BCB" w:rsidRPr="001F733D" w:rsidRDefault="00D87E2D" w:rsidP="009C7C02">
      <w:pPr>
        <w:pStyle w:val="Nagwek2"/>
        <w:spacing w:before="0" w:after="0" w:line="240" w:lineRule="auto"/>
        <w:rPr>
          <w:rFonts w:ascii="Times New Roman" w:hAnsi="Times New Roman" w:cs="Times New Roman"/>
          <w:color w:val="00000A"/>
          <w:lang w:val="pl-PL"/>
        </w:rPr>
      </w:pPr>
      <w:bookmarkStart w:id="71" w:name="__RefHeading__31958_2082197896"/>
      <w:bookmarkStart w:id="72" w:name="_Toc69477702"/>
      <w:bookmarkStart w:id="73" w:name="_Toc69372250"/>
      <w:bookmarkEnd w:id="71"/>
      <w:r>
        <w:rPr>
          <w:rFonts w:ascii="Times New Roman" w:hAnsi="Times New Roman" w:cs="Times New Roman"/>
          <w:color w:val="0070C0"/>
          <w:sz w:val="24"/>
          <w:lang w:val="pl-PL"/>
        </w:rPr>
        <w:t>Realizacja s</w:t>
      </w:r>
      <w:r w:rsidR="00AE6BCB" w:rsidRPr="001F733D">
        <w:rPr>
          <w:rFonts w:ascii="Times New Roman" w:hAnsi="Times New Roman" w:cs="Times New Roman"/>
          <w:color w:val="0070C0"/>
          <w:sz w:val="24"/>
          <w:lang w:val="pl-PL"/>
        </w:rPr>
        <w:t>trategii rozwoju edukacj</w:t>
      </w:r>
      <w:bookmarkEnd w:id="72"/>
      <w:bookmarkEnd w:id="73"/>
      <w:r>
        <w:rPr>
          <w:rFonts w:ascii="Times New Roman" w:hAnsi="Times New Roman" w:cs="Times New Roman"/>
          <w:color w:val="0070C0"/>
          <w:sz w:val="24"/>
          <w:lang w:val="pl-PL"/>
        </w:rPr>
        <w:t>i</w:t>
      </w:r>
    </w:p>
    <w:p w:rsidR="00AE6BCB" w:rsidRDefault="00AE6BCB" w:rsidP="009C7C02">
      <w:pPr>
        <w:pStyle w:val="Default"/>
        <w:spacing w:line="240" w:lineRule="auto"/>
        <w:ind w:firstLine="709"/>
        <w:jc w:val="both"/>
      </w:pPr>
      <w:r>
        <w:rPr>
          <w:color w:val="00000A"/>
        </w:rPr>
        <w:t>Rok 2020 był czwartym rokiem realizacji „</w:t>
      </w:r>
      <w:r>
        <w:rPr>
          <w:b/>
          <w:color w:val="00000A"/>
        </w:rPr>
        <w:t>Strategii rozwoju edukacji miasta Torunia na lata 2016–2023</w:t>
      </w:r>
      <w:r>
        <w:rPr>
          <w:color w:val="00000A"/>
        </w:rPr>
        <w:t>” przyjętej w 2016 r. przez Radę Miasta Torunia. Ze względu na pandemię COVID–19 rok ten różnił się od poprzednich, był nietypowy i trudny. Był ogromnym wyzwaniem także dla edukacji. Od 25 marca 2020 r. jednostki systemu oświaty realizowały zadania z wykorzystaniem metod i technik kształcenia na odległość. Aby ograniczyć niebezpieczeństwo związane z rozprzestrzenianiem się koronawirusa, Ministerstwo Edukacji Narodowej w połowie marca 2020r. zdecydowało o zawieszeniu tradycyjnych zajęć dydaktyczno-wychowawczych, a następnie wprowadziło obowiązek kształcenia na odległość.</w:t>
      </w:r>
      <w:r>
        <w:rPr>
          <w:b/>
          <w:bCs/>
          <w:color w:val="00000A"/>
        </w:rPr>
        <w:t xml:space="preserve"> </w:t>
      </w:r>
      <w:r>
        <w:rPr>
          <w:color w:val="00000A"/>
        </w:rPr>
        <w:t xml:space="preserve">Epidemia COVID–19 spowodowała nie tylko zawieszenie tradycyjnych zajęć w szkołach i placówkach oświatowych, ale wymusiła również zmianę harmonogramu egzaminów. Ze względów bezpieczeństwa podczas egzaminów uczniów </w:t>
      </w:r>
      <w:r w:rsidR="008F5F16">
        <w:rPr>
          <w:color w:val="00000A"/>
        </w:rPr>
        <w:br/>
      </w:r>
      <w:r>
        <w:rPr>
          <w:color w:val="00000A"/>
        </w:rPr>
        <w:t xml:space="preserve">i nauczycieli obowiązywały szczegółowe wytyczne sanitarne opracowane przez MEN, CKE </w:t>
      </w:r>
      <w:r w:rsidR="008F5F16">
        <w:rPr>
          <w:color w:val="00000A"/>
        </w:rPr>
        <w:br/>
      </w:r>
      <w:r>
        <w:rPr>
          <w:color w:val="00000A"/>
        </w:rPr>
        <w:t>i GIS. Ponadto, aby ograniczać kontakty i minimalizować ryzyko zagrożenia, egzamin maturalny w 2020 r. został przeprowadzony wyłącznie w formie pisemnej.</w:t>
      </w:r>
    </w:p>
    <w:p w:rsidR="00AE6BCB" w:rsidRDefault="00372564" w:rsidP="00372564">
      <w:pPr>
        <w:shd w:val="clear" w:color="auto" w:fill="FFFFFF"/>
        <w:spacing w:line="240" w:lineRule="auto"/>
        <w:jc w:val="both"/>
        <w:rPr>
          <w:color w:val="FF0000"/>
          <w:lang w:val="pl-PL"/>
        </w:rPr>
      </w:pPr>
      <w:r>
        <w:rPr>
          <w:lang w:val="pl-PL"/>
        </w:rPr>
        <w:t>Strategia rozwoju edukacji</w:t>
      </w:r>
      <w:r w:rsidR="00AE6BCB">
        <w:rPr>
          <w:lang w:val="pl-PL"/>
        </w:rPr>
        <w:t xml:space="preserve"> realizowana była przez wszystkie jednostki oświatowe prowadzone przez Gminę Miasta Toruń we współpracy z partnerami toruńskiej oświaty. </w:t>
      </w:r>
      <w:r w:rsidR="008F5F16">
        <w:rPr>
          <w:lang w:val="pl-PL"/>
        </w:rPr>
        <w:br/>
      </w:r>
    </w:p>
    <w:p w:rsidR="00AE6BCB" w:rsidRPr="00834678" w:rsidRDefault="00AE6BCB" w:rsidP="00372564">
      <w:pPr>
        <w:pStyle w:val="Nagwek2"/>
        <w:numPr>
          <w:ilvl w:val="0"/>
          <w:numId w:val="0"/>
        </w:numPr>
        <w:spacing w:before="0" w:after="0" w:line="240" w:lineRule="auto"/>
        <w:rPr>
          <w:rFonts w:ascii="Times New Roman" w:hAnsi="Times New Roman" w:cs="Times New Roman"/>
          <w:sz w:val="24"/>
          <w:szCs w:val="24"/>
          <w:lang w:val="pl-PL"/>
        </w:rPr>
      </w:pPr>
      <w:bookmarkStart w:id="74" w:name="__RefHeading__31960_2082197896"/>
      <w:bookmarkStart w:id="75" w:name="_Toc69477703"/>
      <w:bookmarkStart w:id="76" w:name="_Toc69372251"/>
      <w:bookmarkEnd w:id="74"/>
      <w:r w:rsidRPr="00834678">
        <w:rPr>
          <w:rFonts w:ascii="Times New Roman" w:hAnsi="Times New Roman" w:cs="Times New Roman"/>
          <w:color w:val="0070C0"/>
          <w:sz w:val="24"/>
          <w:szCs w:val="24"/>
          <w:lang w:val="pl-PL"/>
        </w:rPr>
        <w:t>Wychowanie przedszkolne</w:t>
      </w:r>
      <w:bookmarkEnd w:id="75"/>
      <w:bookmarkEnd w:id="76"/>
    </w:p>
    <w:p w:rsidR="00DC3A10" w:rsidRDefault="00607603" w:rsidP="00607603">
      <w:pPr>
        <w:spacing w:line="240" w:lineRule="auto"/>
        <w:ind w:firstLine="576"/>
        <w:jc w:val="both"/>
        <w:rPr>
          <w:lang w:val="pl-PL"/>
        </w:rPr>
      </w:pPr>
      <w:r>
        <w:rPr>
          <w:lang w:val="pl-PL"/>
        </w:rPr>
        <w:t>Szczególne zasady</w:t>
      </w:r>
      <w:r w:rsidR="00DC3A10">
        <w:rPr>
          <w:lang w:val="pl-PL"/>
        </w:rPr>
        <w:t xml:space="preserve"> </w:t>
      </w:r>
      <w:r>
        <w:rPr>
          <w:lang w:val="pl-PL"/>
        </w:rPr>
        <w:t>funkcjonowania</w:t>
      </w:r>
      <w:r w:rsidR="00DC3A10">
        <w:rPr>
          <w:lang w:val="pl-PL"/>
        </w:rPr>
        <w:t xml:space="preserve"> przedszkoli i oddziałów przedszkolnych w szkołach podstawowych w okresie pandemii:</w:t>
      </w:r>
    </w:p>
    <w:p w:rsidR="00DC3A10" w:rsidRDefault="00DC3A10" w:rsidP="00912BD8">
      <w:pPr>
        <w:numPr>
          <w:ilvl w:val="0"/>
          <w:numId w:val="38"/>
        </w:numPr>
        <w:spacing w:line="240" w:lineRule="auto"/>
        <w:jc w:val="both"/>
        <w:rPr>
          <w:lang w:val="pl-PL"/>
        </w:rPr>
      </w:pPr>
      <w:r w:rsidRPr="00834678">
        <w:rPr>
          <w:bCs/>
          <w:lang w:val="pl-PL"/>
        </w:rPr>
        <w:t>o</w:t>
      </w:r>
      <w:r w:rsidR="00AE6BCB" w:rsidRPr="00834678">
        <w:rPr>
          <w:bCs/>
          <w:lang w:val="pl-PL"/>
        </w:rPr>
        <w:t>d 12.03.2020 r.</w:t>
      </w:r>
      <w:r w:rsidRPr="00834678">
        <w:rPr>
          <w:lang w:val="pl-PL"/>
        </w:rPr>
        <w:t xml:space="preserve"> - </w:t>
      </w:r>
      <w:r w:rsidR="00AE6BCB" w:rsidRPr="00834678">
        <w:rPr>
          <w:lang w:val="pl-PL"/>
        </w:rPr>
        <w:t xml:space="preserve">czasowe zawieszenie działalności dydaktycznej, wychowawczej </w:t>
      </w:r>
      <w:r w:rsidR="00834678">
        <w:rPr>
          <w:lang w:val="pl-PL"/>
        </w:rPr>
        <w:br/>
      </w:r>
      <w:r w:rsidR="00AE6BCB" w:rsidRPr="00834678">
        <w:rPr>
          <w:lang w:val="pl-PL"/>
        </w:rPr>
        <w:t>i opiekuńczej wszystkich jednostek systemu oświaty</w:t>
      </w:r>
      <w:r w:rsidRPr="00834678">
        <w:rPr>
          <w:lang w:val="pl-PL"/>
        </w:rPr>
        <w:t>,</w:t>
      </w:r>
    </w:p>
    <w:p w:rsidR="00DC3A10" w:rsidRDefault="00DC3A10" w:rsidP="00912BD8">
      <w:pPr>
        <w:numPr>
          <w:ilvl w:val="0"/>
          <w:numId w:val="38"/>
        </w:numPr>
        <w:spacing w:line="240" w:lineRule="auto"/>
        <w:jc w:val="both"/>
        <w:rPr>
          <w:lang w:val="pl-PL"/>
        </w:rPr>
      </w:pPr>
      <w:r w:rsidRPr="00834678">
        <w:rPr>
          <w:bCs/>
          <w:lang w:val="pl-PL"/>
        </w:rPr>
        <w:t>o</w:t>
      </w:r>
      <w:r w:rsidR="00AE6BCB" w:rsidRPr="00834678">
        <w:rPr>
          <w:bCs/>
          <w:lang w:val="pl-PL"/>
        </w:rPr>
        <w:t>d 25.03.2020 r.</w:t>
      </w:r>
      <w:r w:rsidR="00AE6BCB" w:rsidRPr="00834678">
        <w:rPr>
          <w:lang w:val="pl-PL"/>
        </w:rPr>
        <w:t xml:space="preserve"> </w:t>
      </w:r>
      <w:r w:rsidRPr="00834678">
        <w:rPr>
          <w:lang w:val="pl-PL"/>
        </w:rPr>
        <w:t>– realizacja zadań</w:t>
      </w:r>
      <w:r w:rsidR="00AE6BCB" w:rsidRPr="00834678">
        <w:rPr>
          <w:lang w:val="pl-PL"/>
        </w:rPr>
        <w:t xml:space="preserve"> z wykorzystaniem metod i te</w:t>
      </w:r>
      <w:r w:rsidRPr="00834678">
        <w:rPr>
          <w:lang w:val="pl-PL"/>
        </w:rPr>
        <w:t xml:space="preserve">chnik kształcenia </w:t>
      </w:r>
      <w:r w:rsidR="00372564">
        <w:rPr>
          <w:lang w:val="pl-PL"/>
        </w:rPr>
        <w:br/>
      </w:r>
      <w:r w:rsidRPr="00834678">
        <w:rPr>
          <w:lang w:val="pl-PL"/>
        </w:rPr>
        <w:t>na odległość,</w:t>
      </w:r>
    </w:p>
    <w:p w:rsidR="00DC3A10" w:rsidRDefault="00DC3A10" w:rsidP="00912BD8">
      <w:pPr>
        <w:numPr>
          <w:ilvl w:val="0"/>
          <w:numId w:val="38"/>
        </w:numPr>
        <w:spacing w:line="240" w:lineRule="auto"/>
        <w:jc w:val="both"/>
        <w:rPr>
          <w:lang w:val="pl-PL"/>
        </w:rPr>
      </w:pPr>
      <w:r w:rsidRPr="00834678">
        <w:rPr>
          <w:lang w:val="pl-PL"/>
        </w:rPr>
        <w:t xml:space="preserve">18, 21 i 25 maja 2020 r. – wznawianie działalności poszczególnych placówek. </w:t>
      </w:r>
      <w:r w:rsidR="00AE6BCB" w:rsidRPr="00834678">
        <w:rPr>
          <w:lang w:val="pl-PL"/>
        </w:rPr>
        <w:t xml:space="preserve">Uruchomienie pracy przedszkoli było poprzedzone odpowiednimi przygotowaniami, </w:t>
      </w:r>
      <w:r w:rsidR="00CC428E">
        <w:rPr>
          <w:lang w:val="pl-PL"/>
        </w:rPr>
        <w:br/>
      </w:r>
      <w:r w:rsidR="00AE6BCB" w:rsidRPr="00834678">
        <w:rPr>
          <w:lang w:val="pl-PL"/>
        </w:rPr>
        <w:t xml:space="preserve">w tym zapewnieniem bezpieczeństwa sanitarnego dzieciom, pracownikom </w:t>
      </w:r>
      <w:r w:rsidR="00834678">
        <w:rPr>
          <w:lang w:val="pl-PL"/>
        </w:rPr>
        <w:br/>
      </w:r>
      <w:r w:rsidR="00AE6BCB" w:rsidRPr="00834678">
        <w:rPr>
          <w:lang w:val="pl-PL"/>
        </w:rPr>
        <w:t xml:space="preserve">i rodzicom. Placówki stosowały się do wytycznych opracowanych przez Ministra Zdrowia oraz </w:t>
      </w:r>
      <w:r w:rsidRPr="00834678">
        <w:rPr>
          <w:lang w:val="pl-PL"/>
        </w:rPr>
        <w:t>Głównego Inspektora Sanitarnego oraz o</w:t>
      </w:r>
      <w:r w:rsidR="00AE6BCB" w:rsidRPr="00834678">
        <w:rPr>
          <w:lang w:val="pl-PL"/>
        </w:rPr>
        <w:t>pracowały własne procedury funkcjonowani</w:t>
      </w:r>
      <w:r w:rsidRPr="00834678">
        <w:rPr>
          <w:lang w:val="pl-PL"/>
        </w:rPr>
        <w:t>a zgodne z wytycznymi MEN i GIS,</w:t>
      </w:r>
    </w:p>
    <w:p w:rsidR="00607603" w:rsidRDefault="00DC3A10" w:rsidP="00912BD8">
      <w:pPr>
        <w:numPr>
          <w:ilvl w:val="0"/>
          <w:numId w:val="38"/>
        </w:numPr>
        <w:spacing w:line="240" w:lineRule="auto"/>
        <w:jc w:val="both"/>
        <w:rPr>
          <w:lang w:val="pl-PL"/>
        </w:rPr>
      </w:pPr>
      <w:r w:rsidRPr="00834678">
        <w:rPr>
          <w:lang w:val="pl-PL"/>
        </w:rPr>
        <w:t xml:space="preserve">skrócenie </w:t>
      </w:r>
      <w:r w:rsidR="00AE6BCB" w:rsidRPr="00834678">
        <w:rPr>
          <w:bCs/>
          <w:lang w:val="pl-PL"/>
        </w:rPr>
        <w:t>przerwy wakacyjnej w przedszkolach</w:t>
      </w:r>
      <w:r w:rsidR="00AE6BCB" w:rsidRPr="00834678">
        <w:rPr>
          <w:lang w:val="pl-PL"/>
        </w:rPr>
        <w:t xml:space="preserve"> i oddziałach przedszkolnych </w:t>
      </w:r>
      <w:r w:rsidRPr="00834678">
        <w:rPr>
          <w:lang w:val="pl-PL"/>
        </w:rPr>
        <w:t xml:space="preserve">do </w:t>
      </w:r>
      <w:r w:rsidR="00834678">
        <w:rPr>
          <w:lang w:val="pl-PL"/>
        </w:rPr>
        <w:br/>
      </w:r>
      <w:r w:rsidRPr="00834678">
        <w:rPr>
          <w:lang w:val="pl-PL"/>
        </w:rPr>
        <w:t xml:space="preserve">2 tygodni, odstąpienie w tym okresie od organizowania  </w:t>
      </w:r>
      <w:r w:rsidR="00607603" w:rsidRPr="00834678">
        <w:rPr>
          <w:lang w:val="pl-PL"/>
        </w:rPr>
        <w:t>tzw. „przedszkoli zastępczych”,</w:t>
      </w:r>
    </w:p>
    <w:p w:rsidR="00AE6BCB" w:rsidRPr="00834678" w:rsidRDefault="00AE6BCB" w:rsidP="00912BD8">
      <w:pPr>
        <w:numPr>
          <w:ilvl w:val="0"/>
          <w:numId w:val="38"/>
        </w:numPr>
        <w:spacing w:line="240" w:lineRule="auto"/>
        <w:jc w:val="both"/>
        <w:rPr>
          <w:lang w:val="pl-PL"/>
        </w:rPr>
      </w:pPr>
      <w:r w:rsidRPr="00834678">
        <w:rPr>
          <w:lang w:val="pl-PL"/>
        </w:rPr>
        <w:t xml:space="preserve">działania </w:t>
      </w:r>
      <w:r w:rsidRPr="00834678">
        <w:rPr>
          <w:bCs/>
          <w:lang w:val="pl-PL"/>
        </w:rPr>
        <w:t>wspomagające jednostki oświatowe</w:t>
      </w:r>
      <w:r w:rsidRPr="00834678">
        <w:rPr>
          <w:b/>
          <w:bCs/>
          <w:lang w:val="pl-PL"/>
        </w:rPr>
        <w:t xml:space="preserve"> </w:t>
      </w:r>
      <w:r w:rsidRPr="00834678">
        <w:rPr>
          <w:lang w:val="pl-PL"/>
        </w:rPr>
        <w:t xml:space="preserve">(również przedszkola) w utrzymaniu </w:t>
      </w:r>
      <w:r w:rsidR="00607603" w:rsidRPr="00834678">
        <w:rPr>
          <w:lang w:val="pl-PL"/>
        </w:rPr>
        <w:t xml:space="preserve">reżimu sanitarnego: dystrybucja środków ochrony osobistej, płynów dezynfekujących, termometrów bezdotykowych. </w:t>
      </w:r>
    </w:p>
    <w:p w:rsidR="00AE6BCB" w:rsidRDefault="00AE6BCB" w:rsidP="009C7C02">
      <w:pPr>
        <w:pStyle w:val="ListParagraph"/>
        <w:spacing w:line="240" w:lineRule="auto"/>
        <w:ind w:left="357"/>
        <w:rPr>
          <w:color w:val="FF0000"/>
          <w:lang w:val="pl-PL"/>
        </w:rPr>
      </w:pPr>
    </w:p>
    <w:p w:rsidR="00AE6BCB" w:rsidRPr="00834678" w:rsidRDefault="00AE6BCB" w:rsidP="009C7C02">
      <w:pPr>
        <w:pStyle w:val="Nagwek2"/>
        <w:spacing w:before="0" w:after="0" w:line="240" w:lineRule="auto"/>
        <w:rPr>
          <w:rFonts w:ascii="Times New Roman" w:hAnsi="Times New Roman" w:cs="Times New Roman"/>
          <w:sz w:val="24"/>
          <w:szCs w:val="24"/>
          <w:lang w:val="pl-PL"/>
        </w:rPr>
      </w:pPr>
      <w:bookmarkStart w:id="77" w:name="__RefHeading__31962_2082197896"/>
      <w:bookmarkStart w:id="78" w:name="_Toc69477704"/>
      <w:bookmarkStart w:id="79" w:name="_Toc69372252"/>
      <w:bookmarkEnd w:id="77"/>
      <w:r w:rsidRPr="00834678">
        <w:rPr>
          <w:rFonts w:ascii="Times New Roman" w:hAnsi="Times New Roman" w:cs="Times New Roman"/>
          <w:color w:val="0070C0"/>
          <w:sz w:val="24"/>
          <w:lang w:val="pl-PL"/>
        </w:rPr>
        <w:t>Funkcjonowanie placówek pracy pozaszkolnej</w:t>
      </w:r>
      <w:bookmarkEnd w:id="78"/>
      <w:bookmarkEnd w:id="79"/>
    </w:p>
    <w:p w:rsidR="00607603" w:rsidRDefault="00AE6BCB" w:rsidP="009C7C02">
      <w:pPr>
        <w:spacing w:line="240" w:lineRule="auto"/>
        <w:ind w:firstLine="709"/>
        <w:jc w:val="both"/>
        <w:rPr>
          <w:lang w:val="pl-PL"/>
        </w:rPr>
      </w:pPr>
      <w:r>
        <w:rPr>
          <w:lang w:val="pl-PL"/>
        </w:rPr>
        <w:t xml:space="preserve">Na zajęcia rozwijające zainteresowania i uzdolnienia w placówkach oświatowo-wychowawczych </w:t>
      </w:r>
      <w:r w:rsidR="00607603">
        <w:rPr>
          <w:lang w:val="pl-PL"/>
        </w:rPr>
        <w:t>w 2020 r. uczęszczało:</w:t>
      </w:r>
    </w:p>
    <w:p w:rsidR="00834678" w:rsidRDefault="00607603" w:rsidP="00912BD8">
      <w:pPr>
        <w:numPr>
          <w:ilvl w:val="0"/>
          <w:numId w:val="39"/>
        </w:numPr>
        <w:spacing w:line="240" w:lineRule="auto"/>
        <w:jc w:val="both"/>
        <w:rPr>
          <w:lang w:val="pl-PL"/>
        </w:rPr>
      </w:pPr>
      <w:r w:rsidRPr="00834678">
        <w:rPr>
          <w:lang w:val="pl-PL"/>
        </w:rPr>
        <w:t>Ognisko</w:t>
      </w:r>
      <w:r w:rsidR="00AE6BCB" w:rsidRPr="00834678">
        <w:rPr>
          <w:lang w:val="pl-PL"/>
        </w:rPr>
        <w:t xml:space="preserve"> </w:t>
      </w:r>
      <w:r w:rsidRPr="00834678">
        <w:rPr>
          <w:lang w:val="pl-PL"/>
        </w:rPr>
        <w:t>Pracy Pozaszkolnej Dom Harcerza -</w:t>
      </w:r>
      <w:r w:rsidR="0085682B">
        <w:rPr>
          <w:lang w:val="pl-PL"/>
        </w:rPr>
        <w:t xml:space="preserve"> prawie 2.600 uczestników zajęć</w:t>
      </w:r>
    </w:p>
    <w:p w:rsidR="00834678" w:rsidRPr="009C25FB" w:rsidRDefault="00834678" w:rsidP="009C25FB">
      <w:pPr>
        <w:numPr>
          <w:ilvl w:val="0"/>
          <w:numId w:val="39"/>
        </w:numPr>
        <w:spacing w:line="240" w:lineRule="auto"/>
        <w:jc w:val="both"/>
        <w:rPr>
          <w:lang w:val="pl-PL"/>
        </w:rPr>
      </w:pPr>
      <w:r>
        <w:rPr>
          <w:lang w:val="pl-PL"/>
        </w:rPr>
        <w:lastRenderedPageBreak/>
        <w:t>Młodzieżowy Dom</w:t>
      </w:r>
      <w:r w:rsidR="00607603" w:rsidRPr="00834678">
        <w:rPr>
          <w:lang w:val="pl-PL"/>
        </w:rPr>
        <w:t xml:space="preserve"> Kultury </w:t>
      </w:r>
      <w:r w:rsidR="007E42DA" w:rsidRPr="00834678">
        <w:rPr>
          <w:lang w:val="pl-PL"/>
        </w:rPr>
        <w:t>–</w:t>
      </w:r>
      <w:r w:rsidR="00607603" w:rsidRPr="00834678">
        <w:rPr>
          <w:lang w:val="pl-PL"/>
        </w:rPr>
        <w:t xml:space="preserve"> </w:t>
      </w:r>
      <w:r w:rsidR="007E42DA" w:rsidRPr="00834678">
        <w:rPr>
          <w:lang w:val="pl-PL"/>
        </w:rPr>
        <w:t>ponad 2.400 uczestników.</w:t>
      </w:r>
    </w:p>
    <w:p w:rsidR="00AE6BCB" w:rsidRPr="0085682B" w:rsidRDefault="00AE6BCB" w:rsidP="0085682B">
      <w:pPr>
        <w:spacing w:line="240" w:lineRule="auto"/>
        <w:ind w:firstLine="426"/>
        <w:jc w:val="both"/>
        <w:rPr>
          <w:color w:val="FF0000"/>
          <w:lang w:val="pl-PL"/>
        </w:rPr>
      </w:pPr>
      <w:r>
        <w:rPr>
          <w:lang w:val="pl-PL"/>
        </w:rPr>
        <w:t>Dopełnieniem oferty edukacyjnej Gminy Miasta Toruń była działalność Poradni Psychologiczno-</w:t>
      </w:r>
      <w:r w:rsidR="0085682B">
        <w:rPr>
          <w:lang w:val="pl-PL"/>
        </w:rPr>
        <w:t>Pedagogicznej, w której</w:t>
      </w:r>
      <w:bookmarkStart w:id="80" w:name="__RefHeading__31964_2082197896"/>
      <w:bookmarkEnd w:id="80"/>
      <w:r w:rsidR="0085682B">
        <w:rPr>
          <w:lang w:val="pl-PL"/>
        </w:rPr>
        <w:t xml:space="preserve"> </w:t>
      </w:r>
      <w:r w:rsidR="007E42DA">
        <w:rPr>
          <w:lang w:val="pl-PL"/>
        </w:rPr>
        <w:t>w 2020 r.</w:t>
      </w:r>
      <w:r>
        <w:rPr>
          <w:lang w:val="pl-PL"/>
        </w:rPr>
        <w:t xml:space="preserve"> zatrudnionych było 14 pedagogów, 20 psychologów i 1 logopeda (w tym: oligofrenopedagodzy, surdopedagodzy, tyflopedagodzy, specjaliści diagnozujący zaburzenia ze spectrum autyzmu, logopedzi, neurologopeda, doradcy zawodowi, psychoterapeuci, terapeuci pedagogiczni, socjoterapeuci, terapeuci integracji sensorycznej, specjaliści wczesnego wspomagania rozwoju). Poradnia prowadziła swoją działalność niezmiennie prz</w:t>
      </w:r>
      <w:r w:rsidR="007E42DA">
        <w:rPr>
          <w:lang w:val="pl-PL"/>
        </w:rPr>
        <w:t>ez cały czas trwania pandemii (t</w:t>
      </w:r>
      <w:r>
        <w:rPr>
          <w:lang w:val="pl-PL"/>
        </w:rPr>
        <w:t xml:space="preserve">ylko w okresie od 6 kwietnia do </w:t>
      </w:r>
      <w:r w:rsidR="0091152C">
        <w:rPr>
          <w:lang w:val="pl-PL"/>
        </w:rPr>
        <w:br/>
      </w:r>
      <w:r>
        <w:rPr>
          <w:lang w:val="pl-PL"/>
        </w:rPr>
        <w:t>3 maja 2020 r. działalność stacjonarna była zawieszona</w:t>
      </w:r>
      <w:r w:rsidR="007E42DA">
        <w:rPr>
          <w:lang w:val="pl-PL"/>
        </w:rPr>
        <w:t>)</w:t>
      </w:r>
      <w:r>
        <w:rPr>
          <w:lang w:val="pl-PL"/>
        </w:rPr>
        <w:t xml:space="preserve">. Od marca do grudnia 2020 r. zostało zgłoszonych </w:t>
      </w:r>
      <w:r>
        <w:rPr>
          <w:bCs/>
          <w:lang w:val="pl-PL"/>
        </w:rPr>
        <w:t>1</w:t>
      </w:r>
      <w:r w:rsidR="007E42DA">
        <w:rPr>
          <w:bCs/>
          <w:lang w:val="pl-PL"/>
        </w:rPr>
        <w:t>.</w:t>
      </w:r>
      <w:r>
        <w:rPr>
          <w:bCs/>
          <w:lang w:val="pl-PL"/>
        </w:rPr>
        <w:t>696</w:t>
      </w:r>
      <w:r>
        <w:rPr>
          <w:lang w:val="pl-PL"/>
        </w:rPr>
        <w:t xml:space="preserve"> </w:t>
      </w:r>
      <w:r>
        <w:rPr>
          <w:bCs/>
          <w:lang w:val="pl-PL"/>
        </w:rPr>
        <w:t>dzieci</w:t>
      </w:r>
      <w:r>
        <w:rPr>
          <w:lang w:val="pl-PL"/>
        </w:rPr>
        <w:t xml:space="preserve">, na badania lub terapię psychologiczną przyjęto </w:t>
      </w:r>
      <w:r>
        <w:rPr>
          <w:bCs/>
          <w:lang w:val="pl-PL"/>
        </w:rPr>
        <w:t>1</w:t>
      </w:r>
      <w:r w:rsidR="007E42DA">
        <w:rPr>
          <w:bCs/>
          <w:lang w:val="pl-PL"/>
        </w:rPr>
        <w:t>.</w:t>
      </w:r>
      <w:r>
        <w:rPr>
          <w:bCs/>
          <w:lang w:val="pl-PL"/>
        </w:rPr>
        <w:t>613 osób</w:t>
      </w:r>
      <w:r>
        <w:rPr>
          <w:lang w:val="pl-PL"/>
        </w:rPr>
        <w:t xml:space="preserve">. W tym okresie nieprzerwanie funkcjonował Zespół Orzekający. Wydano </w:t>
      </w:r>
      <w:r>
        <w:rPr>
          <w:bCs/>
          <w:lang w:val="pl-PL"/>
        </w:rPr>
        <w:t>548 orzeczeń</w:t>
      </w:r>
      <w:r>
        <w:rPr>
          <w:lang w:val="pl-PL"/>
        </w:rPr>
        <w:t xml:space="preserve">, w tym </w:t>
      </w:r>
      <w:r w:rsidR="0085682B">
        <w:rPr>
          <w:lang w:val="pl-PL"/>
        </w:rPr>
        <w:br/>
      </w:r>
      <w:r>
        <w:rPr>
          <w:lang w:val="pl-PL"/>
        </w:rPr>
        <w:t xml:space="preserve">o potrzebie kształcenia specjalnego oraz o potrzebie indywidualnego nauczania, 465 opinii </w:t>
      </w:r>
      <w:r w:rsidR="0085682B">
        <w:rPr>
          <w:lang w:val="pl-PL"/>
        </w:rPr>
        <w:br/>
      </w:r>
      <w:r>
        <w:rPr>
          <w:lang w:val="pl-PL"/>
        </w:rPr>
        <w:t>w tym 120 opinii o potrzebie wczesnego wspomagania rozwoju dziecka. Ze wsparcia psychologicznego, w formie psychoterapii skorzystało 123 podopiecznych. Udzielono 2</w:t>
      </w:r>
      <w:r w:rsidR="007E42DA">
        <w:rPr>
          <w:lang w:val="pl-PL"/>
        </w:rPr>
        <w:t>.</w:t>
      </w:r>
      <w:r>
        <w:rPr>
          <w:lang w:val="pl-PL"/>
        </w:rPr>
        <w:t xml:space="preserve">862 porad i konsultacji. </w:t>
      </w:r>
    </w:p>
    <w:p w:rsidR="00AE6BCB" w:rsidRDefault="00AE6BCB" w:rsidP="0085682B">
      <w:pPr>
        <w:pStyle w:val="ListParagraph"/>
        <w:shd w:val="clear" w:color="auto" w:fill="FFFFFF"/>
        <w:spacing w:line="240" w:lineRule="auto"/>
        <w:ind w:left="0"/>
        <w:jc w:val="both"/>
        <w:rPr>
          <w:color w:val="FF0000"/>
          <w:lang w:val="pl-PL"/>
        </w:rPr>
      </w:pPr>
      <w:r>
        <w:rPr>
          <w:lang w:val="pl-PL"/>
        </w:rPr>
        <w:t xml:space="preserve">Oferta zajęć przesyłana była do szkół i przedszkoli oraz zamieszczana na stronie internetowej: www.ppp.torun.pl. Realizowane były konsultacje telefoniczne, online lub indywidualne spotkania w poradni, wizyty w przedszkolach i szkołach. </w:t>
      </w:r>
    </w:p>
    <w:p w:rsidR="00AE6BCB" w:rsidRDefault="00AE6BCB" w:rsidP="009C7C02">
      <w:pPr>
        <w:shd w:val="clear" w:color="auto" w:fill="FFFFFF"/>
        <w:spacing w:line="240" w:lineRule="auto"/>
        <w:jc w:val="both"/>
        <w:rPr>
          <w:color w:val="FF0000"/>
          <w:lang w:val="pl-PL"/>
        </w:rPr>
      </w:pPr>
    </w:p>
    <w:p w:rsidR="00AE6BCB" w:rsidRPr="0085682B" w:rsidRDefault="00AE6BCB" w:rsidP="009C7C02">
      <w:pPr>
        <w:pStyle w:val="Nagwek2"/>
        <w:spacing w:before="0" w:after="0" w:line="240" w:lineRule="auto"/>
        <w:rPr>
          <w:rFonts w:ascii="Times New Roman" w:hAnsi="Times New Roman" w:cs="Times New Roman"/>
          <w:sz w:val="24"/>
          <w:szCs w:val="24"/>
          <w:lang w:val="pl-PL"/>
        </w:rPr>
      </w:pPr>
      <w:bookmarkStart w:id="81" w:name="__RefHeading__31966_2082197896"/>
      <w:bookmarkStart w:id="82" w:name="_Toc69477706"/>
      <w:bookmarkStart w:id="83" w:name="_Toc69372254"/>
      <w:bookmarkEnd w:id="81"/>
      <w:r w:rsidRPr="0085682B">
        <w:rPr>
          <w:rFonts w:ascii="Times New Roman" w:hAnsi="Times New Roman" w:cs="Times New Roman"/>
          <w:color w:val="0070C0"/>
          <w:sz w:val="24"/>
          <w:lang w:val="pl-PL"/>
        </w:rPr>
        <w:t>Pozyskanie komputerów i innego sprzętu do nauki zdalnej</w:t>
      </w:r>
      <w:bookmarkEnd w:id="82"/>
      <w:bookmarkEnd w:id="83"/>
    </w:p>
    <w:p w:rsidR="00AE6BCB" w:rsidRDefault="00AE6BCB" w:rsidP="009C7C02">
      <w:pPr>
        <w:pStyle w:val="ListParagraph"/>
        <w:shd w:val="clear" w:color="auto" w:fill="FFFFFF"/>
        <w:spacing w:line="240" w:lineRule="auto"/>
        <w:ind w:left="0" w:firstLine="709"/>
        <w:jc w:val="both"/>
        <w:rPr>
          <w:lang w:val="pl-PL"/>
        </w:rPr>
      </w:pPr>
      <w:r>
        <w:rPr>
          <w:lang w:val="pl-PL"/>
        </w:rPr>
        <w:t xml:space="preserve"> Gmina Miasta Toruń pozyskała środki z budżetu państwa na wsparcie nauki zdalnej w wysokości:</w:t>
      </w:r>
    </w:p>
    <w:p w:rsidR="00AE6BCB" w:rsidRPr="0085682B" w:rsidRDefault="007E42DA" w:rsidP="00912BD8">
      <w:pPr>
        <w:pStyle w:val="ListParagraph"/>
        <w:numPr>
          <w:ilvl w:val="0"/>
          <w:numId w:val="40"/>
        </w:numPr>
        <w:shd w:val="clear" w:color="auto" w:fill="FFFFFF"/>
        <w:spacing w:line="240" w:lineRule="auto"/>
        <w:jc w:val="both"/>
        <w:rPr>
          <w:lang w:val="pl-PL"/>
        </w:rPr>
      </w:pPr>
      <w:r w:rsidRPr="0085682B">
        <w:rPr>
          <w:lang w:val="pl-PL"/>
        </w:rPr>
        <w:t>„</w:t>
      </w:r>
      <w:r w:rsidR="00AE6BCB" w:rsidRPr="0085682B">
        <w:rPr>
          <w:lang w:val="pl-PL"/>
        </w:rPr>
        <w:t>Zdalna szkoła</w:t>
      </w:r>
      <w:r w:rsidRPr="0085682B">
        <w:rPr>
          <w:lang w:val="pl-PL"/>
        </w:rPr>
        <w:t>”</w:t>
      </w:r>
      <w:r w:rsidR="00AE6BCB" w:rsidRPr="0085682B">
        <w:rPr>
          <w:lang w:val="pl-PL"/>
        </w:rPr>
        <w:t xml:space="preserve">: </w:t>
      </w:r>
      <w:r w:rsidRPr="0085682B">
        <w:rPr>
          <w:lang w:val="pl-PL"/>
        </w:rPr>
        <w:t>prawie 100 tys.</w:t>
      </w:r>
      <w:r w:rsidR="00AE6BCB" w:rsidRPr="0085682B">
        <w:rPr>
          <w:lang w:val="pl-PL"/>
        </w:rPr>
        <w:t xml:space="preserve"> zł. Sprzęt zakupiony w ramach programu jest udostępn</w:t>
      </w:r>
      <w:r w:rsidR="00CC428E">
        <w:rPr>
          <w:lang w:val="pl-PL"/>
        </w:rPr>
        <w:t xml:space="preserve">iany uczniom oraz nauczycielom: </w:t>
      </w:r>
      <w:r w:rsidR="00AE6BCB" w:rsidRPr="0085682B">
        <w:rPr>
          <w:bCs/>
          <w:lang w:val="pl-PL"/>
        </w:rPr>
        <w:t>34 laptopy oraz 17 mo</w:t>
      </w:r>
      <w:r w:rsidRPr="0085682B">
        <w:rPr>
          <w:bCs/>
          <w:lang w:val="pl-PL"/>
        </w:rPr>
        <w:t>demów Internetu bezprzewodowego,</w:t>
      </w:r>
    </w:p>
    <w:p w:rsidR="00C016D5" w:rsidRDefault="007E42DA" w:rsidP="00912BD8">
      <w:pPr>
        <w:pStyle w:val="ListParagraph"/>
        <w:numPr>
          <w:ilvl w:val="0"/>
          <w:numId w:val="40"/>
        </w:numPr>
        <w:shd w:val="clear" w:color="auto" w:fill="FFFFFF"/>
        <w:spacing w:line="240" w:lineRule="auto"/>
        <w:jc w:val="both"/>
        <w:rPr>
          <w:lang w:val="pl-PL"/>
        </w:rPr>
      </w:pPr>
      <w:r w:rsidRPr="0085682B">
        <w:rPr>
          <w:lang w:val="pl-PL"/>
        </w:rPr>
        <w:t>„</w:t>
      </w:r>
      <w:r w:rsidR="00AE6BCB" w:rsidRPr="0085682B">
        <w:rPr>
          <w:lang w:val="pl-PL"/>
        </w:rPr>
        <w:t>Zdalna szkoła+</w:t>
      </w:r>
      <w:r w:rsidRPr="0085682B">
        <w:rPr>
          <w:lang w:val="pl-PL"/>
        </w:rPr>
        <w:t>”</w:t>
      </w:r>
      <w:r w:rsidR="00AE6BCB" w:rsidRPr="0085682B">
        <w:rPr>
          <w:lang w:val="pl-PL"/>
        </w:rPr>
        <w:t xml:space="preserve">: </w:t>
      </w:r>
      <w:r w:rsidRPr="0085682B">
        <w:rPr>
          <w:lang w:val="pl-PL"/>
        </w:rPr>
        <w:t>ponad 164</w:t>
      </w:r>
      <w:r w:rsidR="00CC428E">
        <w:rPr>
          <w:lang w:val="pl-PL"/>
        </w:rPr>
        <w:t xml:space="preserve"> </w:t>
      </w:r>
      <w:r w:rsidRPr="0085682B">
        <w:rPr>
          <w:lang w:val="pl-PL"/>
        </w:rPr>
        <w:t>tys.</w:t>
      </w:r>
      <w:r w:rsidR="00AE6BCB" w:rsidRPr="0085682B">
        <w:rPr>
          <w:lang w:val="pl-PL"/>
        </w:rPr>
        <w:t xml:space="preserve"> zł. Sprzęt zakupiony w ramach programu na zasadzie użyczenia jest udostępniany uczniom i nauczycielom niedysponującym w</w:t>
      </w:r>
      <w:r w:rsidR="00CC428E">
        <w:rPr>
          <w:lang w:val="pl-PL"/>
        </w:rPr>
        <w:t xml:space="preserve">łasnym sprzętem komputerowym: </w:t>
      </w:r>
      <w:r w:rsidR="00AE6BCB" w:rsidRPr="0085682B">
        <w:rPr>
          <w:bCs/>
          <w:lang w:val="pl-PL"/>
        </w:rPr>
        <w:t xml:space="preserve">69 laptopów </w:t>
      </w:r>
      <w:r w:rsidR="00AE6BCB" w:rsidRPr="0085682B">
        <w:rPr>
          <w:lang w:val="pl-PL"/>
        </w:rPr>
        <w:t>w zestawie z modemami Internetu bezprzew</w:t>
      </w:r>
      <w:r w:rsidRPr="0085682B">
        <w:rPr>
          <w:lang w:val="pl-PL"/>
        </w:rPr>
        <w:t>odowego oraz przejściówkami USB,</w:t>
      </w:r>
    </w:p>
    <w:p w:rsidR="00AE6BCB" w:rsidRPr="0085682B" w:rsidRDefault="00C016D5" w:rsidP="00912BD8">
      <w:pPr>
        <w:pStyle w:val="ListParagraph"/>
        <w:numPr>
          <w:ilvl w:val="0"/>
          <w:numId w:val="40"/>
        </w:numPr>
        <w:shd w:val="clear" w:color="auto" w:fill="FFFFFF"/>
        <w:spacing w:line="240" w:lineRule="auto"/>
        <w:jc w:val="both"/>
        <w:rPr>
          <w:lang w:val="pl-PL"/>
        </w:rPr>
      </w:pPr>
      <w:r w:rsidRPr="0085682B">
        <w:rPr>
          <w:lang w:val="pl-PL"/>
        </w:rPr>
        <w:t xml:space="preserve">„Aktywna tablica”: 126 tys. zł. Doposażono 9 szkół prowadzonych przez GMT </w:t>
      </w:r>
      <w:r w:rsidR="0085682B">
        <w:rPr>
          <w:lang w:val="pl-PL"/>
        </w:rPr>
        <w:br/>
      </w:r>
      <w:r w:rsidRPr="0085682B">
        <w:rPr>
          <w:lang w:val="pl-PL"/>
        </w:rPr>
        <w:t>w sprzęt komputerowy i elektroniczny (I LO, IV LO, ZSPS i VIII LO, X LO, ZSE, ZST, ZSS, ZSIŚ).</w:t>
      </w:r>
      <w:r w:rsidRPr="0085682B">
        <w:rPr>
          <w:color w:val="FF0000"/>
          <w:lang w:val="pl-PL"/>
        </w:rPr>
        <w:t xml:space="preserve"> </w:t>
      </w:r>
      <w:r w:rsidRPr="0085682B">
        <w:rPr>
          <w:lang w:val="pl-PL"/>
        </w:rPr>
        <w:t>Zakupiono: 22 laptopy</w:t>
      </w:r>
      <w:r w:rsidR="00AE6BCB" w:rsidRPr="0085682B">
        <w:rPr>
          <w:lang w:val="pl-PL"/>
        </w:rPr>
        <w:t>, 7 projektorów, 10 interaktywnych moni</w:t>
      </w:r>
      <w:r w:rsidRPr="0085682B">
        <w:rPr>
          <w:lang w:val="pl-PL"/>
        </w:rPr>
        <w:t>torów bezdotykowych, 2 głośniki</w:t>
      </w:r>
      <w:r w:rsidR="00AE6BCB" w:rsidRPr="0085682B">
        <w:rPr>
          <w:lang w:val="pl-PL"/>
        </w:rPr>
        <w:t>.</w:t>
      </w:r>
    </w:p>
    <w:p w:rsidR="00AE6BCB" w:rsidRDefault="00AE6BCB" w:rsidP="009C7C02">
      <w:pPr>
        <w:pStyle w:val="ListParagraph"/>
        <w:spacing w:line="240" w:lineRule="auto"/>
        <w:ind w:left="0" w:firstLine="709"/>
        <w:rPr>
          <w:color w:val="FF0000"/>
          <w:lang w:val="pl-PL"/>
        </w:rPr>
      </w:pPr>
    </w:p>
    <w:p w:rsidR="00AE6BCB" w:rsidRDefault="00AE6BCB" w:rsidP="009C7C02">
      <w:pPr>
        <w:pStyle w:val="Nagwek2"/>
        <w:spacing w:before="0" w:after="0" w:line="240" w:lineRule="auto"/>
        <w:rPr>
          <w:rFonts w:ascii="Times New Roman" w:hAnsi="Times New Roman" w:cs="Times New Roman"/>
          <w:color w:val="0070C0"/>
          <w:sz w:val="24"/>
          <w:lang w:val="pl-PL"/>
        </w:rPr>
      </w:pPr>
      <w:bookmarkStart w:id="84" w:name="__RefHeading__31968_2082197896"/>
      <w:bookmarkStart w:id="85" w:name="_Toc69477707"/>
      <w:bookmarkStart w:id="86" w:name="_Toc69372255"/>
      <w:bookmarkEnd w:id="84"/>
      <w:r w:rsidRPr="0085682B">
        <w:rPr>
          <w:rFonts w:ascii="Times New Roman" w:hAnsi="Times New Roman" w:cs="Times New Roman"/>
          <w:color w:val="0070C0"/>
          <w:sz w:val="24"/>
          <w:lang w:val="pl-PL"/>
        </w:rPr>
        <w:t>Inwestycje w toruńskiej oświacie</w:t>
      </w:r>
      <w:bookmarkEnd w:id="85"/>
      <w:bookmarkEnd w:id="86"/>
    </w:p>
    <w:p w:rsidR="00AE6BCB" w:rsidRPr="00CC428E" w:rsidRDefault="00AE6BCB" w:rsidP="00CC428E">
      <w:pPr>
        <w:pStyle w:val="Tekstpodstawowy"/>
        <w:numPr>
          <w:ilvl w:val="0"/>
          <w:numId w:val="1"/>
        </w:numPr>
        <w:spacing w:after="0" w:line="240" w:lineRule="auto"/>
        <w:rPr>
          <w:rFonts w:ascii="Times New Roman" w:hAnsi="Times New Roman" w:cs="Times New Roman"/>
          <w:sz w:val="24"/>
          <w:szCs w:val="24"/>
        </w:rPr>
      </w:pPr>
      <w:r w:rsidRPr="00CC428E">
        <w:rPr>
          <w:rFonts w:ascii="Times New Roman" w:hAnsi="Times New Roman" w:cs="Times New Roman"/>
          <w:sz w:val="24"/>
          <w:szCs w:val="24"/>
        </w:rPr>
        <w:t>Wydatki na inwestycje:</w:t>
      </w:r>
      <w:r w:rsidRPr="00CC428E">
        <w:rPr>
          <w:rFonts w:ascii="Times New Roman" w:hAnsi="Times New Roman" w:cs="Times New Roman"/>
          <w:b/>
          <w:bCs/>
          <w:sz w:val="24"/>
          <w:szCs w:val="24"/>
        </w:rPr>
        <w:t xml:space="preserve"> </w:t>
      </w:r>
      <w:r w:rsidR="00C016D5" w:rsidRPr="00CC428E">
        <w:rPr>
          <w:rFonts w:ascii="Times New Roman" w:hAnsi="Times New Roman" w:cs="Times New Roman"/>
          <w:bCs/>
          <w:sz w:val="24"/>
          <w:szCs w:val="24"/>
        </w:rPr>
        <w:t xml:space="preserve">ponad </w:t>
      </w:r>
      <w:r w:rsidR="00C016D5" w:rsidRPr="00CC428E">
        <w:rPr>
          <w:rFonts w:ascii="Times New Roman" w:hAnsi="Times New Roman" w:cs="Times New Roman"/>
          <w:sz w:val="24"/>
          <w:szCs w:val="24"/>
        </w:rPr>
        <w:t>7.663 tys. zł</w:t>
      </w:r>
    </w:p>
    <w:p w:rsidR="00AE6BCB" w:rsidRPr="00CC428E" w:rsidRDefault="00AE6BCB" w:rsidP="00CC428E">
      <w:pPr>
        <w:pStyle w:val="Tekstpodstawowy"/>
        <w:numPr>
          <w:ilvl w:val="0"/>
          <w:numId w:val="1"/>
        </w:numPr>
        <w:spacing w:after="0" w:line="240" w:lineRule="auto"/>
        <w:rPr>
          <w:rFonts w:ascii="Times New Roman" w:hAnsi="Times New Roman" w:cs="Times New Roman"/>
          <w:sz w:val="24"/>
          <w:szCs w:val="24"/>
        </w:rPr>
      </w:pPr>
      <w:r w:rsidRPr="00CC428E">
        <w:rPr>
          <w:rFonts w:ascii="Times New Roman" w:hAnsi="Times New Roman" w:cs="Times New Roman"/>
          <w:sz w:val="24"/>
          <w:szCs w:val="24"/>
        </w:rPr>
        <w:t xml:space="preserve">Wydatki na inwestycje z UE: </w:t>
      </w:r>
      <w:r w:rsidR="00C016D5" w:rsidRPr="00CC428E">
        <w:rPr>
          <w:rFonts w:ascii="Times New Roman" w:hAnsi="Times New Roman" w:cs="Times New Roman"/>
          <w:sz w:val="24"/>
          <w:szCs w:val="24"/>
        </w:rPr>
        <w:t>prawie 3.025 tys. zł</w:t>
      </w:r>
    </w:p>
    <w:p w:rsidR="00CC428E" w:rsidRDefault="00AE6BCB" w:rsidP="00CC428E">
      <w:pPr>
        <w:pStyle w:val="Tekstpodstawowy"/>
        <w:numPr>
          <w:ilvl w:val="0"/>
          <w:numId w:val="1"/>
        </w:numPr>
        <w:spacing w:after="0" w:line="240" w:lineRule="auto"/>
        <w:rPr>
          <w:rFonts w:ascii="Times New Roman" w:hAnsi="Times New Roman" w:cs="Times New Roman"/>
          <w:sz w:val="24"/>
          <w:szCs w:val="24"/>
        </w:rPr>
      </w:pPr>
      <w:r w:rsidRPr="00CC428E">
        <w:rPr>
          <w:rFonts w:ascii="Times New Roman" w:hAnsi="Times New Roman" w:cs="Times New Roman"/>
          <w:sz w:val="24"/>
          <w:szCs w:val="24"/>
        </w:rPr>
        <w:t xml:space="preserve">Dochody – dotacje inwestycyjne z UE: </w:t>
      </w:r>
      <w:r w:rsidR="00C016D5" w:rsidRPr="00CC428E">
        <w:rPr>
          <w:rFonts w:ascii="Times New Roman" w:hAnsi="Times New Roman" w:cs="Times New Roman"/>
          <w:sz w:val="24"/>
          <w:szCs w:val="24"/>
        </w:rPr>
        <w:t>prawie 393</w:t>
      </w:r>
      <w:r w:rsidRPr="00CC428E">
        <w:rPr>
          <w:rFonts w:ascii="Times New Roman" w:hAnsi="Times New Roman" w:cs="Times New Roman"/>
          <w:sz w:val="24"/>
          <w:szCs w:val="24"/>
        </w:rPr>
        <w:t xml:space="preserve"> </w:t>
      </w:r>
      <w:r w:rsidR="00CC428E">
        <w:rPr>
          <w:rFonts w:ascii="Times New Roman" w:hAnsi="Times New Roman" w:cs="Times New Roman"/>
          <w:sz w:val="24"/>
          <w:szCs w:val="24"/>
        </w:rPr>
        <w:t xml:space="preserve">tys. </w:t>
      </w:r>
      <w:r w:rsidR="00C016D5" w:rsidRPr="00CC428E">
        <w:rPr>
          <w:rFonts w:ascii="Times New Roman" w:hAnsi="Times New Roman" w:cs="Times New Roman"/>
          <w:sz w:val="24"/>
          <w:szCs w:val="24"/>
        </w:rPr>
        <w:t>zł</w:t>
      </w:r>
    </w:p>
    <w:p w:rsidR="00CC428E" w:rsidRPr="00CC428E" w:rsidRDefault="00CC428E" w:rsidP="00CC428E">
      <w:pPr>
        <w:pStyle w:val="Tekstpodstawowy"/>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Remonty obiektów oświatowych: prawie 1.135 tys. zł</w:t>
      </w:r>
    </w:p>
    <w:p w:rsidR="00C016D5" w:rsidRDefault="00AE6BCB" w:rsidP="00CC428E">
      <w:pPr>
        <w:pStyle w:val="Tekstpodstawowy"/>
        <w:numPr>
          <w:ilvl w:val="0"/>
          <w:numId w:val="1"/>
        </w:numPr>
        <w:spacing w:after="0" w:line="240" w:lineRule="auto"/>
        <w:rPr>
          <w:rFonts w:ascii="Times New Roman" w:hAnsi="Times New Roman" w:cs="Times New Roman"/>
          <w:sz w:val="24"/>
          <w:szCs w:val="24"/>
        </w:rPr>
      </w:pPr>
      <w:r w:rsidRPr="00CC428E">
        <w:rPr>
          <w:rFonts w:ascii="Times New Roman" w:hAnsi="Times New Roman" w:cs="Times New Roman"/>
          <w:sz w:val="24"/>
          <w:szCs w:val="24"/>
        </w:rPr>
        <w:t xml:space="preserve">Modernizacja </w:t>
      </w:r>
      <w:r w:rsidR="00C016D5" w:rsidRPr="00CC428E">
        <w:rPr>
          <w:rFonts w:ascii="Times New Roman" w:hAnsi="Times New Roman" w:cs="Times New Roman"/>
          <w:sz w:val="24"/>
          <w:szCs w:val="24"/>
        </w:rPr>
        <w:t>obiektów oświatowych</w:t>
      </w:r>
      <w:r w:rsidRPr="00CC428E">
        <w:rPr>
          <w:rFonts w:ascii="Times New Roman" w:hAnsi="Times New Roman" w:cs="Times New Roman"/>
          <w:sz w:val="24"/>
          <w:szCs w:val="24"/>
        </w:rPr>
        <w:t xml:space="preserve">: </w:t>
      </w:r>
    </w:p>
    <w:p w:rsidR="00C016D5" w:rsidRPr="00CC428E" w:rsidRDefault="00CC428E" w:rsidP="00CC428E">
      <w:pPr>
        <w:pStyle w:val="Tekstpodstawowy"/>
        <w:spacing w:after="0" w:line="240" w:lineRule="auto"/>
        <w:ind w:left="858"/>
        <w:rPr>
          <w:rFonts w:ascii="Times New Roman" w:hAnsi="Times New Roman" w:cs="Times New Roman"/>
          <w:sz w:val="24"/>
          <w:szCs w:val="24"/>
        </w:rPr>
      </w:pPr>
      <w:r w:rsidRPr="00CC428E">
        <w:rPr>
          <w:rFonts w:ascii="Times New Roman" w:hAnsi="Times New Roman" w:cs="Times New Roman"/>
          <w:sz w:val="24"/>
          <w:szCs w:val="24"/>
        </w:rPr>
        <w:sym w:font="Symbol" w:char="F0AE"/>
      </w:r>
      <w:r w:rsidRPr="00CC428E">
        <w:rPr>
          <w:rFonts w:ascii="Times New Roman" w:hAnsi="Times New Roman" w:cs="Times New Roman"/>
          <w:sz w:val="24"/>
          <w:szCs w:val="24"/>
        </w:rPr>
        <w:t xml:space="preserve"> </w:t>
      </w:r>
      <w:r w:rsidR="00AE6BCB" w:rsidRPr="00CC428E">
        <w:rPr>
          <w:rFonts w:ascii="Times New Roman" w:hAnsi="Times New Roman" w:cs="Times New Roman"/>
          <w:sz w:val="24"/>
          <w:szCs w:val="24"/>
        </w:rPr>
        <w:t>Szkoła Podstawowa nr 1 – modernizacja budynku i p</w:t>
      </w:r>
      <w:r w:rsidR="00C016D5" w:rsidRPr="00CC428E">
        <w:rPr>
          <w:rFonts w:ascii="Times New Roman" w:hAnsi="Times New Roman" w:cs="Times New Roman"/>
          <w:sz w:val="24"/>
          <w:szCs w:val="24"/>
        </w:rPr>
        <w:t xml:space="preserve">omieszczeń, </w:t>
      </w:r>
      <w:r>
        <w:rPr>
          <w:rFonts w:ascii="Times New Roman" w:hAnsi="Times New Roman" w:cs="Times New Roman"/>
          <w:sz w:val="24"/>
          <w:szCs w:val="24"/>
        </w:rPr>
        <w:br/>
        <w:t xml:space="preserve">     </w:t>
      </w:r>
      <w:r w:rsidR="00C016D5" w:rsidRPr="00CC428E">
        <w:rPr>
          <w:rFonts w:ascii="Times New Roman" w:hAnsi="Times New Roman" w:cs="Times New Roman"/>
          <w:sz w:val="24"/>
          <w:szCs w:val="24"/>
        </w:rPr>
        <w:t>wymiana oświetlenia,</w:t>
      </w:r>
      <w:r w:rsidR="00AE6BCB" w:rsidRPr="00CC428E">
        <w:rPr>
          <w:rFonts w:ascii="Times New Roman" w:hAnsi="Times New Roman" w:cs="Times New Roman"/>
          <w:sz w:val="24"/>
          <w:szCs w:val="24"/>
        </w:rPr>
        <w:t xml:space="preserve"> </w:t>
      </w:r>
    </w:p>
    <w:p w:rsidR="00C016D5" w:rsidRPr="00CC428E" w:rsidRDefault="00CC428E" w:rsidP="00CC428E">
      <w:pPr>
        <w:pStyle w:val="Tekstpodstawowy"/>
        <w:spacing w:after="0" w:line="240" w:lineRule="auto"/>
        <w:ind w:left="858"/>
        <w:rPr>
          <w:rFonts w:ascii="Times New Roman" w:hAnsi="Times New Roman" w:cs="Times New Roman"/>
          <w:sz w:val="24"/>
          <w:szCs w:val="24"/>
        </w:rPr>
      </w:pPr>
      <w:r w:rsidRPr="00CC428E">
        <w:rPr>
          <w:rFonts w:ascii="Times New Roman" w:hAnsi="Times New Roman" w:cs="Times New Roman"/>
          <w:sz w:val="24"/>
          <w:szCs w:val="24"/>
        </w:rPr>
        <w:sym w:font="Symbol" w:char="F0AE"/>
      </w:r>
      <w:r w:rsidRPr="00CC428E">
        <w:rPr>
          <w:rFonts w:ascii="Times New Roman" w:hAnsi="Times New Roman" w:cs="Times New Roman"/>
          <w:sz w:val="24"/>
          <w:szCs w:val="24"/>
        </w:rPr>
        <w:t xml:space="preserve"> </w:t>
      </w:r>
      <w:r w:rsidR="00AE6BCB" w:rsidRPr="00CC428E">
        <w:rPr>
          <w:rFonts w:ascii="Times New Roman" w:hAnsi="Times New Roman" w:cs="Times New Roman"/>
          <w:sz w:val="24"/>
          <w:szCs w:val="24"/>
        </w:rPr>
        <w:t>Szkoła Podstawowa nr</w:t>
      </w:r>
      <w:r w:rsidR="00C016D5" w:rsidRPr="00CC428E">
        <w:rPr>
          <w:rFonts w:ascii="Times New Roman" w:hAnsi="Times New Roman" w:cs="Times New Roman"/>
          <w:sz w:val="24"/>
          <w:szCs w:val="24"/>
        </w:rPr>
        <w:t xml:space="preserve"> 11 – termomodernizacja budynku,</w:t>
      </w:r>
    </w:p>
    <w:p w:rsidR="00AE6BCB" w:rsidRDefault="00CC428E" w:rsidP="00CC428E">
      <w:pPr>
        <w:pStyle w:val="Tekstpodstawowy"/>
        <w:spacing w:after="0" w:line="240" w:lineRule="auto"/>
        <w:ind w:left="858"/>
        <w:rPr>
          <w:rFonts w:ascii="Times New Roman" w:hAnsi="Times New Roman" w:cs="Times New Roman"/>
          <w:sz w:val="24"/>
          <w:szCs w:val="24"/>
        </w:rPr>
      </w:pPr>
      <w:r w:rsidRPr="00CC428E">
        <w:rPr>
          <w:rFonts w:ascii="Times New Roman" w:hAnsi="Times New Roman" w:cs="Times New Roman"/>
          <w:sz w:val="24"/>
          <w:szCs w:val="24"/>
        </w:rPr>
        <w:sym w:font="Symbol" w:char="F0AE"/>
      </w:r>
      <w:r w:rsidRPr="00CC428E">
        <w:rPr>
          <w:rFonts w:ascii="Times New Roman" w:hAnsi="Times New Roman" w:cs="Times New Roman"/>
          <w:sz w:val="24"/>
          <w:szCs w:val="24"/>
        </w:rPr>
        <w:t xml:space="preserve"> </w:t>
      </w:r>
      <w:r w:rsidR="00C016D5" w:rsidRPr="00CC428E">
        <w:rPr>
          <w:rFonts w:ascii="Times New Roman" w:hAnsi="Times New Roman" w:cs="Times New Roman"/>
          <w:sz w:val="24"/>
          <w:szCs w:val="24"/>
        </w:rPr>
        <w:t>Z</w:t>
      </w:r>
      <w:r w:rsidR="00AE6BCB" w:rsidRPr="00CC428E">
        <w:rPr>
          <w:rFonts w:ascii="Times New Roman" w:hAnsi="Times New Roman" w:cs="Times New Roman"/>
          <w:sz w:val="24"/>
          <w:szCs w:val="24"/>
        </w:rPr>
        <w:t xml:space="preserve">espół Szkół Przemysłu Spożywczego i VIIILO – remont i przebudowa </w:t>
      </w:r>
      <w:r>
        <w:rPr>
          <w:rFonts w:ascii="Times New Roman" w:hAnsi="Times New Roman" w:cs="Times New Roman"/>
          <w:sz w:val="24"/>
          <w:szCs w:val="24"/>
        </w:rPr>
        <w:br/>
        <w:t xml:space="preserve">      </w:t>
      </w:r>
      <w:r w:rsidR="00AE6BCB" w:rsidRPr="00CC428E">
        <w:rPr>
          <w:rFonts w:ascii="Times New Roman" w:hAnsi="Times New Roman" w:cs="Times New Roman"/>
          <w:sz w:val="24"/>
          <w:szCs w:val="24"/>
        </w:rPr>
        <w:t>ha</w:t>
      </w:r>
      <w:r w:rsidR="00C016D5" w:rsidRPr="00CC428E">
        <w:rPr>
          <w:rFonts w:ascii="Times New Roman" w:hAnsi="Times New Roman" w:cs="Times New Roman"/>
          <w:sz w:val="24"/>
          <w:szCs w:val="24"/>
        </w:rPr>
        <w:t>li sportowej.</w:t>
      </w:r>
    </w:p>
    <w:p w:rsidR="00AE6BCB" w:rsidRDefault="00AE6BCB" w:rsidP="009C7C02">
      <w:pPr>
        <w:pStyle w:val="ListParagraph"/>
        <w:spacing w:line="240" w:lineRule="auto"/>
        <w:ind w:left="357"/>
        <w:rPr>
          <w:color w:val="FF0000"/>
          <w:lang w:val="pl-PL"/>
        </w:rPr>
      </w:pPr>
    </w:p>
    <w:p w:rsidR="00AE6BCB" w:rsidRDefault="00AE6BCB" w:rsidP="009C7C02">
      <w:pPr>
        <w:pStyle w:val="Nagwek2"/>
        <w:spacing w:before="0" w:after="0" w:line="240" w:lineRule="auto"/>
        <w:rPr>
          <w:rFonts w:ascii="Times New Roman" w:hAnsi="Times New Roman" w:cs="Times New Roman"/>
          <w:color w:val="0070C0"/>
          <w:sz w:val="24"/>
          <w:lang w:val="pl-PL"/>
        </w:rPr>
      </w:pPr>
      <w:bookmarkStart w:id="87" w:name="__RefHeading__31970_2082197896"/>
      <w:bookmarkStart w:id="88" w:name="_Toc69477708"/>
      <w:bookmarkStart w:id="89" w:name="_Toc69372256"/>
      <w:bookmarkEnd w:id="87"/>
      <w:r w:rsidRPr="0085682B">
        <w:rPr>
          <w:rFonts w:ascii="Times New Roman" w:hAnsi="Times New Roman" w:cs="Times New Roman"/>
          <w:color w:val="0070C0"/>
          <w:sz w:val="24"/>
          <w:lang w:val="pl-PL"/>
        </w:rPr>
        <w:t>Realizacja projektów</w:t>
      </w:r>
      <w:bookmarkEnd w:id="88"/>
      <w:bookmarkEnd w:id="89"/>
    </w:p>
    <w:p w:rsidR="00AE6BCB" w:rsidRPr="00CC428E" w:rsidRDefault="00AE6BCB" w:rsidP="00CC428E">
      <w:pPr>
        <w:pStyle w:val="Tekstpodstawowy"/>
        <w:numPr>
          <w:ilvl w:val="0"/>
          <w:numId w:val="1"/>
        </w:numPr>
        <w:spacing w:after="0" w:line="240" w:lineRule="auto"/>
        <w:rPr>
          <w:rFonts w:ascii="Times New Roman" w:hAnsi="Times New Roman" w:cs="Times New Roman"/>
          <w:sz w:val="24"/>
          <w:szCs w:val="24"/>
        </w:rPr>
      </w:pPr>
      <w:r w:rsidRPr="00CC428E">
        <w:rPr>
          <w:rFonts w:ascii="Times New Roman" w:hAnsi="Times New Roman" w:cs="Times New Roman"/>
          <w:sz w:val="24"/>
          <w:szCs w:val="24"/>
        </w:rPr>
        <w:t xml:space="preserve">Wydatki – projekty UE: </w:t>
      </w:r>
      <w:r w:rsidR="00C016D5" w:rsidRPr="00CC428E">
        <w:rPr>
          <w:rFonts w:ascii="Times New Roman" w:hAnsi="Times New Roman" w:cs="Times New Roman"/>
          <w:sz w:val="24"/>
          <w:szCs w:val="24"/>
        </w:rPr>
        <w:t>prawie 8.143 tys.</w:t>
      </w:r>
      <w:r w:rsidR="00CC428E" w:rsidRPr="00CC428E">
        <w:rPr>
          <w:rFonts w:ascii="Times New Roman" w:hAnsi="Times New Roman" w:cs="Times New Roman"/>
          <w:sz w:val="24"/>
          <w:szCs w:val="24"/>
        </w:rPr>
        <w:t xml:space="preserve"> zł,</w:t>
      </w:r>
    </w:p>
    <w:p w:rsidR="00AE6BCB" w:rsidRPr="00CC428E" w:rsidRDefault="00AE6BCB" w:rsidP="00CC428E">
      <w:pPr>
        <w:pStyle w:val="Tekstpodstawowy"/>
        <w:numPr>
          <w:ilvl w:val="0"/>
          <w:numId w:val="1"/>
        </w:numPr>
        <w:spacing w:after="0" w:line="240" w:lineRule="auto"/>
        <w:rPr>
          <w:rFonts w:ascii="Times New Roman" w:hAnsi="Times New Roman" w:cs="Times New Roman"/>
          <w:sz w:val="24"/>
          <w:szCs w:val="24"/>
        </w:rPr>
      </w:pPr>
      <w:r w:rsidRPr="00CC428E">
        <w:rPr>
          <w:rFonts w:ascii="Times New Roman" w:hAnsi="Times New Roman" w:cs="Times New Roman"/>
          <w:sz w:val="24"/>
          <w:szCs w:val="24"/>
        </w:rPr>
        <w:t xml:space="preserve">Dochody – dotacje na projekty UE: </w:t>
      </w:r>
      <w:r w:rsidR="00C016D5" w:rsidRPr="00CC428E">
        <w:rPr>
          <w:rFonts w:ascii="Times New Roman" w:hAnsi="Times New Roman" w:cs="Times New Roman"/>
          <w:sz w:val="24"/>
          <w:szCs w:val="24"/>
        </w:rPr>
        <w:t>prawie 11.229 tys.</w:t>
      </w:r>
      <w:r w:rsidR="00CC428E">
        <w:rPr>
          <w:rFonts w:ascii="Times New Roman" w:hAnsi="Times New Roman" w:cs="Times New Roman"/>
          <w:sz w:val="24"/>
          <w:szCs w:val="24"/>
        </w:rPr>
        <w:t xml:space="preserve"> zł</w:t>
      </w:r>
    </w:p>
    <w:p w:rsidR="00AE6BCB" w:rsidRPr="00C016D5" w:rsidRDefault="00AE6BCB" w:rsidP="00C016D5">
      <w:pPr>
        <w:spacing w:line="240" w:lineRule="auto"/>
        <w:jc w:val="both"/>
        <w:rPr>
          <w:lang w:val="pl-PL"/>
        </w:rPr>
      </w:pPr>
      <w:r>
        <w:rPr>
          <w:lang w:val="pl-PL"/>
        </w:rPr>
        <w:lastRenderedPageBreak/>
        <w:t>Toruńskie szkoły i placówki w 2020</w:t>
      </w:r>
      <w:r w:rsidR="00CC428E">
        <w:rPr>
          <w:lang w:val="pl-PL"/>
        </w:rPr>
        <w:t xml:space="preserve"> </w:t>
      </w:r>
      <w:r>
        <w:rPr>
          <w:lang w:val="pl-PL"/>
        </w:rPr>
        <w:t xml:space="preserve">r. brały udział w projektach unijnych oraz w programach edukacyjnych: </w:t>
      </w:r>
      <w:r w:rsidR="00C016D5">
        <w:rPr>
          <w:lang w:val="pl-PL"/>
        </w:rPr>
        <w:t>„</w:t>
      </w:r>
      <w:r w:rsidRPr="00C016D5">
        <w:rPr>
          <w:lang w:val="pl-PL"/>
        </w:rPr>
        <w:t>Bliżej pracodawcy</w:t>
      </w:r>
      <w:r w:rsidR="00C016D5">
        <w:rPr>
          <w:lang w:val="pl-PL"/>
        </w:rPr>
        <w:t>”,</w:t>
      </w:r>
      <w:r>
        <w:rPr>
          <w:lang w:val="pl-PL"/>
        </w:rPr>
        <w:t xml:space="preserve"> </w:t>
      </w:r>
      <w:r w:rsidR="00C016D5" w:rsidRPr="00C016D5">
        <w:rPr>
          <w:lang w:val="pl-PL"/>
        </w:rPr>
        <w:t>„</w:t>
      </w:r>
      <w:r w:rsidRPr="00C016D5">
        <w:rPr>
          <w:lang w:val="pl-PL"/>
        </w:rPr>
        <w:t>Wszystkie dzieci równe są</w:t>
      </w:r>
      <w:r w:rsidR="00C016D5" w:rsidRPr="00C016D5">
        <w:rPr>
          <w:lang w:val="pl-PL"/>
        </w:rPr>
        <w:t>”, „</w:t>
      </w:r>
      <w:r w:rsidRPr="00C016D5">
        <w:rPr>
          <w:lang w:val="pl-PL"/>
        </w:rPr>
        <w:t>Nauka – to takie proste</w:t>
      </w:r>
      <w:r w:rsidR="00C016D5" w:rsidRPr="00C016D5">
        <w:rPr>
          <w:lang w:val="pl-PL"/>
        </w:rPr>
        <w:t>”, „</w:t>
      </w:r>
      <w:r w:rsidRPr="00C016D5">
        <w:rPr>
          <w:lang w:val="pl-PL"/>
        </w:rPr>
        <w:t>Wszechstronny absolwent z uprawnieniami zawodowymi</w:t>
      </w:r>
      <w:r w:rsidR="00C016D5" w:rsidRPr="00C016D5">
        <w:rPr>
          <w:lang w:val="pl-PL"/>
        </w:rPr>
        <w:t>”, „</w:t>
      </w:r>
      <w:r w:rsidRPr="00C016D5">
        <w:rPr>
          <w:lang w:val="pl-PL"/>
        </w:rPr>
        <w:t>Wszechstronny absolwent 2</w:t>
      </w:r>
      <w:r w:rsidR="00C016D5" w:rsidRPr="00C016D5">
        <w:rPr>
          <w:lang w:val="pl-PL"/>
        </w:rPr>
        <w:t>”, „</w:t>
      </w:r>
      <w:r w:rsidRPr="00C016D5">
        <w:rPr>
          <w:lang w:val="pl-PL"/>
        </w:rPr>
        <w:t>Spełnimy Twoje zawodowe marzenia</w:t>
      </w:r>
      <w:r w:rsidR="00C016D5" w:rsidRPr="00C016D5">
        <w:rPr>
          <w:lang w:val="pl-PL"/>
        </w:rPr>
        <w:t>”</w:t>
      </w:r>
      <w:r w:rsidR="00CC428E">
        <w:rPr>
          <w:lang w:val="pl-PL"/>
        </w:rPr>
        <w:t xml:space="preserve"> (dwie edycje), </w:t>
      </w:r>
      <w:r w:rsidR="00C016D5" w:rsidRPr="00C016D5">
        <w:rPr>
          <w:lang w:val="pl-PL"/>
        </w:rPr>
        <w:t>„</w:t>
      </w:r>
      <w:r w:rsidRPr="00C016D5">
        <w:rPr>
          <w:lang w:val="pl-PL"/>
        </w:rPr>
        <w:t>Twoja przyszłość w nowoczesnej szkole zawodowej</w:t>
      </w:r>
      <w:r w:rsidR="00C016D5" w:rsidRPr="00C016D5">
        <w:rPr>
          <w:lang w:val="pl-PL"/>
        </w:rPr>
        <w:t>”, „</w:t>
      </w:r>
      <w:r w:rsidRPr="00C016D5">
        <w:rPr>
          <w:lang w:val="pl-PL"/>
        </w:rPr>
        <w:t>Poszerzamy horyzonty</w:t>
      </w:r>
      <w:r w:rsidR="00C016D5" w:rsidRPr="00C016D5">
        <w:rPr>
          <w:lang w:val="pl-PL"/>
        </w:rPr>
        <w:t>”, „</w:t>
      </w:r>
      <w:r w:rsidRPr="00C016D5">
        <w:rPr>
          <w:lang w:val="pl-PL"/>
        </w:rPr>
        <w:t>Nowoczesne pracownie zawodowe kluczem innowacyjnego kształcenia w Toruniu</w:t>
      </w:r>
      <w:r w:rsidR="00C016D5" w:rsidRPr="00C016D5">
        <w:rPr>
          <w:lang w:val="pl-PL"/>
        </w:rPr>
        <w:t>”, „</w:t>
      </w:r>
      <w:r w:rsidRPr="00C016D5">
        <w:rPr>
          <w:lang w:val="pl-PL"/>
        </w:rPr>
        <w:t>Nauczanie przez działanie</w:t>
      </w:r>
      <w:r w:rsidR="00C016D5" w:rsidRPr="00C016D5">
        <w:rPr>
          <w:lang w:val="pl-PL"/>
        </w:rPr>
        <w:t>”, „</w:t>
      </w:r>
      <w:r w:rsidRPr="00C016D5">
        <w:rPr>
          <w:lang w:val="pl-PL"/>
        </w:rPr>
        <w:t xml:space="preserve">Samochodziarze </w:t>
      </w:r>
      <w:r w:rsidR="00CC428E">
        <w:rPr>
          <w:lang w:val="pl-PL"/>
        </w:rPr>
        <w:br/>
      </w:r>
      <w:r w:rsidRPr="00C016D5">
        <w:rPr>
          <w:lang w:val="pl-PL"/>
        </w:rPr>
        <w:t>na zawodowym starcie</w:t>
      </w:r>
      <w:r w:rsidR="00C016D5" w:rsidRPr="00C016D5">
        <w:rPr>
          <w:lang w:val="pl-PL"/>
        </w:rPr>
        <w:t>”,  „</w:t>
      </w:r>
      <w:r w:rsidRPr="00C016D5">
        <w:rPr>
          <w:lang w:val="pl-PL"/>
        </w:rPr>
        <w:t>Dobry zawód – dobry staż</w:t>
      </w:r>
      <w:r w:rsidR="00C016D5" w:rsidRPr="00C016D5">
        <w:rPr>
          <w:lang w:val="pl-PL"/>
        </w:rPr>
        <w:t>”</w:t>
      </w:r>
      <w:r w:rsidRPr="00C016D5">
        <w:rPr>
          <w:lang w:val="pl-PL"/>
        </w:rPr>
        <w:t xml:space="preserve"> </w:t>
      </w:r>
      <w:r w:rsidR="00C016D5" w:rsidRPr="00C016D5">
        <w:rPr>
          <w:lang w:val="pl-PL"/>
        </w:rPr>
        <w:t>, „</w:t>
      </w:r>
      <w:r w:rsidRPr="00C016D5">
        <w:rPr>
          <w:lang w:val="pl-PL"/>
        </w:rPr>
        <w:t>Lepszy start toruńskich uczniów</w:t>
      </w:r>
      <w:r w:rsidR="00C016D5" w:rsidRPr="00C016D5">
        <w:rPr>
          <w:lang w:val="pl-PL"/>
        </w:rPr>
        <w:t>”.</w:t>
      </w:r>
      <w:r w:rsidRPr="00C016D5">
        <w:rPr>
          <w:lang w:val="pl-PL"/>
        </w:rPr>
        <w:t xml:space="preserve"> </w:t>
      </w:r>
    </w:p>
    <w:p w:rsidR="00AE6BCB" w:rsidRPr="00F14555" w:rsidRDefault="009C25FB" w:rsidP="00CC428E">
      <w:pPr>
        <w:pStyle w:val="Nagwek2"/>
        <w:numPr>
          <w:ilvl w:val="0"/>
          <w:numId w:val="0"/>
        </w:numPr>
        <w:spacing w:before="0" w:after="0" w:line="240" w:lineRule="auto"/>
        <w:jc w:val="both"/>
        <w:rPr>
          <w:rFonts w:ascii="Times New Roman" w:hAnsi="Times New Roman" w:cs="Times New Roman"/>
          <w:kern w:val="1"/>
          <w:sz w:val="24"/>
          <w:szCs w:val="24"/>
          <w:lang w:val="pl-PL"/>
        </w:rPr>
      </w:pPr>
      <w:bookmarkStart w:id="90" w:name="__RefHeading__31972_2082197896"/>
      <w:bookmarkStart w:id="91" w:name="_Toc69477709"/>
      <w:bookmarkStart w:id="92" w:name="_Toc69372257"/>
      <w:bookmarkEnd w:id="90"/>
      <w:r>
        <w:rPr>
          <w:rFonts w:ascii="Times New Roman" w:hAnsi="Times New Roman" w:cs="Times New Roman"/>
          <w:color w:val="0070C0"/>
          <w:sz w:val="24"/>
          <w:lang w:val="pl-PL"/>
        </w:rPr>
        <w:br/>
      </w:r>
      <w:r w:rsidR="00AE6BCB" w:rsidRPr="00F14555">
        <w:rPr>
          <w:rFonts w:ascii="Times New Roman" w:hAnsi="Times New Roman" w:cs="Times New Roman"/>
          <w:color w:val="0070C0"/>
          <w:sz w:val="24"/>
          <w:lang w:val="pl-PL"/>
        </w:rPr>
        <w:t>Wyniki egzaminów zewnętrznych</w:t>
      </w:r>
      <w:bookmarkEnd w:id="91"/>
      <w:bookmarkEnd w:id="92"/>
    </w:p>
    <w:p w:rsidR="00AE6BCB" w:rsidRDefault="00AE6BCB" w:rsidP="009C7C02">
      <w:pPr>
        <w:spacing w:line="240" w:lineRule="auto"/>
        <w:ind w:firstLine="709"/>
        <w:jc w:val="both"/>
        <w:rPr>
          <w:b/>
          <w:lang w:val="pl-PL"/>
        </w:rPr>
      </w:pPr>
      <w:r>
        <w:rPr>
          <w:kern w:val="1"/>
          <w:lang w:val="pl-PL"/>
        </w:rPr>
        <w:t>Ze względu na zapobieganie, przeciwdziałanie i zwalczanie COVID–19 egzamin ósmoklasisty i egzamin matural</w:t>
      </w:r>
      <w:r w:rsidR="009004C5">
        <w:rPr>
          <w:kern w:val="1"/>
          <w:lang w:val="pl-PL"/>
        </w:rPr>
        <w:t>ny odbyły się w czerwcu 2020 r.,</w:t>
      </w:r>
      <w:r>
        <w:rPr>
          <w:kern w:val="1"/>
          <w:lang w:val="pl-PL"/>
        </w:rPr>
        <w:t xml:space="preserve"> a nie jak pierwotnie zakładano w kwietniu i maju 2020 r.</w:t>
      </w:r>
    </w:p>
    <w:p w:rsidR="00AE6BCB" w:rsidRDefault="00AE6BCB" w:rsidP="00912BD8">
      <w:pPr>
        <w:pStyle w:val="ListParagraph"/>
        <w:numPr>
          <w:ilvl w:val="0"/>
          <w:numId w:val="4"/>
        </w:numPr>
        <w:shd w:val="clear" w:color="auto" w:fill="FFFFFF"/>
        <w:spacing w:line="240" w:lineRule="auto"/>
        <w:ind w:left="357" w:hanging="357"/>
        <w:jc w:val="both"/>
        <w:rPr>
          <w:lang w:val="pl-PL"/>
        </w:rPr>
      </w:pPr>
      <w:r>
        <w:rPr>
          <w:b/>
          <w:lang w:val="pl-PL"/>
        </w:rPr>
        <w:t>Egzamin ósmoklasisty</w:t>
      </w:r>
      <w:r w:rsidR="00333801">
        <w:rPr>
          <w:b/>
          <w:lang w:val="pl-PL"/>
        </w:rPr>
        <w:t>:</w:t>
      </w:r>
    </w:p>
    <w:p w:rsidR="009004C5" w:rsidRDefault="00333801" w:rsidP="009004C5">
      <w:pPr>
        <w:pStyle w:val="ListParagraph"/>
        <w:numPr>
          <w:ilvl w:val="0"/>
          <w:numId w:val="83"/>
        </w:numPr>
        <w:shd w:val="clear" w:color="auto" w:fill="FFFFFF"/>
        <w:spacing w:line="240" w:lineRule="auto"/>
        <w:jc w:val="both"/>
        <w:rPr>
          <w:lang w:val="pl-PL"/>
        </w:rPr>
      </w:pPr>
      <w:r>
        <w:rPr>
          <w:lang w:val="pl-PL"/>
        </w:rPr>
        <w:t>w</w:t>
      </w:r>
      <w:r w:rsidR="00AE6BCB">
        <w:rPr>
          <w:lang w:val="pl-PL"/>
        </w:rPr>
        <w:t>yższe wyniki uczniów z Torunia od wyników uczniów z kraju i województwa kujawsko–pomorskiego z języka polskiego, matematyki i języka angielskiego (słabszy wynik z języka n</w:t>
      </w:r>
      <w:r>
        <w:rPr>
          <w:lang w:val="pl-PL"/>
        </w:rPr>
        <w:t>iemieckiego od wyniku w kraju),</w:t>
      </w:r>
    </w:p>
    <w:p w:rsidR="009004C5" w:rsidRDefault="00333801" w:rsidP="009004C5">
      <w:pPr>
        <w:pStyle w:val="ListParagraph"/>
        <w:numPr>
          <w:ilvl w:val="0"/>
          <w:numId w:val="83"/>
        </w:numPr>
        <w:shd w:val="clear" w:color="auto" w:fill="FFFFFF"/>
        <w:spacing w:line="240" w:lineRule="auto"/>
        <w:jc w:val="both"/>
        <w:rPr>
          <w:lang w:val="pl-PL"/>
        </w:rPr>
      </w:pPr>
      <w:r w:rsidRPr="009004C5">
        <w:rPr>
          <w:lang w:val="pl-PL"/>
        </w:rPr>
        <w:t>j</w:t>
      </w:r>
      <w:r w:rsidR="00AE6BCB" w:rsidRPr="009004C5">
        <w:rPr>
          <w:lang w:val="pl-PL"/>
        </w:rPr>
        <w:t>ęzyk niemiecki w Toruniu zdawało tylko 44 uczniów, zaś język angielski – 1</w:t>
      </w:r>
      <w:r w:rsidRPr="009004C5">
        <w:rPr>
          <w:lang w:val="pl-PL"/>
        </w:rPr>
        <w:t>.768,</w:t>
      </w:r>
    </w:p>
    <w:p w:rsidR="009004C5" w:rsidRDefault="00333801" w:rsidP="009004C5">
      <w:pPr>
        <w:pStyle w:val="ListParagraph"/>
        <w:numPr>
          <w:ilvl w:val="0"/>
          <w:numId w:val="83"/>
        </w:numPr>
        <w:shd w:val="clear" w:color="auto" w:fill="FFFFFF"/>
        <w:spacing w:line="240" w:lineRule="auto"/>
        <w:jc w:val="both"/>
        <w:rPr>
          <w:lang w:val="pl-PL"/>
        </w:rPr>
      </w:pPr>
      <w:r w:rsidRPr="009004C5">
        <w:rPr>
          <w:lang w:val="pl-PL"/>
        </w:rPr>
        <w:t>w</w:t>
      </w:r>
      <w:r w:rsidR="00AE6BCB" w:rsidRPr="009004C5">
        <w:rPr>
          <w:lang w:val="pl-PL"/>
        </w:rPr>
        <w:t>yższy wynik uczniów z Torunia od wyniku uczniów z miast powyżej 100 tys. mieszkańców w województwie kujawsko–pomorskim, ale słabszy od wynik</w:t>
      </w:r>
      <w:r w:rsidRPr="009004C5">
        <w:rPr>
          <w:lang w:val="pl-PL"/>
        </w:rPr>
        <w:t>u uczniów takich miast w kraju,</w:t>
      </w:r>
    </w:p>
    <w:p w:rsidR="00AE6BCB" w:rsidRPr="009004C5" w:rsidRDefault="00333801" w:rsidP="009004C5">
      <w:pPr>
        <w:pStyle w:val="ListParagraph"/>
        <w:numPr>
          <w:ilvl w:val="0"/>
          <w:numId w:val="83"/>
        </w:numPr>
        <w:shd w:val="clear" w:color="auto" w:fill="FFFFFF"/>
        <w:spacing w:line="240" w:lineRule="auto"/>
        <w:jc w:val="both"/>
        <w:rPr>
          <w:lang w:val="pl-PL"/>
        </w:rPr>
      </w:pPr>
      <w:r w:rsidRPr="009004C5">
        <w:rPr>
          <w:lang w:val="pl-PL"/>
        </w:rPr>
        <w:t>w</w:t>
      </w:r>
      <w:r w:rsidR="00AE6BCB" w:rsidRPr="009004C5">
        <w:rPr>
          <w:lang w:val="pl-PL"/>
        </w:rPr>
        <w:t>yższe wyniki z języka polskiego, matematyki, języka angielskiego i języka niemieckiego wśród uczniów z Torunia od wyników uczniów z pozostałych miast na prawach powiatu w województwie kujawsko–pomorskim.</w:t>
      </w:r>
    </w:p>
    <w:p w:rsidR="00AE6BCB" w:rsidRDefault="00AE6BCB" w:rsidP="00912BD8">
      <w:pPr>
        <w:pStyle w:val="ListParagraph"/>
        <w:numPr>
          <w:ilvl w:val="0"/>
          <w:numId w:val="4"/>
        </w:numPr>
        <w:shd w:val="clear" w:color="auto" w:fill="FFFFFF"/>
        <w:spacing w:line="240" w:lineRule="auto"/>
        <w:ind w:left="357" w:hanging="357"/>
        <w:jc w:val="both"/>
        <w:rPr>
          <w:kern w:val="1"/>
          <w:lang w:val="pl-PL"/>
        </w:rPr>
      </w:pPr>
      <w:r>
        <w:rPr>
          <w:b/>
          <w:lang w:val="pl-PL"/>
        </w:rPr>
        <w:t>Wyniki egzaminu maturalnego</w:t>
      </w:r>
      <w:r w:rsidR="00333801">
        <w:rPr>
          <w:b/>
          <w:lang w:val="pl-PL"/>
        </w:rPr>
        <w:t>:</w:t>
      </w:r>
    </w:p>
    <w:p w:rsidR="009004C5" w:rsidRPr="009004C5" w:rsidRDefault="00333801" w:rsidP="009004C5">
      <w:pPr>
        <w:numPr>
          <w:ilvl w:val="0"/>
          <w:numId w:val="84"/>
        </w:numPr>
        <w:spacing w:line="240" w:lineRule="auto"/>
        <w:jc w:val="both"/>
        <w:rPr>
          <w:lang w:val="pl-PL"/>
        </w:rPr>
      </w:pPr>
      <w:r>
        <w:rPr>
          <w:kern w:val="1"/>
          <w:lang w:val="pl-PL"/>
        </w:rPr>
        <w:t>w</w:t>
      </w:r>
      <w:r w:rsidR="00AE6BCB">
        <w:rPr>
          <w:kern w:val="1"/>
          <w:lang w:val="pl-PL"/>
        </w:rPr>
        <w:t xml:space="preserve">yższa zdawalność absolwentów w Toruniu od zdawalności absolwentów w kraju </w:t>
      </w:r>
      <w:r w:rsidR="00F14555">
        <w:rPr>
          <w:kern w:val="1"/>
          <w:lang w:val="pl-PL"/>
        </w:rPr>
        <w:br/>
      </w:r>
      <w:r w:rsidR="00AE6BCB">
        <w:rPr>
          <w:kern w:val="1"/>
          <w:lang w:val="pl-PL"/>
        </w:rPr>
        <w:t>i województwie kujawsko–pomorskim</w:t>
      </w:r>
      <w:r>
        <w:rPr>
          <w:kern w:val="1"/>
          <w:lang w:val="pl-PL"/>
        </w:rPr>
        <w:t>,</w:t>
      </w:r>
    </w:p>
    <w:p w:rsidR="009004C5" w:rsidRDefault="00AE6BCB" w:rsidP="009004C5">
      <w:pPr>
        <w:numPr>
          <w:ilvl w:val="0"/>
          <w:numId w:val="84"/>
        </w:numPr>
        <w:spacing w:line="240" w:lineRule="auto"/>
        <w:jc w:val="both"/>
        <w:rPr>
          <w:lang w:val="pl-PL"/>
        </w:rPr>
      </w:pPr>
      <w:r w:rsidRPr="009004C5">
        <w:rPr>
          <w:lang w:val="pl-PL"/>
        </w:rPr>
        <w:t>21 szkół GMT (12 LO, 1 OSM II st., 8 T), z</w:t>
      </w:r>
      <w:r w:rsidR="009004C5">
        <w:rPr>
          <w:lang w:val="pl-PL"/>
        </w:rPr>
        <w:t>dających 2122, zdawalność 81,2%,</w:t>
      </w:r>
    </w:p>
    <w:p w:rsidR="009004C5" w:rsidRDefault="00333801" w:rsidP="009004C5">
      <w:pPr>
        <w:numPr>
          <w:ilvl w:val="0"/>
          <w:numId w:val="84"/>
        </w:numPr>
        <w:spacing w:line="240" w:lineRule="auto"/>
        <w:jc w:val="both"/>
        <w:rPr>
          <w:lang w:val="pl-PL"/>
        </w:rPr>
      </w:pPr>
      <w:r w:rsidRPr="009004C5">
        <w:rPr>
          <w:lang w:val="pl-PL"/>
        </w:rPr>
        <w:t>w</w:t>
      </w:r>
      <w:r w:rsidR="00AE6BCB" w:rsidRPr="009004C5">
        <w:rPr>
          <w:lang w:val="pl-PL"/>
        </w:rPr>
        <w:t xml:space="preserve"> liceach ogólnoks</w:t>
      </w:r>
      <w:r w:rsidR="009004C5">
        <w:rPr>
          <w:lang w:val="pl-PL"/>
        </w:rPr>
        <w:t>ztałcących GMT zdawalność 84,3%,</w:t>
      </w:r>
    </w:p>
    <w:p w:rsidR="00AE6BCB" w:rsidRPr="009004C5" w:rsidRDefault="00333801" w:rsidP="009004C5">
      <w:pPr>
        <w:numPr>
          <w:ilvl w:val="0"/>
          <w:numId w:val="84"/>
        </w:numPr>
        <w:spacing w:line="240" w:lineRule="auto"/>
        <w:jc w:val="both"/>
        <w:rPr>
          <w:lang w:val="pl-PL"/>
        </w:rPr>
      </w:pPr>
      <w:r w:rsidRPr="009004C5">
        <w:rPr>
          <w:lang w:val="pl-PL"/>
        </w:rPr>
        <w:t>w</w:t>
      </w:r>
      <w:r w:rsidR="00AE6BCB" w:rsidRPr="009004C5">
        <w:rPr>
          <w:lang w:val="pl-PL"/>
        </w:rPr>
        <w:t xml:space="preserve"> technikach zdawalność 72,5%.</w:t>
      </w:r>
    </w:p>
    <w:p w:rsidR="00AE6BCB" w:rsidRDefault="00AE6BCB" w:rsidP="00912BD8">
      <w:pPr>
        <w:pStyle w:val="ListParagraph"/>
        <w:numPr>
          <w:ilvl w:val="0"/>
          <w:numId w:val="4"/>
        </w:numPr>
        <w:shd w:val="clear" w:color="auto" w:fill="FFFFFF"/>
        <w:spacing w:line="240" w:lineRule="auto"/>
        <w:ind w:left="357" w:hanging="357"/>
        <w:jc w:val="both"/>
        <w:rPr>
          <w:kern w:val="1"/>
          <w:lang w:val="pl-PL"/>
        </w:rPr>
      </w:pPr>
      <w:r>
        <w:rPr>
          <w:b/>
          <w:lang w:val="pl-PL"/>
        </w:rPr>
        <w:t>Egzamin zawodowy</w:t>
      </w:r>
    </w:p>
    <w:p w:rsidR="00AE6BCB" w:rsidRDefault="00AE6BCB" w:rsidP="00333801">
      <w:pPr>
        <w:spacing w:line="240" w:lineRule="auto"/>
        <w:jc w:val="both"/>
        <w:rPr>
          <w:color w:val="FF0000"/>
          <w:lang w:val="pl-PL"/>
        </w:rPr>
      </w:pPr>
      <w:r>
        <w:rPr>
          <w:kern w:val="1"/>
          <w:lang w:val="pl-PL"/>
        </w:rPr>
        <w:t xml:space="preserve">Egzaminy potwierdzające kwalifikacje w zawodzie odbywały się w zawodach, które nauczane są w technikach i szkołach branżowych I stopnia prowadzonych przez GMT. </w:t>
      </w:r>
      <w:r w:rsidR="00F14555">
        <w:rPr>
          <w:kern w:val="1"/>
          <w:lang w:val="pl-PL"/>
        </w:rPr>
        <w:br/>
      </w:r>
      <w:r>
        <w:rPr>
          <w:kern w:val="1"/>
          <w:lang w:val="pl-PL"/>
        </w:rPr>
        <w:t xml:space="preserve">W technikach młodzież uczy się w 29 zawodach i w szkołach branżowych I stopnia w 10 zawodach. Wyniki zdawalności egzaminów potwierdzających kwalifikacje w zawodzie są zróżnicowane w zależności od szkoły i kwalifikacji w obrębie tego samego zawodu. </w:t>
      </w:r>
    </w:p>
    <w:p w:rsidR="00AE6BCB" w:rsidRDefault="00AE6BCB" w:rsidP="009C7C02">
      <w:pPr>
        <w:spacing w:line="240" w:lineRule="auto"/>
        <w:ind w:firstLine="709"/>
        <w:jc w:val="both"/>
        <w:rPr>
          <w:color w:val="FF0000"/>
          <w:lang w:val="pl-PL"/>
        </w:rPr>
      </w:pPr>
    </w:p>
    <w:p w:rsidR="00AE6BCB" w:rsidRPr="00F14555" w:rsidRDefault="00AE6BCB" w:rsidP="009C7C02">
      <w:pPr>
        <w:pStyle w:val="Nagwek2"/>
        <w:spacing w:before="0" w:after="0" w:line="240" w:lineRule="auto"/>
        <w:rPr>
          <w:rFonts w:ascii="Times New Roman" w:hAnsi="Times New Roman" w:cs="Times New Roman"/>
          <w:sz w:val="24"/>
          <w:szCs w:val="24"/>
          <w:lang w:val="pl-PL"/>
        </w:rPr>
      </w:pPr>
      <w:bookmarkStart w:id="93" w:name="__RefHeading__31974_2082197896"/>
      <w:bookmarkStart w:id="94" w:name="_Toc69477710"/>
      <w:bookmarkStart w:id="95" w:name="_Toc69372258"/>
      <w:bookmarkEnd w:id="93"/>
      <w:r w:rsidRPr="00F14555">
        <w:rPr>
          <w:rFonts w:ascii="Times New Roman" w:hAnsi="Times New Roman" w:cs="Times New Roman"/>
          <w:color w:val="0070C0"/>
          <w:sz w:val="24"/>
          <w:lang w:val="pl-PL"/>
        </w:rPr>
        <w:t>Stypendia</w:t>
      </w:r>
      <w:bookmarkEnd w:id="94"/>
      <w:bookmarkEnd w:id="95"/>
      <w:r w:rsidRPr="00F14555">
        <w:rPr>
          <w:rFonts w:ascii="Times New Roman" w:hAnsi="Times New Roman" w:cs="Times New Roman"/>
          <w:color w:val="0070C0"/>
          <w:sz w:val="24"/>
          <w:lang w:val="pl-PL"/>
        </w:rPr>
        <w:t xml:space="preserve"> dla uczniów</w:t>
      </w:r>
    </w:p>
    <w:p w:rsidR="00333801" w:rsidRDefault="00AE6BCB" w:rsidP="009C7C02">
      <w:pPr>
        <w:spacing w:line="240" w:lineRule="auto"/>
        <w:ind w:firstLine="709"/>
        <w:jc w:val="both"/>
        <w:rPr>
          <w:lang w:val="pl-PL"/>
        </w:rPr>
      </w:pPr>
      <w:r>
        <w:rPr>
          <w:lang w:val="pl-PL"/>
        </w:rPr>
        <w:t xml:space="preserve">W 2020 r. na podstawie uchwały nr 107/19 Rady Miasta Torunia z dnia 11 kwietnia 2019 r. w sprawie szczegółowych warunków udzielania świadczeń pomocy materialnej </w:t>
      </w:r>
      <w:r w:rsidR="00F14555">
        <w:rPr>
          <w:lang w:val="pl-PL"/>
        </w:rPr>
        <w:br/>
      </w:r>
      <w:r>
        <w:rPr>
          <w:lang w:val="pl-PL"/>
        </w:rPr>
        <w:t>o charakterze motywacyjnym uczniom ucz</w:t>
      </w:r>
      <w:r w:rsidR="00333801">
        <w:rPr>
          <w:lang w:val="pl-PL"/>
        </w:rPr>
        <w:t xml:space="preserve">ęszczającym do szkół w Toruniu (…) </w:t>
      </w:r>
      <w:r>
        <w:rPr>
          <w:lang w:val="pl-PL"/>
        </w:rPr>
        <w:t xml:space="preserve">wypłacano </w:t>
      </w:r>
      <w:r w:rsidR="00333801">
        <w:rPr>
          <w:lang w:val="pl-PL"/>
        </w:rPr>
        <w:t>stypendia w 2020 r. w łącznej kwocie 500 tys. zł:</w:t>
      </w:r>
    </w:p>
    <w:p w:rsidR="002B4CB9" w:rsidRDefault="00AE6BCB" w:rsidP="00333801">
      <w:pPr>
        <w:numPr>
          <w:ilvl w:val="0"/>
          <w:numId w:val="1"/>
        </w:numPr>
        <w:spacing w:line="240" w:lineRule="auto"/>
        <w:jc w:val="both"/>
        <w:rPr>
          <w:lang w:val="pl-PL"/>
        </w:rPr>
      </w:pPr>
      <w:r>
        <w:rPr>
          <w:lang w:val="pl-PL"/>
        </w:rPr>
        <w:t>w okresie od stycznia do czerwca 2020 r. 250 osobom (Toruński Omnibus 216 uczniów, Toruński Fachowiec 21 uczniów, Toruński M</w:t>
      </w:r>
      <w:r w:rsidR="00333801">
        <w:rPr>
          <w:lang w:val="pl-PL"/>
        </w:rPr>
        <w:t>aestro 13 uczniów) w kwocie prawie 349 tys. zł,</w:t>
      </w:r>
    </w:p>
    <w:p w:rsidR="00333801" w:rsidRPr="002B4CB9" w:rsidRDefault="00AE6BCB" w:rsidP="00333801">
      <w:pPr>
        <w:numPr>
          <w:ilvl w:val="0"/>
          <w:numId w:val="1"/>
        </w:numPr>
        <w:spacing w:line="240" w:lineRule="auto"/>
        <w:jc w:val="both"/>
        <w:rPr>
          <w:lang w:val="pl-PL"/>
        </w:rPr>
      </w:pPr>
      <w:r w:rsidRPr="002B4CB9">
        <w:rPr>
          <w:lang w:val="pl-PL"/>
        </w:rPr>
        <w:t xml:space="preserve">w okresie od września do grudnia 2020 r. wypłacono stypendia 155 osobom (Toruński Omnibus 129 uczniów, Toruński Fachowiec 18 uczniów, Toruński Maestro 8 uczniów) </w:t>
      </w:r>
      <w:r w:rsidR="00F14555" w:rsidRPr="002B4CB9">
        <w:rPr>
          <w:lang w:val="pl-PL"/>
        </w:rPr>
        <w:br/>
      </w:r>
      <w:r w:rsidRPr="002B4CB9">
        <w:rPr>
          <w:lang w:val="pl-PL"/>
        </w:rPr>
        <w:t xml:space="preserve">w kwocie </w:t>
      </w:r>
      <w:r w:rsidR="00333801" w:rsidRPr="002B4CB9">
        <w:rPr>
          <w:lang w:val="pl-PL"/>
        </w:rPr>
        <w:t xml:space="preserve">prawie 151 tys. </w:t>
      </w:r>
      <w:r w:rsidRPr="002B4CB9">
        <w:rPr>
          <w:lang w:val="pl-PL"/>
        </w:rPr>
        <w:t xml:space="preserve">zł. </w:t>
      </w:r>
    </w:p>
    <w:p w:rsidR="00AE6BCB" w:rsidRDefault="00AE6BCB" w:rsidP="002B4CB9">
      <w:pPr>
        <w:spacing w:line="240" w:lineRule="auto"/>
        <w:jc w:val="both"/>
        <w:rPr>
          <w:b/>
          <w:bCs/>
          <w:color w:val="FF0000"/>
          <w:lang w:val="pl-PL"/>
        </w:rPr>
      </w:pPr>
      <w:r>
        <w:rPr>
          <w:lang w:val="pl-PL"/>
        </w:rPr>
        <w:t xml:space="preserve">Ponadto absolwentom </w:t>
      </w:r>
      <w:r w:rsidR="002B4CB9">
        <w:rPr>
          <w:lang w:val="pl-PL"/>
        </w:rPr>
        <w:t xml:space="preserve">toruńskich szkół przyznano </w:t>
      </w:r>
      <w:r>
        <w:rPr>
          <w:lang w:val="pl-PL"/>
        </w:rPr>
        <w:t>40 nagród Prezydenta Miasta Torun</w:t>
      </w:r>
      <w:r w:rsidR="00333801">
        <w:rPr>
          <w:lang w:val="pl-PL"/>
        </w:rPr>
        <w:t xml:space="preserve">ia, na które przeznaczono </w:t>
      </w:r>
      <w:r w:rsidR="002B4CB9">
        <w:rPr>
          <w:lang w:val="pl-PL"/>
        </w:rPr>
        <w:t xml:space="preserve">łącznie </w:t>
      </w:r>
      <w:r w:rsidR="00333801">
        <w:rPr>
          <w:lang w:val="pl-PL"/>
        </w:rPr>
        <w:t>80 tys.</w:t>
      </w:r>
      <w:r>
        <w:rPr>
          <w:lang w:val="pl-PL"/>
        </w:rPr>
        <w:t xml:space="preserve"> zł.</w:t>
      </w:r>
    </w:p>
    <w:p w:rsidR="00AE6BCB" w:rsidRPr="00333801" w:rsidRDefault="00F155F0" w:rsidP="009C25FB">
      <w:pPr>
        <w:pStyle w:val="Nagwek1"/>
        <w:numPr>
          <w:ilvl w:val="0"/>
          <w:numId w:val="0"/>
        </w:numPr>
        <w:spacing w:line="240" w:lineRule="auto"/>
        <w:rPr>
          <w:szCs w:val="24"/>
          <w:lang w:val="pl-PL"/>
        </w:rPr>
      </w:pPr>
      <w:bookmarkStart w:id="96" w:name="__RefHeading__31976_2082197896"/>
      <w:bookmarkStart w:id="97" w:name="_Toc69477711"/>
      <w:bookmarkStart w:id="98" w:name="_Toc69372259"/>
      <w:bookmarkEnd w:id="96"/>
      <w:r>
        <w:rPr>
          <w:color w:val="0070C0"/>
          <w:lang w:val="pl-PL"/>
        </w:rPr>
        <w:lastRenderedPageBreak/>
        <w:t>X</w:t>
      </w:r>
      <w:r w:rsidR="00F14555">
        <w:rPr>
          <w:color w:val="0070C0"/>
          <w:lang w:val="pl-PL"/>
        </w:rPr>
        <w:t>I</w:t>
      </w:r>
      <w:r>
        <w:rPr>
          <w:color w:val="0070C0"/>
          <w:lang w:val="pl-PL"/>
        </w:rPr>
        <w:t xml:space="preserve">. </w:t>
      </w:r>
      <w:r w:rsidR="00AE6BCB" w:rsidRPr="00333801">
        <w:rPr>
          <w:color w:val="0070C0"/>
          <w:lang w:val="pl-PL"/>
        </w:rPr>
        <w:t>BEZPIECZEŃSTWO I PORZĄDEK PUBLICZNY</w:t>
      </w:r>
      <w:bookmarkEnd w:id="97"/>
      <w:bookmarkEnd w:id="98"/>
    </w:p>
    <w:p w:rsidR="00AE6BCB" w:rsidRDefault="00AE6BCB" w:rsidP="009C7C02">
      <w:pPr>
        <w:pStyle w:val="NoSpacing"/>
        <w:spacing w:line="240" w:lineRule="auto"/>
        <w:jc w:val="both"/>
        <w:rPr>
          <w:rFonts w:ascii="Times New Roman" w:hAnsi="Times New Roman"/>
          <w:sz w:val="24"/>
          <w:szCs w:val="24"/>
        </w:rPr>
      </w:pPr>
    </w:p>
    <w:p w:rsidR="00333801" w:rsidRDefault="00AE6BCB" w:rsidP="009C7C02">
      <w:pPr>
        <w:spacing w:line="240" w:lineRule="auto"/>
        <w:ind w:firstLine="709"/>
        <w:jc w:val="both"/>
        <w:rPr>
          <w:lang w:val="pl-PL"/>
        </w:rPr>
      </w:pPr>
      <w:r>
        <w:rPr>
          <w:lang w:val="pl-PL"/>
        </w:rPr>
        <w:t xml:space="preserve">Ustawowe możliwości działań Gminy w zakresie bezpieczeństwa i porządku publicznego to: utrzymywanie Straży Miejskiej oraz wspieranie służb państwowych (Komendy Miejskiej Policji w Toruniu oraz Komendy Miejskiej Państwowej Straży Pożarnej w Toruniu). </w:t>
      </w:r>
    </w:p>
    <w:p w:rsidR="00284117" w:rsidRDefault="00AE6BCB" w:rsidP="009C7C02">
      <w:pPr>
        <w:spacing w:line="240" w:lineRule="auto"/>
        <w:ind w:firstLine="709"/>
        <w:jc w:val="both"/>
        <w:rPr>
          <w:lang w:val="pl-PL"/>
        </w:rPr>
      </w:pPr>
      <w:r>
        <w:rPr>
          <w:lang w:val="pl-PL"/>
        </w:rPr>
        <w:t xml:space="preserve">W 2020 r. (stan na koniec grudnia) w toruńskiej </w:t>
      </w:r>
      <w:r w:rsidRPr="00284117">
        <w:rPr>
          <w:b/>
          <w:lang w:val="pl-PL"/>
        </w:rPr>
        <w:t>Straży Miejskiej</w:t>
      </w:r>
      <w:r>
        <w:rPr>
          <w:lang w:val="pl-PL"/>
        </w:rPr>
        <w:t xml:space="preserve"> zatrudnionych było 110 strażników. Działania podejmowane przez Straż Miejską w 2020 r. wynikały z funkcji, jakie pełni wśród lokalnej społeczności oraz z realizacji misji pod nazwą „Razem </w:t>
      </w:r>
      <w:r w:rsidR="00F14555">
        <w:rPr>
          <w:lang w:val="pl-PL"/>
        </w:rPr>
        <w:br/>
      </w:r>
      <w:r>
        <w:rPr>
          <w:lang w:val="pl-PL"/>
        </w:rPr>
        <w:t xml:space="preserve">z mieszkańcami”, jednak od marca 2020 r. działania te były podporządkowane głównie realizacji poleceń wojewody kujawsko-pomorskiego w ramach akcji zwalczania skutków pandemii COVID–19. </w:t>
      </w:r>
    </w:p>
    <w:p w:rsidR="00284117" w:rsidRDefault="00284117" w:rsidP="00284117">
      <w:pPr>
        <w:spacing w:line="240" w:lineRule="auto"/>
        <w:jc w:val="both"/>
        <w:rPr>
          <w:lang w:val="pl-PL"/>
        </w:rPr>
      </w:pPr>
      <w:r>
        <w:rPr>
          <w:lang w:val="pl-PL"/>
        </w:rPr>
        <w:t xml:space="preserve">W roku sprawozdawczym </w:t>
      </w:r>
      <w:r w:rsidR="00AE6BCB">
        <w:rPr>
          <w:lang w:val="pl-PL"/>
        </w:rPr>
        <w:t>Straż Miejsk</w:t>
      </w:r>
      <w:r>
        <w:rPr>
          <w:lang w:val="pl-PL"/>
        </w:rPr>
        <w:t xml:space="preserve">a: </w:t>
      </w:r>
    </w:p>
    <w:p w:rsidR="002B4CB9" w:rsidRDefault="00284117" w:rsidP="002B4CB9">
      <w:pPr>
        <w:numPr>
          <w:ilvl w:val="0"/>
          <w:numId w:val="85"/>
        </w:numPr>
        <w:spacing w:line="240" w:lineRule="auto"/>
        <w:jc w:val="both"/>
        <w:rPr>
          <w:lang w:val="pl-PL"/>
        </w:rPr>
      </w:pPr>
      <w:r>
        <w:rPr>
          <w:lang w:val="pl-PL"/>
        </w:rPr>
        <w:t>wystawi</w:t>
      </w:r>
      <w:r w:rsidR="00AE6BCB">
        <w:rPr>
          <w:lang w:val="pl-PL"/>
        </w:rPr>
        <w:t>ła łącznie 5</w:t>
      </w:r>
      <w:r w:rsidR="00333801">
        <w:rPr>
          <w:lang w:val="pl-PL"/>
        </w:rPr>
        <w:t>.</w:t>
      </w:r>
      <w:r w:rsidR="00AE6BCB">
        <w:rPr>
          <w:lang w:val="pl-PL"/>
        </w:rPr>
        <w:t>852 samodzielnych patroli strażników miejskich oraz 1</w:t>
      </w:r>
      <w:r w:rsidR="00333801">
        <w:rPr>
          <w:lang w:val="pl-PL"/>
        </w:rPr>
        <w:t>.</w:t>
      </w:r>
      <w:r w:rsidR="00AE6BCB">
        <w:rPr>
          <w:lang w:val="pl-PL"/>
        </w:rPr>
        <w:t>774 patroli wspólnych z funkcjonariuszami Policji, Żandarmerii Wojskowej i Woj</w:t>
      </w:r>
      <w:r w:rsidR="002B4CB9">
        <w:rPr>
          <w:lang w:val="pl-PL"/>
        </w:rPr>
        <w:t>sk Obrony Terytorialnej,</w:t>
      </w:r>
    </w:p>
    <w:p w:rsidR="002B4CB9" w:rsidRDefault="00284117" w:rsidP="00284117">
      <w:pPr>
        <w:numPr>
          <w:ilvl w:val="0"/>
          <w:numId w:val="85"/>
        </w:numPr>
        <w:spacing w:line="240" w:lineRule="auto"/>
        <w:jc w:val="both"/>
        <w:rPr>
          <w:lang w:val="pl-PL"/>
        </w:rPr>
      </w:pPr>
      <w:r>
        <w:rPr>
          <w:lang w:val="pl-PL"/>
        </w:rPr>
        <w:t>przeprowadzała systematyczne kontrole</w:t>
      </w:r>
      <w:r w:rsidR="00AE6BCB">
        <w:rPr>
          <w:lang w:val="pl-PL"/>
        </w:rPr>
        <w:t xml:space="preserve"> miejsc zagrożonych i </w:t>
      </w:r>
      <w:r>
        <w:rPr>
          <w:lang w:val="pl-PL"/>
        </w:rPr>
        <w:t xml:space="preserve">w ramach </w:t>
      </w:r>
      <w:r w:rsidR="00AE6BCB">
        <w:rPr>
          <w:lang w:val="pl-PL"/>
        </w:rPr>
        <w:t>realizacji powierzonych zadań strażnicy mi</w:t>
      </w:r>
      <w:r w:rsidR="00333801">
        <w:rPr>
          <w:lang w:val="pl-PL"/>
        </w:rPr>
        <w:t>ejscy dokonali legitymowania 19.362 osób oraz przeprowadzili 18.</w:t>
      </w:r>
      <w:r w:rsidR="00AE6BCB">
        <w:rPr>
          <w:lang w:val="pl-PL"/>
        </w:rPr>
        <w:t>015 inte</w:t>
      </w:r>
      <w:r>
        <w:rPr>
          <w:lang w:val="pl-PL"/>
        </w:rPr>
        <w:t>rwencji,</w:t>
      </w:r>
    </w:p>
    <w:p w:rsidR="002B4CB9" w:rsidRDefault="002B4CB9" w:rsidP="00284117">
      <w:pPr>
        <w:numPr>
          <w:ilvl w:val="0"/>
          <w:numId w:val="85"/>
        </w:numPr>
        <w:spacing w:line="240" w:lineRule="auto"/>
        <w:jc w:val="both"/>
        <w:rPr>
          <w:lang w:val="pl-PL"/>
        </w:rPr>
      </w:pPr>
      <w:r>
        <w:rPr>
          <w:lang w:val="pl-PL"/>
        </w:rPr>
        <w:t>wystawiła</w:t>
      </w:r>
      <w:r w:rsidR="00AE6BCB" w:rsidRPr="002B4CB9">
        <w:rPr>
          <w:lang w:val="pl-PL"/>
        </w:rPr>
        <w:t xml:space="preserve"> 1</w:t>
      </w:r>
      <w:r w:rsidR="00333801" w:rsidRPr="002B4CB9">
        <w:rPr>
          <w:lang w:val="pl-PL"/>
        </w:rPr>
        <w:t>.</w:t>
      </w:r>
      <w:r w:rsidR="00AE6BCB" w:rsidRPr="002B4CB9">
        <w:rPr>
          <w:lang w:val="pl-PL"/>
        </w:rPr>
        <w:t xml:space="preserve">621 służb w patrolach wspólnych z Policją, </w:t>
      </w:r>
    </w:p>
    <w:p w:rsidR="002B4CB9" w:rsidRDefault="00AE6BCB" w:rsidP="00284117">
      <w:pPr>
        <w:numPr>
          <w:ilvl w:val="0"/>
          <w:numId w:val="85"/>
        </w:numPr>
        <w:spacing w:line="240" w:lineRule="auto"/>
        <w:jc w:val="both"/>
        <w:rPr>
          <w:lang w:val="pl-PL"/>
        </w:rPr>
      </w:pPr>
      <w:r w:rsidRPr="002B4CB9">
        <w:rPr>
          <w:lang w:val="pl-PL"/>
        </w:rPr>
        <w:t>w ramach służb samodzielnych strażnicy odbyli: 512 służb, podczas których zabezpieczali punkt sanitarny przy Wojewódzkim Szpitalu Zakaźnym, 26 razy asystowali przy dostawie tlenu do tego szpitala, 70 służb przy punkcie poboru próbek do testów na obecność koronawirusa oraz 43 konwoje posiłków dla personelu obsługującego ten punkt. Funkcjonariusze przeprowadzili ponadto 8</w:t>
      </w:r>
      <w:r w:rsidR="00284117" w:rsidRPr="002B4CB9">
        <w:rPr>
          <w:lang w:val="pl-PL"/>
        </w:rPr>
        <w:t>.</w:t>
      </w:r>
      <w:r w:rsidRPr="002B4CB9">
        <w:rPr>
          <w:lang w:val="pl-PL"/>
        </w:rPr>
        <w:t>673 kontrole przestrzegania przepisów sanitarnych w zakresie obowiązku noszenia maseczek w miejscach publicznych, środkach komunikacji miejskiej oraz autobusach PKS, w ich wyniku pouczono 164 osób oraz ukarano 8 osób</w:t>
      </w:r>
      <w:r w:rsidR="00284117" w:rsidRPr="002B4CB9">
        <w:rPr>
          <w:lang w:val="pl-PL"/>
        </w:rPr>
        <w:t>,</w:t>
      </w:r>
    </w:p>
    <w:p w:rsidR="002B4CB9" w:rsidRDefault="00AE6BCB" w:rsidP="00284117">
      <w:pPr>
        <w:numPr>
          <w:ilvl w:val="0"/>
          <w:numId w:val="85"/>
        </w:numPr>
        <w:spacing w:line="240" w:lineRule="auto"/>
        <w:jc w:val="both"/>
        <w:rPr>
          <w:lang w:val="pl-PL"/>
        </w:rPr>
      </w:pPr>
      <w:r w:rsidRPr="002B4CB9">
        <w:rPr>
          <w:lang w:val="pl-PL"/>
        </w:rPr>
        <w:t>Ekopatrol</w:t>
      </w:r>
      <w:r w:rsidR="00284117" w:rsidRPr="002B4CB9">
        <w:rPr>
          <w:lang w:val="pl-PL"/>
        </w:rPr>
        <w:t xml:space="preserve">, oprócz działań ustawowych, </w:t>
      </w:r>
      <w:r w:rsidRPr="002B4CB9">
        <w:rPr>
          <w:lang w:val="pl-PL"/>
        </w:rPr>
        <w:t>1</w:t>
      </w:r>
      <w:r w:rsidR="00284117" w:rsidRPr="002B4CB9">
        <w:rPr>
          <w:lang w:val="pl-PL"/>
        </w:rPr>
        <w:t>.</w:t>
      </w:r>
      <w:r w:rsidRPr="002B4CB9">
        <w:rPr>
          <w:lang w:val="pl-PL"/>
        </w:rPr>
        <w:t>068 razy udz</w:t>
      </w:r>
      <w:r w:rsidR="00284117" w:rsidRPr="002B4CB9">
        <w:rPr>
          <w:lang w:val="pl-PL"/>
        </w:rPr>
        <w:t xml:space="preserve">ielał pomocy dzikim zwierzętom </w:t>
      </w:r>
      <w:r w:rsidR="00F14555" w:rsidRPr="002B4CB9">
        <w:rPr>
          <w:lang w:val="pl-PL"/>
        </w:rPr>
        <w:br/>
      </w:r>
      <w:r w:rsidR="00284117" w:rsidRPr="002B4CB9">
        <w:rPr>
          <w:lang w:val="pl-PL"/>
        </w:rPr>
        <w:t>(w</w:t>
      </w:r>
      <w:r w:rsidRPr="002B4CB9">
        <w:rPr>
          <w:lang w:val="pl-PL"/>
        </w:rPr>
        <w:t xml:space="preserve"> porównaniu do ubiegłego roku nastąpił wzrost podejmowanych interwencji w</w:t>
      </w:r>
      <w:r w:rsidR="00284117" w:rsidRPr="002B4CB9">
        <w:rPr>
          <w:lang w:val="pl-PL"/>
        </w:rPr>
        <w:t>zględem dzikiej zwierzyny o 40%),</w:t>
      </w:r>
    </w:p>
    <w:p w:rsidR="002B4CB9" w:rsidRDefault="002B4CB9" w:rsidP="00284117">
      <w:pPr>
        <w:numPr>
          <w:ilvl w:val="0"/>
          <w:numId w:val="85"/>
        </w:numPr>
        <w:spacing w:line="240" w:lineRule="auto"/>
        <w:jc w:val="both"/>
        <w:rPr>
          <w:lang w:val="pl-PL"/>
        </w:rPr>
      </w:pPr>
      <w:r>
        <w:rPr>
          <w:lang w:val="pl-PL"/>
        </w:rPr>
        <w:t>realizowała</w:t>
      </w:r>
      <w:r w:rsidR="00284117" w:rsidRPr="002B4CB9">
        <w:rPr>
          <w:lang w:val="pl-PL"/>
        </w:rPr>
        <w:t xml:space="preserve"> </w:t>
      </w:r>
      <w:r>
        <w:rPr>
          <w:lang w:val="pl-PL"/>
        </w:rPr>
        <w:t>działania prewencyjne</w:t>
      </w:r>
      <w:r w:rsidR="00AE6BCB" w:rsidRPr="002B4CB9">
        <w:rPr>
          <w:lang w:val="pl-PL"/>
        </w:rPr>
        <w:t xml:space="preserve">, których celem było zapobieganie zdarzeniom </w:t>
      </w:r>
      <w:r w:rsidR="00F14555" w:rsidRPr="002B4CB9">
        <w:rPr>
          <w:lang w:val="pl-PL"/>
        </w:rPr>
        <w:br/>
      </w:r>
      <w:r w:rsidR="00AE6BCB" w:rsidRPr="002B4CB9">
        <w:rPr>
          <w:lang w:val="pl-PL"/>
        </w:rPr>
        <w:t>o</w:t>
      </w:r>
      <w:r w:rsidR="00F14555" w:rsidRPr="002B4CB9">
        <w:rPr>
          <w:lang w:val="pl-PL"/>
        </w:rPr>
        <w:t xml:space="preserve"> </w:t>
      </w:r>
      <w:r w:rsidR="00AE6BCB" w:rsidRPr="002B4CB9">
        <w:rPr>
          <w:lang w:val="pl-PL"/>
        </w:rPr>
        <w:t>charakterze</w:t>
      </w:r>
      <w:r w:rsidR="00284117" w:rsidRPr="002B4CB9">
        <w:rPr>
          <w:lang w:val="pl-PL"/>
        </w:rPr>
        <w:t xml:space="preserve"> patologicznym lub kryminalnym,</w:t>
      </w:r>
    </w:p>
    <w:p w:rsidR="00AE6BCB" w:rsidRPr="002B4CB9" w:rsidRDefault="00AE6BCB" w:rsidP="00284117">
      <w:pPr>
        <w:numPr>
          <w:ilvl w:val="0"/>
          <w:numId w:val="85"/>
        </w:numPr>
        <w:spacing w:line="240" w:lineRule="auto"/>
        <w:jc w:val="both"/>
        <w:rPr>
          <w:lang w:val="pl-PL"/>
        </w:rPr>
      </w:pPr>
      <w:r w:rsidRPr="002B4CB9">
        <w:rPr>
          <w:lang w:val="pl-PL"/>
        </w:rPr>
        <w:t xml:space="preserve">Zespół ds. Profilaktyki i Komunikacji Społecznej współpracował z blisko 60 toruńskimi placówkami oświatowymi. W </w:t>
      </w:r>
      <w:r w:rsidR="002B4CB9">
        <w:rPr>
          <w:lang w:val="pl-PL"/>
        </w:rPr>
        <w:t>programach</w:t>
      </w:r>
      <w:r w:rsidRPr="002B4CB9">
        <w:rPr>
          <w:lang w:val="pl-PL"/>
        </w:rPr>
        <w:t xml:space="preserve"> profilaktyczno-edukacyjnych wzięło udział ponad 12 tysięcy osób, z czego: zajęcia stacjonarne 92 placówki (na zasadzie powtarzalności) 6</w:t>
      </w:r>
      <w:r w:rsidR="000A2868">
        <w:rPr>
          <w:lang w:val="pl-PL"/>
        </w:rPr>
        <w:t>.</w:t>
      </w:r>
      <w:r w:rsidRPr="002B4CB9">
        <w:rPr>
          <w:lang w:val="pl-PL"/>
        </w:rPr>
        <w:t>751 uczniów, zajęcia online 69 placówek (na zasadzie powtarzalności) 4</w:t>
      </w:r>
      <w:r w:rsidR="00284117" w:rsidRPr="002B4CB9">
        <w:rPr>
          <w:lang w:val="pl-PL"/>
        </w:rPr>
        <w:t xml:space="preserve">.787 uczniów. </w:t>
      </w:r>
      <w:r w:rsidRPr="002B4CB9">
        <w:rPr>
          <w:lang w:val="pl-PL"/>
        </w:rPr>
        <w:t>Przeprowadzane by</w:t>
      </w:r>
      <w:r w:rsidR="00284117" w:rsidRPr="002B4CB9">
        <w:rPr>
          <w:lang w:val="pl-PL"/>
        </w:rPr>
        <w:t xml:space="preserve">ły także spotkania z seniorami (kursy samoobrony </w:t>
      </w:r>
      <w:r w:rsidR="000A2868">
        <w:rPr>
          <w:lang w:val="pl-PL"/>
        </w:rPr>
        <w:br/>
      </w:r>
      <w:r w:rsidR="00284117" w:rsidRPr="002B4CB9">
        <w:rPr>
          <w:lang w:val="pl-PL"/>
        </w:rPr>
        <w:t xml:space="preserve">i pierwszej pomocy przedmedycznej). </w:t>
      </w:r>
      <w:r w:rsidRPr="002B4CB9">
        <w:rPr>
          <w:lang w:val="pl-PL"/>
        </w:rPr>
        <w:t xml:space="preserve"> </w:t>
      </w:r>
    </w:p>
    <w:p w:rsidR="00284117" w:rsidRPr="003A3ACC" w:rsidRDefault="00AE6BCB" w:rsidP="009C7C02">
      <w:pPr>
        <w:spacing w:line="240" w:lineRule="auto"/>
        <w:jc w:val="both"/>
        <w:rPr>
          <w:i/>
          <w:lang w:val="pl-PL"/>
        </w:rPr>
      </w:pPr>
      <w:r>
        <w:rPr>
          <w:i/>
          <w:lang w:val="pl-PL"/>
        </w:rPr>
        <w:t>Szczegółowa informacja sprawozdawcza została przedstawiona przez Komendanta Straży Miejskiej w Toruniu w ramach sprawozdania z działalności za 2020 r.</w:t>
      </w:r>
    </w:p>
    <w:p w:rsidR="00284117" w:rsidRDefault="00AE6BCB" w:rsidP="003A3ACC">
      <w:pPr>
        <w:pStyle w:val="NoSpacing"/>
        <w:spacing w:line="240" w:lineRule="auto"/>
        <w:ind w:firstLine="709"/>
        <w:jc w:val="both"/>
        <w:rPr>
          <w:rFonts w:ascii="Times New Roman" w:hAnsi="Times New Roman"/>
          <w:sz w:val="24"/>
          <w:szCs w:val="24"/>
        </w:rPr>
      </w:pPr>
      <w:r>
        <w:rPr>
          <w:rFonts w:ascii="Times New Roman" w:hAnsi="Times New Roman"/>
          <w:sz w:val="24"/>
          <w:szCs w:val="24"/>
        </w:rPr>
        <w:t xml:space="preserve">W roku sprawozdawczym, podobnie jak w latach ubiegłych, </w:t>
      </w:r>
      <w:r w:rsidRPr="003A3ACC">
        <w:rPr>
          <w:rFonts w:ascii="Times New Roman" w:hAnsi="Times New Roman"/>
          <w:b/>
          <w:sz w:val="24"/>
          <w:szCs w:val="24"/>
        </w:rPr>
        <w:t>Gmina wspierała funkcjonowanie służb państwowych</w:t>
      </w:r>
      <w:r>
        <w:rPr>
          <w:rFonts w:ascii="Times New Roman" w:hAnsi="Times New Roman"/>
          <w:sz w:val="24"/>
          <w:szCs w:val="24"/>
        </w:rPr>
        <w:t>, w tym: sfinansowała 3</w:t>
      </w:r>
      <w:r w:rsidR="00284117">
        <w:rPr>
          <w:rFonts w:ascii="Times New Roman" w:hAnsi="Times New Roman"/>
          <w:sz w:val="24"/>
          <w:szCs w:val="24"/>
        </w:rPr>
        <w:t>.</w:t>
      </w:r>
      <w:r>
        <w:rPr>
          <w:rFonts w:ascii="Times New Roman" w:hAnsi="Times New Roman"/>
          <w:sz w:val="24"/>
          <w:szCs w:val="24"/>
        </w:rPr>
        <w:t>375 dodatkowych służb patrolowych, pełnionych na terenie Torunia przez funkcjonariuszy Policji, dofinansowała zakup pięciu samochodów służbowych dla Komendy Miejskiej Policji w Toruniu, dofinansowała zakup dwóch samochodów terenowych, sprzętu ochrony układu oddechowego oraz specjalistycznego sprzętu treningowego dla Komendy Miejskiej Państwowej Straży Pożarnej w Toruniu.</w:t>
      </w:r>
    </w:p>
    <w:p w:rsidR="00AE6BCB" w:rsidRDefault="00AE6BCB" w:rsidP="009C7C02">
      <w:pPr>
        <w:pStyle w:val="NoSpacing"/>
        <w:spacing w:line="240" w:lineRule="auto"/>
        <w:ind w:firstLine="709"/>
        <w:jc w:val="both"/>
        <w:rPr>
          <w:sz w:val="24"/>
          <w:szCs w:val="24"/>
        </w:rPr>
      </w:pPr>
      <w:r>
        <w:rPr>
          <w:rFonts w:ascii="Times New Roman" w:hAnsi="Times New Roman"/>
          <w:sz w:val="24"/>
          <w:szCs w:val="24"/>
        </w:rPr>
        <w:lastRenderedPageBreak/>
        <w:t xml:space="preserve"> Gmina utrzymywała, modernizowała i rozwijała w 2020 r. </w:t>
      </w:r>
      <w:r w:rsidRPr="003A3ACC">
        <w:rPr>
          <w:rFonts w:ascii="Times New Roman" w:hAnsi="Times New Roman"/>
          <w:b/>
          <w:sz w:val="24"/>
          <w:szCs w:val="24"/>
        </w:rPr>
        <w:t>system monitoringu wizyjnego</w:t>
      </w:r>
      <w:r>
        <w:rPr>
          <w:rFonts w:ascii="Times New Roman" w:hAnsi="Times New Roman"/>
          <w:sz w:val="24"/>
          <w:szCs w:val="24"/>
        </w:rPr>
        <w:t xml:space="preserve"> na terenie miasta (389 kamer i 8 radiowych stacji bazowych) oraz współfinansowała funkcjonowanie zintegrowanego stanowiska służb ratowniczych </w:t>
      </w:r>
      <w:r w:rsidR="00F14555">
        <w:rPr>
          <w:rFonts w:ascii="Times New Roman" w:hAnsi="Times New Roman"/>
          <w:sz w:val="24"/>
          <w:szCs w:val="24"/>
        </w:rPr>
        <w:br/>
      </w:r>
      <w:r>
        <w:rPr>
          <w:rFonts w:ascii="Times New Roman" w:hAnsi="Times New Roman"/>
          <w:sz w:val="24"/>
          <w:szCs w:val="24"/>
        </w:rPr>
        <w:t xml:space="preserve">w Toruńskim Centrum Zarządzania Kryzysowego. W zakresie monitoringu wizyjnego Gmina kontynuowała także współpracę z toruńskimi spółdzielniami mieszkaniowymi, dofinansowując zakup kolejnych 24 kamer osiedlowych. </w:t>
      </w:r>
    </w:p>
    <w:p w:rsidR="00AE6BCB" w:rsidRDefault="00AE6BCB" w:rsidP="009C7C02">
      <w:pPr>
        <w:spacing w:line="240" w:lineRule="auto"/>
        <w:ind w:firstLine="709"/>
        <w:jc w:val="both"/>
        <w:rPr>
          <w:lang w:val="pl-PL"/>
        </w:rPr>
      </w:pPr>
      <w:r>
        <w:rPr>
          <w:lang w:val="pl-PL"/>
        </w:rPr>
        <w:t>Kontynuowano realizację, rozpoczętego w 2016 r., „</w:t>
      </w:r>
      <w:r>
        <w:rPr>
          <w:b/>
          <w:lang w:val="pl-PL"/>
        </w:rPr>
        <w:t xml:space="preserve">Programu poprawy bezpieczeństwa na przejściach dla pieszych i przejazdach dla rowerzystów”, </w:t>
      </w:r>
      <w:r>
        <w:rPr>
          <w:lang w:val="pl-PL"/>
        </w:rPr>
        <w:t xml:space="preserve">w ramach którego sukcesywnie na przejściach dla pieszych i przejazdach dla rowerzystów instalowane są elementy poprawiające bezpieczeństwo: aktywne przejścia, malowanie przejść </w:t>
      </w:r>
      <w:r w:rsidR="00F14555">
        <w:rPr>
          <w:lang w:val="pl-PL"/>
        </w:rPr>
        <w:br/>
      </w:r>
      <w:r>
        <w:rPr>
          <w:lang w:val="pl-PL"/>
        </w:rPr>
        <w:t>i przejazdów, montaż wysp azylu, progów zwalniających, lamp doświetlających LED, aktywnych znaków pionowych, sygnalizacji świetlnej.</w:t>
      </w:r>
    </w:p>
    <w:p w:rsidR="003A3ACC" w:rsidRPr="001E0AF9" w:rsidRDefault="003A3ACC" w:rsidP="001E0AF9">
      <w:pPr>
        <w:spacing w:line="240" w:lineRule="auto"/>
        <w:jc w:val="both"/>
        <w:rPr>
          <w:i/>
          <w:color w:val="000000"/>
          <w:lang w:val="pl-PL"/>
        </w:rPr>
      </w:pPr>
      <w:r w:rsidRPr="001E0AF9">
        <w:rPr>
          <w:i/>
          <w:color w:val="000000"/>
          <w:lang w:val="pl-PL"/>
        </w:rPr>
        <w:t xml:space="preserve">Szczegółowe informacje w rozdziale </w:t>
      </w:r>
      <w:r w:rsidR="001E0AF9" w:rsidRPr="001E0AF9">
        <w:rPr>
          <w:i/>
          <w:color w:val="000000"/>
          <w:lang w:val="pl-PL"/>
        </w:rPr>
        <w:t xml:space="preserve">XVII </w:t>
      </w:r>
      <w:r w:rsidRPr="001E0AF9">
        <w:rPr>
          <w:i/>
          <w:color w:val="000000"/>
          <w:lang w:val="pl-PL"/>
        </w:rPr>
        <w:t>„Inf</w:t>
      </w:r>
      <w:r w:rsidR="00F14555" w:rsidRPr="001E0AF9">
        <w:rPr>
          <w:i/>
          <w:color w:val="000000"/>
          <w:lang w:val="pl-PL"/>
        </w:rPr>
        <w:t>r</w:t>
      </w:r>
      <w:r w:rsidRPr="001E0AF9">
        <w:rPr>
          <w:i/>
          <w:color w:val="000000"/>
          <w:lang w:val="pl-PL"/>
        </w:rPr>
        <w:t>astruktura techniczna”</w:t>
      </w:r>
    </w:p>
    <w:p w:rsidR="00AE6BCB" w:rsidRDefault="00AE6BCB" w:rsidP="009C7C02">
      <w:pPr>
        <w:pStyle w:val="NoSpacing"/>
        <w:spacing w:line="240" w:lineRule="auto"/>
        <w:jc w:val="both"/>
        <w:rPr>
          <w:rFonts w:ascii="Times New Roman" w:hAnsi="Times New Roman"/>
          <w:sz w:val="24"/>
          <w:szCs w:val="24"/>
        </w:rPr>
      </w:pPr>
    </w:p>
    <w:p w:rsidR="00AE6BCB" w:rsidRDefault="00F155F0" w:rsidP="00F155F0">
      <w:pPr>
        <w:pStyle w:val="Nagwek1"/>
        <w:numPr>
          <w:ilvl w:val="0"/>
          <w:numId w:val="0"/>
        </w:numPr>
        <w:spacing w:line="240" w:lineRule="auto"/>
        <w:ind w:left="432" w:hanging="432"/>
        <w:rPr>
          <w:lang w:val="pl-PL"/>
        </w:rPr>
      </w:pPr>
      <w:bookmarkStart w:id="99" w:name="__RefHeading__31978_2082197896"/>
      <w:bookmarkStart w:id="100" w:name="_Toc69477712"/>
      <w:bookmarkStart w:id="101" w:name="_Toc69372260"/>
      <w:bookmarkEnd w:id="99"/>
      <w:r>
        <w:rPr>
          <w:color w:val="0070C0"/>
          <w:lang w:val="pl-PL"/>
        </w:rPr>
        <w:t>XI</w:t>
      </w:r>
      <w:r w:rsidR="00F14555">
        <w:rPr>
          <w:color w:val="0070C0"/>
          <w:lang w:val="pl-PL"/>
        </w:rPr>
        <w:t>I</w:t>
      </w:r>
      <w:r>
        <w:rPr>
          <w:color w:val="0070C0"/>
          <w:lang w:val="pl-PL"/>
        </w:rPr>
        <w:t xml:space="preserve">. </w:t>
      </w:r>
      <w:r w:rsidR="00AE6BCB">
        <w:rPr>
          <w:color w:val="0070C0"/>
          <w:lang w:val="pl-PL"/>
        </w:rPr>
        <w:t>MIESZKALNICTWO</w:t>
      </w:r>
      <w:bookmarkEnd w:id="100"/>
      <w:bookmarkEnd w:id="101"/>
    </w:p>
    <w:p w:rsidR="00AE6BCB" w:rsidRDefault="00AE6BCB" w:rsidP="009C7C02">
      <w:pPr>
        <w:pStyle w:val="NormalWeb"/>
        <w:spacing w:before="0" w:after="0" w:line="240" w:lineRule="auto"/>
        <w:jc w:val="both"/>
        <w:rPr>
          <w:lang w:val="pl-PL"/>
        </w:rPr>
      </w:pPr>
    </w:p>
    <w:p w:rsidR="00AE6BCB" w:rsidRDefault="00AE6BCB" w:rsidP="009C7C02">
      <w:pPr>
        <w:pStyle w:val="NormalWeb"/>
        <w:spacing w:before="0" w:after="0" w:line="240" w:lineRule="auto"/>
        <w:ind w:firstLine="709"/>
        <w:jc w:val="both"/>
        <w:rPr>
          <w:lang w:val="pl-PL"/>
        </w:rPr>
      </w:pPr>
      <w:r>
        <w:rPr>
          <w:lang w:val="pl-PL"/>
        </w:rPr>
        <w:t>Na koniec 2020 r. liczba lokali mieszkalnych w zasobie Gminy (administrowanych przez Zakład Gospodarki Mieszkaniowej) wyniosła 5</w:t>
      </w:r>
      <w:r w:rsidR="003A3ACC">
        <w:rPr>
          <w:lang w:val="pl-PL"/>
        </w:rPr>
        <w:t>.</w:t>
      </w:r>
      <w:r>
        <w:rPr>
          <w:lang w:val="pl-PL"/>
        </w:rPr>
        <w:t>269, w tym 925 lokali na najem socjalny. Ponadto gminny zasób uzupełniało 1</w:t>
      </w:r>
      <w:r w:rsidR="003A3ACC">
        <w:rPr>
          <w:lang w:val="pl-PL"/>
        </w:rPr>
        <w:t>.</w:t>
      </w:r>
      <w:r>
        <w:rPr>
          <w:lang w:val="pl-PL"/>
        </w:rPr>
        <w:t>974 lokali administrowanych przez gminną spółkę Toruńskie Towarzystwo Budownictwa Społecznego</w:t>
      </w:r>
      <w:r w:rsidR="003A3ACC">
        <w:rPr>
          <w:lang w:val="pl-PL"/>
        </w:rPr>
        <w:t xml:space="preserve"> sp. z o.o</w:t>
      </w:r>
      <w:r>
        <w:rPr>
          <w:lang w:val="pl-PL"/>
        </w:rPr>
        <w:t>. W 2020 r. Zakład Gospodarki Mieszkaniowej zawarł 127 nowych umów najmu l</w:t>
      </w:r>
      <w:r w:rsidR="00AA744F">
        <w:rPr>
          <w:lang w:val="pl-PL"/>
        </w:rPr>
        <w:t>okali komunalnych (96 mieszkalnych</w:t>
      </w:r>
      <w:r>
        <w:rPr>
          <w:lang w:val="pl-PL"/>
        </w:rPr>
        <w:t>, 31 socjalny</w:t>
      </w:r>
      <w:r w:rsidR="00AA744F">
        <w:rPr>
          <w:lang w:val="pl-PL"/>
        </w:rPr>
        <w:t>ch</w:t>
      </w:r>
      <w:r>
        <w:rPr>
          <w:lang w:val="pl-PL"/>
        </w:rPr>
        <w:t>) oraz 5 umów na tymczasowe pomieszczenia.</w:t>
      </w:r>
    </w:p>
    <w:p w:rsidR="003A3ACC" w:rsidRDefault="00AE6BCB" w:rsidP="003A3ACC">
      <w:pPr>
        <w:pStyle w:val="NormalWeb"/>
        <w:spacing w:before="0" w:after="0" w:line="240" w:lineRule="auto"/>
        <w:ind w:firstLine="709"/>
        <w:jc w:val="both"/>
        <w:rPr>
          <w:lang w:val="pl-PL"/>
        </w:rPr>
      </w:pPr>
      <w:r>
        <w:rPr>
          <w:lang w:val="pl-PL"/>
        </w:rPr>
        <w:t>Zgodnie z przyjętym przez Radę Miasta Torunia „</w:t>
      </w:r>
      <w:r>
        <w:rPr>
          <w:b/>
          <w:lang w:val="pl-PL"/>
        </w:rPr>
        <w:t>Wieloletnim programem gospodarowania mieszkaniowym zasobem Gminy Miasta Toruń na lata 2020–2024</w:t>
      </w:r>
      <w:r>
        <w:rPr>
          <w:lang w:val="pl-PL"/>
        </w:rPr>
        <w:t xml:space="preserve">” (uchwała nr 390/20 z dnia 14 maja 2020 r.). Gmina w 2020 r. oddała do użytkowania </w:t>
      </w:r>
      <w:r w:rsidR="00AA744F">
        <w:rPr>
          <w:lang w:val="pl-PL"/>
        </w:rPr>
        <w:br/>
      </w:r>
      <w:r>
        <w:rPr>
          <w:lang w:val="pl-PL"/>
        </w:rPr>
        <w:t xml:space="preserve">15 mieszkań przy ul. Rolniczej 9A. Ponadto w 2020 r. oddano do użytkowania 48 mieszkań dla seniora przy ul. Watzenrodego 15 i 15A oraz 72 lokale mieszkalne przy ul. Poznańskiej 294C. Rozpoczął się również II etap budowy przez TTBS mieszkań dla seniora przy </w:t>
      </w:r>
      <w:r w:rsidR="00AA744F">
        <w:rPr>
          <w:lang w:val="pl-PL"/>
        </w:rPr>
        <w:br/>
      </w:r>
      <w:r>
        <w:rPr>
          <w:lang w:val="pl-PL"/>
        </w:rPr>
        <w:t xml:space="preserve">ul. Hubego 19 i 19A – 48 mieszkań z partycypacją najemców. Przygotowywany jest remont </w:t>
      </w:r>
      <w:r w:rsidR="00AA744F">
        <w:rPr>
          <w:lang w:val="pl-PL"/>
        </w:rPr>
        <w:br/>
      </w:r>
      <w:r>
        <w:rPr>
          <w:lang w:val="pl-PL"/>
        </w:rPr>
        <w:t xml:space="preserve">6 budynków przy ul. Rolniczej. </w:t>
      </w:r>
      <w:r w:rsidR="003A3ACC">
        <w:rPr>
          <w:lang w:val="pl-PL"/>
        </w:rPr>
        <w:t xml:space="preserve">W ramach łagodzenia negatywnych skutków ekonomicznych wywołanych </w:t>
      </w:r>
      <w:r w:rsidR="00AA744F">
        <w:rPr>
          <w:lang w:val="pl-PL"/>
        </w:rPr>
        <w:t>pandemią koronawirusa</w:t>
      </w:r>
      <w:r w:rsidR="003A3ACC">
        <w:rPr>
          <w:lang w:val="pl-PL"/>
        </w:rPr>
        <w:t xml:space="preserve">, Gmina zdecydowała o niepodnoszeniu </w:t>
      </w:r>
      <w:r>
        <w:rPr>
          <w:lang w:val="pl-PL"/>
        </w:rPr>
        <w:t>stawek czynszu za lokale mieszkalne</w:t>
      </w:r>
      <w:bookmarkStart w:id="102" w:name="__RefHeading__31980_2082197896"/>
      <w:bookmarkStart w:id="103" w:name="_Toc69477713"/>
      <w:bookmarkStart w:id="104" w:name="_Toc69372261"/>
      <w:bookmarkEnd w:id="102"/>
      <w:r w:rsidR="003A3ACC">
        <w:rPr>
          <w:lang w:val="pl-PL"/>
        </w:rPr>
        <w:t>.</w:t>
      </w:r>
    </w:p>
    <w:p w:rsidR="003A3ACC" w:rsidRDefault="003A3ACC" w:rsidP="003A3ACC">
      <w:pPr>
        <w:pStyle w:val="NormalWeb"/>
        <w:spacing w:before="0" w:after="0" w:line="240" w:lineRule="auto"/>
        <w:jc w:val="both"/>
        <w:rPr>
          <w:lang w:val="pl-PL"/>
        </w:rPr>
      </w:pPr>
    </w:p>
    <w:p w:rsidR="00AE6BCB" w:rsidRPr="00F14555" w:rsidRDefault="00AE6BCB" w:rsidP="003A3ACC">
      <w:pPr>
        <w:pStyle w:val="NormalWeb"/>
        <w:spacing w:before="0" w:after="0" w:line="240" w:lineRule="auto"/>
        <w:jc w:val="both"/>
        <w:rPr>
          <w:b/>
          <w:i/>
          <w:lang w:val="pl-PL"/>
        </w:rPr>
      </w:pPr>
      <w:r w:rsidRPr="00F14555">
        <w:rPr>
          <w:b/>
          <w:i/>
          <w:color w:val="0070C0"/>
          <w:lang w:val="pl-PL"/>
        </w:rPr>
        <w:t>Program „Mieszkanie plus”</w:t>
      </w:r>
      <w:bookmarkEnd w:id="103"/>
      <w:bookmarkEnd w:id="104"/>
      <w:r w:rsidRPr="00F14555">
        <w:rPr>
          <w:b/>
          <w:i/>
          <w:color w:val="0070C0"/>
          <w:lang w:val="pl-PL"/>
        </w:rPr>
        <w:t xml:space="preserve"> </w:t>
      </w:r>
    </w:p>
    <w:p w:rsidR="00AE6BCB" w:rsidRDefault="00AE6BCB" w:rsidP="009C7C02">
      <w:pPr>
        <w:pStyle w:val="NormalWeb"/>
        <w:spacing w:before="0" w:after="0" w:line="240" w:lineRule="auto"/>
        <w:ind w:firstLine="709"/>
        <w:jc w:val="both"/>
        <w:rPr>
          <w:color w:val="FF0000"/>
          <w:lang w:val="pl-PL"/>
        </w:rPr>
      </w:pPr>
      <w:r>
        <w:rPr>
          <w:lang w:val="pl-PL"/>
        </w:rPr>
        <w:t>Gmina od 2019 r. realizuje</w:t>
      </w:r>
      <w:r w:rsidR="00AA744F">
        <w:rPr>
          <w:lang w:val="pl-PL"/>
        </w:rPr>
        <w:t>,</w:t>
      </w:r>
      <w:r>
        <w:rPr>
          <w:lang w:val="pl-PL"/>
        </w:rPr>
        <w:t xml:space="preserve"> wraz z</w:t>
      </w:r>
      <w:r w:rsidR="003A3ACC">
        <w:rPr>
          <w:lang w:val="pl-PL"/>
        </w:rPr>
        <w:t>e</w:t>
      </w:r>
      <w:r>
        <w:rPr>
          <w:lang w:val="pl-PL"/>
        </w:rPr>
        <w:t xml:space="preserve"> spółką celową MDR Toruń</w:t>
      </w:r>
      <w:r w:rsidR="00AA744F">
        <w:rPr>
          <w:lang w:val="pl-PL"/>
        </w:rPr>
        <w:t>,</w:t>
      </w:r>
      <w:r>
        <w:rPr>
          <w:lang w:val="pl-PL"/>
        </w:rPr>
        <w:t xml:space="preserve"> budowę 320 lokali mieszkalnych przy ul. Okólnej 12. Odbiór i zasiedlenie mieszkań </w:t>
      </w:r>
      <w:r w:rsidR="00AA744F">
        <w:rPr>
          <w:lang w:val="pl-PL"/>
        </w:rPr>
        <w:t>planowane</w:t>
      </w:r>
      <w:r w:rsidR="003A3ACC">
        <w:rPr>
          <w:lang w:val="pl-PL"/>
        </w:rPr>
        <w:t xml:space="preserve"> jest </w:t>
      </w:r>
      <w:r>
        <w:rPr>
          <w:lang w:val="pl-PL"/>
        </w:rPr>
        <w:t xml:space="preserve"> na luty 2022 r. Nabór wniosków na najem lokalu mieszkalnego odbędzie się na 6 miesięcy przed zakończeniem budowy.</w:t>
      </w:r>
    </w:p>
    <w:p w:rsidR="00AE6BCB" w:rsidRDefault="00AE6BCB" w:rsidP="009C7C02">
      <w:pPr>
        <w:pStyle w:val="NormalWeb"/>
        <w:spacing w:before="0" w:after="0" w:line="240" w:lineRule="auto"/>
        <w:ind w:firstLine="709"/>
        <w:jc w:val="both"/>
        <w:rPr>
          <w:color w:val="FF0000"/>
          <w:lang w:val="pl-PL"/>
        </w:rPr>
      </w:pPr>
    </w:p>
    <w:p w:rsidR="00AE6BCB" w:rsidRPr="003A3ACC" w:rsidRDefault="00AE6BCB" w:rsidP="009C7C02">
      <w:pPr>
        <w:pStyle w:val="Nagwek2"/>
        <w:spacing w:before="0" w:after="0" w:line="240" w:lineRule="auto"/>
        <w:rPr>
          <w:rFonts w:ascii="Times New Roman" w:hAnsi="Times New Roman" w:cs="Times New Roman"/>
          <w:lang w:val="pl-PL"/>
        </w:rPr>
      </w:pPr>
      <w:bookmarkStart w:id="105" w:name="__RefHeading__31982_2082197896"/>
      <w:bookmarkStart w:id="106" w:name="_Toc69477714"/>
      <w:bookmarkStart w:id="107" w:name="_Toc69372262"/>
      <w:bookmarkEnd w:id="105"/>
      <w:r w:rsidRPr="003A3ACC">
        <w:rPr>
          <w:rFonts w:ascii="Times New Roman" w:hAnsi="Times New Roman" w:cs="Times New Roman"/>
          <w:color w:val="0070C0"/>
          <w:sz w:val="24"/>
          <w:lang w:val="pl-PL"/>
        </w:rPr>
        <w:t>Osiedle „Glinki”</w:t>
      </w:r>
      <w:bookmarkEnd w:id="106"/>
      <w:bookmarkEnd w:id="107"/>
    </w:p>
    <w:p w:rsidR="00AE6BCB" w:rsidRDefault="003A3ACC" w:rsidP="009C7C02">
      <w:pPr>
        <w:pStyle w:val="NormalWeb"/>
        <w:spacing w:before="0" w:after="0" w:line="240" w:lineRule="auto"/>
        <w:ind w:firstLine="709"/>
        <w:jc w:val="both"/>
        <w:rPr>
          <w:color w:val="FF0000"/>
          <w:lang w:val="pl-PL"/>
        </w:rPr>
      </w:pPr>
      <w:r>
        <w:rPr>
          <w:lang w:val="pl-PL"/>
        </w:rPr>
        <w:t>I</w:t>
      </w:r>
      <w:r w:rsidR="00AE6BCB">
        <w:rPr>
          <w:lang w:val="pl-PL"/>
        </w:rPr>
        <w:t>nwestycje mieszkaniowe są realizowane także w rejonie ul. Poznański</w:t>
      </w:r>
      <w:r w:rsidR="00AA744F">
        <w:rPr>
          <w:lang w:val="pl-PL"/>
        </w:rPr>
        <w:t xml:space="preserve">ej 294–296, na tzw. „Glinkach”, gdzie zaplanowano budowę </w:t>
      </w:r>
      <w:r w:rsidR="00AE6BCB">
        <w:rPr>
          <w:lang w:val="pl-PL"/>
        </w:rPr>
        <w:t xml:space="preserve"> kilkunastu budynków wielorodzinnych, w tym kolejnych budynków komunalnych wybudowanych wspólnie z TTBS. Dotychczas na tym terenie wybudowano 249 lokali komunalnych. W kwietniu 2020 r. oddany został do użytku budynek z 72 lokalami komunalnymi, a na 2021 r. zaplanowano oddanie kolejnego, szóstego budynku komunalnego. Przygotowany został projekt budowlany na realizację następnego etapu zabudowy osiedla, w którym powstanie łączenie ponad 500 mieszkań.</w:t>
      </w:r>
    </w:p>
    <w:p w:rsidR="00AE6BCB" w:rsidRDefault="00AE6BCB" w:rsidP="009C7C02">
      <w:pPr>
        <w:pStyle w:val="NormalWeb"/>
        <w:spacing w:before="0" w:after="0" w:line="240" w:lineRule="auto"/>
        <w:jc w:val="both"/>
        <w:rPr>
          <w:color w:val="FF0000"/>
          <w:lang w:val="pl-PL"/>
        </w:rPr>
      </w:pPr>
    </w:p>
    <w:p w:rsidR="00AE6BCB" w:rsidRPr="003A3ACC" w:rsidRDefault="00AE6BCB" w:rsidP="009C7C02">
      <w:pPr>
        <w:pStyle w:val="Nagwek2"/>
        <w:spacing w:before="0" w:after="0" w:line="240" w:lineRule="auto"/>
        <w:rPr>
          <w:rFonts w:ascii="Times New Roman" w:hAnsi="Times New Roman" w:cs="Times New Roman"/>
          <w:lang w:val="pl-PL"/>
        </w:rPr>
      </w:pPr>
      <w:bookmarkStart w:id="108" w:name="__RefHeading__31984_2082197896"/>
      <w:bookmarkStart w:id="109" w:name="_Toc69477715"/>
      <w:bookmarkStart w:id="110" w:name="_Toc69372263"/>
      <w:bookmarkEnd w:id="108"/>
      <w:r w:rsidRPr="003A3ACC">
        <w:rPr>
          <w:rFonts w:ascii="Times New Roman" w:hAnsi="Times New Roman" w:cs="Times New Roman"/>
          <w:color w:val="0070C0"/>
          <w:sz w:val="24"/>
          <w:lang w:val="pl-PL"/>
        </w:rPr>
        <w:t>Program „Mieszkanie na start”</w:t>
      </w:r>
      <w:bookmarkEnd w:id="109"/>
      <w:bookmarkEnd w:id="110"/>
    </w:p>
    <w:p w:rsidR="00AE6BCB" w:rsidRDefault="00AE6BCB" w:rsidP="009C7C02">
      <w:pPr>
        <w:pStyle w:val="NormalWeb"/>
        <w:spacing w:before="0" w:after="0" w:line="240" w:lineRule="auto"/>
        <w:ind w:firstLine="709"/>
        <w:jc w:val="both"/>
        <w:rPr>
          <w:b/>
          <w:color w:val="0070C0"/>
          <w:sz w:val="28"/>
          <w:szCs w:val="28"/>
          <w:lang w:val="pl-PL"/>
        </w:rPr>
      </w:pPr>
      <w:r>
        <w:rPr>
          <w:lang w:val="pl-PL"/>
        </w:rPr>
        <w:t>Gmina w 2019 r. przystąpiła do programu „</w:t>
      </w:r>
      <w:r>
        <w:rPr>
          <w:b/>
          <w:lang w:val="pl-PL"/>
        </w:rPr>
        <w:t>Mieszkanie na start</w:t>
      </w:r>
      <w:r>
        <w:rPr>
          <w:lang w:val="pl-PL"/>
        </w:rPr>
        <w:t xml:space="preserve">”, który reguluje </w:t>
      </w:r>
      <w:r>
        <w:rPr>
          <w:lang w:val="pl-PL"/>
        </w:rPr>
        <w:lastRenderedPageBreak/>
        <w:t xml:space="preserve">ustawa z dnia 20 lipca 2018 r. o pomocy państwa w ponoszeniu wydatków mieszkaniowych w pierwszych latach najmu mieszkania. W ramach programu najemcy określeni w ww. ustawie mogą otrzymać dopłaty do czynszów. Łącznie Gmina podpisała z BGK sześć umów w sprawie stosowania dopłat do czynszów, dotyczących budynków stanowiących własność TTBS. W 2020 r. miesięczna wysokość dopłaty za 1 m kw. powierzchni normatywnej wynosiła 7,21 zł. Dopłatami do czynszu objęto ponad 60 najemców. </w:t>
      </w:r>
    </w:p>
    <w:p w:rsidR="00AE6BCB" w:rsidRDefault="00AE6BCB" w:rsidP="009C7C02">
      <w:pPr>
        <w:pStyle w:val="NoSpacing"/>
        <w:spacing w:line="240" w:lineRule="auto"/>
        <w:jc w:val="both"/>
        <w:rPr>
          <w:rFonts w:ascii="Times New Roman" w:hAnsi="Times New Roman"/>
          <w:b/>
          <w:color w:val="0070C0"/>
          <w:sz w:val="28"/>
          <w:szCs w:val="28"/>
        </w:rPr>
      </w:pPr>
    </w:p>
    <w:p w:rsidR="00AE6BCB" w:rsidRDefault="00F155F0" w:rsidP="00F155F0">
      <w:pPr>
        <w:pStyle w:val="Nagwek1"/>
        <w:numPr>
          <w:ilvl w:val="0"/>
          <w:numId w:val="0"/>
        </w:numPr>
        <w:spacing w:line="240" w:lineRule="auto"/>
        <w:ind w:left="432" w:hanging="432"/>
        <w:rPr>
          <w:color w:val="0070C0"/>
          <w:sz w:val="28"/>
          <w:szCs w:val="28"/>
          <w:lang w:val="pl-PL"/>
        </w:rPr>
      </w:pPr>
      <w:bookmarkStart w:id="111" w:name="__RefHeading__31986_2082197896"/>
      <w:bookmarkStart w:id="112" w:name="_Toc69477716"/>
      <w:bookmarkStart w:id="113" w:name="_Toc69372264"/>
      <w:bookmarkEnd w:id="111"/>
      <w:r>
        <w:rPr>
          <w:color w:val="0070C0"/>
          <w:lang w:val="pl-PL"/>
        </w:rPr>
        <w:t>XII</w:t>
      </w:r>
      <w:r w:rsidR="00F14555">
        <w:rPr>
          <w:color w:val="0070C0"/>
          <w:lang w:val="pl-PL"/>
        </w:rPr>
        <w:t>I</w:t>
      </w:r>
      <w:r>
        <w:rPr>
          <w:color w:val="0070C0"/>
          <w:lang w:val="pl-PL"/>
        </w:rPr>
        <w:t xml:space="preserve">. </w:t>
      </w:r>
      <w:r w:rsidR="00AE6BCB">
        <w:rPr>
          <w:color w:val="0070C0"/>
          <w:lang w:val="pl-PL"/>
        </w:rPr>
        <w:t>OCHRONA ŚRODOWISKA NATURALNEGO</w:t>
      </w:r>
      <w:bookmarkEnd w:id="112"/>
      <w:bookmarkEnd w:id="113"/>
    </w:p>
    <w:p w:rsidR="00AE6BCB" w:rsidRDefault="00AE6BCB" w:rsidP="009C7C02">
      <w:pPr>
        <w:pStyle w:val="NoSpacing"/>
        <w:spacing w:line="240" w:lineRule="auto"/>
        <w:jc w:val="both"/>
        <w:rPr>
          <w:rFonts w:ascii="Times New Roman" w:hAnsi="Times New Roman"/>
          <w:b/>
          <w:color w:val="0070C0"/>
          <w:sz w:val="28"/>
          <w:szCs w:val="28"/>
        </w:rPr>
      </w:pPr>
    </w:p>
    <w:p w:rsidR="00AE6BCB" w:rsidRDefault="00AE6BCB" w:rsidP="009C7C02">
      <w:pPr>
        <w:spacing w:line="240" w:lineRule="auto"/>
        <w:ind w:firstLine="709"/>
        <w:jc w:val="both"/>
        <w:rPr>
          <w:lang w:val="pl-PL"/>
        </w:rPr>
      </w:pPr>
      <w:r>
        <w:rPr>
          <w:lang w:val="pl-PL"/>
        </w:rPr>
        <w:t xml:space="preserve">W 2020 r. w ramach </w:t>
      </w:r>
      <w:r>
        <w:rPr>
          <w:b/>
          <w:lang w:val="pl-PL"/>
        </w:rPr>
        <w:t>„Programu ochrony środowiska dla miasta Torunia do roku 2020 z uwzględnieniem perspektywy do roku 2024”</w:t>
      </w:r>
      <w:r>
        <w:rPr>
          <w:lang w:val="pl-PL"/>
        </w:rPr>
        <w:t xml:space="preserve"> zmniejszono niską emisję pochodzącą z indywidualnych źródeł ciepła udzielając dofinansowania na likwidację pieców i palenisk domowych opalanych węglem i koksem. W 2020 r. wydatkowano na ten cel kwotę prawie </w:t>
      </w:r>
      <w:r w:rsidR="009461CD">
        <w:rPr>
          <w:lang w:val="pl-PL"/>
        </w:rPr>
        <w:br/>
      </w:r>
      <w:r>
        <w:rPr>
          <w:lang w:val="pl-PL"/>
        </w:rPr>
        <w:t xml:space="preserve">2,2 mln zł, w efekcie zlikwidowano 429 węglowych punktów ogrzewania emitujących szkodliwe substancje do środowiska. Stan jakości powietrza jest </w:t>
      </w:r>
      <w:r w:rsidR="009461CD">
        <w:rPr>
          <w:lang w:val="pl-PL"/>
        </w:rPr>
        <w:t>monitorowany</w:t>
      </w:r>
      <w:r>
        <w:rPr>
          <w:lang w:val="pl-PL"/>
        </w:rPr>
        <w:t xml:space="preserve"> w ramach „Miejskiego systemu monitoringu jakości powietrza dla miasta Torunia” przez 10 stacji pomiarowych. Wyniki bieżących obserwacji są w sposób ciągły udostępnione na miejskiej stronie internetowej pod adresem </w:t>
      </w:r>
      <w:hyperlink r:id="rId17" w:history="1">
        <w:r>
          <w:rPr>
            <w:rStyle w:val="Hipercze"/>
            <w:color w:val="00000A"/>
          </w:rPr>
          <w:t>http://mapaakustyczna.um.torun.pl/Portal/AirPortal</w:t>
        </w:r>
      </w:hyperlink>
      <w:r>
        <w:rPr>
          <w:lang w:val="pl-PL"/>
        </w:rPr>
        <w:t>. Są one również dostępne na urządzeniach mobilnych w a</w:t>
      </w:r>
      <w:r w:rsidR="003A3ACC">
        <w:rPr>
          <w:lang w:val="pl-PL"/>
        </w:rPr>
        <w:t>plikacji EKOToruń. M</w:t>
      </w:r>
      <w:r>
        <w:rPr>
          <w:lang w:val="pl-PL"/>
        </w:rPr>
        <w:t xml:space="preserve">ieszkańcy Torunia mają możliwość śledzenia zmian jakości powietrza w swojej okolicy, a przy włączonej </w:t>
      </w:r>
      <w:r w:rsidR="00F14555">
        <w:rPr>
          <w:lang w:val="pl-PL"/>
        </w:rPr>
        <w:br/>
      </w:r>
      <w:r>
        <w:rPr>
          <w:lang w:val="pl-PL"/>
        </w:rPr>
        <w:t>w telefonie funkcji lokalizacji, aplikacja na smartfonie umożliwia dokładne wskazania wielkości stężeń zanieczyszczeń w powietrzu.</w:t>
      </w:r>
    </w:p>
    <w:p w:rsidR="00AE6BCB" w:rsidRDefault="00AE6BCB" w:rsidP="009C7C02">
      <w:pPr>
        <w:spacing w:line="240" w:lineRule="auto"/>
        <w:ind w:firstLine="709"/>
        <w:jc w:val="both"/>
        <w:rPr>
          <w:lang w:val="pl-PL"/>
        </w:rPr>
      </w:pPr>
      <w:r>
        <w:rPr>
          <w:lang w:val="pl-PL"/>
        </w:rPr>
        <w:t>W ramach „</w:t>
      </w:r>
      <w:r>
        <w:rPr>
          <w:b/>
          <w:lang w:val="pl-PL"/>
        </w:rPr>
        <w:t>Programu ochrony środowiska przed hałasem dla miasta Torunia na lata 2018–2022</w:t>
      </w:r>
      <w:r>
        <w:rPr>
          <w:lang w:val="pl-PL"/>
        </w:rPr>
        <w:t xml:space="preserve">”, określającego działania mające na celu zapewnienie odpowiedniego standardu akustycznego, w 2020 r. kontynuowano zadania inwestycyjne i bieżące polegające na zastosowaniu tzw. elementów spowalniających ruch drogowy, wprowadzaniu zmian </w:t>
      </w:r>
      <w:r w:rsidR="00F14555">
        <w:rPr>
          <w:lang w:val="pl-PL"/>
        </w:rPr>
        <w:br/>
      </w:r>
      <w:r>
        <w:rPr>
          <w:lang w:val="pl-PL"/>
        </w:rPr>
        <w:t xml:space="preserve">w organizacji ruchu poprzez montaż sygnalizacji świetlnej i wprowadzenie dodatkowych ograniczeń prędkości ruchu pojazdów, a także budowę kolejnych odcinków pieszo–rowerowych i dróg rowerowych. Dodatkowo, w pasach drogowych wprowadzano zieleń izolacyjną. </w:t>
      </w:r>
    </w:p>
    <w:p w:rsidR="00AE6BCB" w:rsidRDefault="00AE6BCB" w:rsidP="009C7C02">
      <w:pPr>
        <w:spacing w:line="240" w:lineRule="auto"/>
        <w:ind w:firstLine="709"/>
        <w:jc w:val="both"/>
        <w:rPr>
          <w:lang w:val="pl-PL"/>
        </w:rPr>
      </w:pPr>
      <w:r>
        <w:rPr>
          <w:lang w:val="pl-PL"/>
        </w:rPr>
        <w:t>W 2020 r. realizowano 30 działań mających na celu przystosowanie miasta do zmiany klimatu w ramach „</w:t>
      </w:r>
      <w:r>
        <w:rPr>
          <w:b/>
          <w:lang w:val="pl-PL"/>
        </w:rPr>
        <w:t>Planu adaptacji miasta Torunia do zmian klimatu do roku 2030</w:t>
      </w:r>
      <w:r>
        <w:rPr>
          <w:lang w:val="pl-PL"/>
        </w:rPr>
        <w:t xml:space="preserve">”. </w:t>
      </w:r>
      <w:r w:rsidR="00F14555">
        <w:rPr>
          <w:lang w:val="pl-PL"/>
        </w:rPr>
        <w:br/>
      </w:r>
      <w:r>
        <w:rPr>
          <w:lang w:val="pl-PL"/>
        </w:rPr>
        <w:t>W celu skoordynowania prac nad tymi działaniami, w lipcu 2020 r. Prezydent Miasta Torunia zarządzeniem nr 137 powołał z</w:t>
      </w:r>
      <w:r>
        <w:rPr>
          <w:bCs/>
          <w:lang w:val="pl-PL"/>
        </w:rPr>
        <w:t>espół ds. monitoringu, ewaluacji i aktualizacji „Planu adaptacji miasta Torunia do zmian klimatu do roku 2030”.</w:t>
      </w:r>
      <w:r>
        <w:rPr>
          <w:lang w:val="pl-PL"/>
        </w:rPr>
        <w:t xml:space="preserve"> W skład zespołu weszło 21 osób (m.in. Radni Miasta Torunia, przedstawiciele organizacji pozarządowych, mieszkańcy Torunia oraz urzędnicy). </w:t>
      </w:r>
    </w:p>
    <w:p w:rsidR="00AE6BCB" w:rsidRDefault="00AE6BCB" w:rsidP="009C7C02">
      <w:pPr>
        <w:spacing w:line="240" w:lineRule="auto"/>
        <w:jc w:val="both"/>
        <w:rPr>
          <w:lang w:val="pl-PL"/>
        </w:rPr>
      </w:pPr>
      <w:r>
        <w:rPr>
          <w:lang w:val="pl-PL"/>
        </w:rPr>
        <w:t xml:space="preserve">           Na podstawie opracowania pn. „</w:t>
      </w:r>
      <w:r w:rsidR="003A3ACC">
        <w:rPr>
          <w:b/>
          <w:lang w:val="pl-PL"/>
        </w:rPr>
        <w:t>Program</w:t>
      </w:r>
      <w:r>
        <w:rPr>
          <w:b/>
          <w:lang w:val="pl-PL"/>
        </w:rPr>
        <w:t xml:space="preserve"> Gospodarowania Wodami Opadowymi dla miasta Torunia”</w:t>
      </w:r>
      <w:r>
        <w:rPr>
          <w:lang w:val="pl-PL"/>
        </w:rPr>
        <w:t xml:space="preserve"> (zleconego przez spółkę Toruńskie Wodociągi sp. z o.o.),   podejmowane i planowane są działania, w tym inwestycyjne, w celu wdrożenia racjonalnej gospodarki wodno</w:t>
      </w:r>
      <w:r w:rsidR="00F14555">
        <w:rPr>
          <w:lang w:val="pl-PL"/>
        </w:rPr>
        <w:t xml:space="preserve"> </w:t>
      </w:r>
      <w:r>
        <w:rPr>
          <w:lang w:val="pl-PL"/>
        </w:rPr>
        <w:t>–</w:t>
      </w:r>
      <w:r w:rsidR="00F14555">
        <w:rPr>
          <w:lang w:val="pl-PL"/>
        </w:rPr>
        <w:t xml:space="preserve"> </w:t>
      </w:r>
      <w:r>
        <w:rPr>
          <w:lang w:val="pl-PL"/>
        </w:rPr>
        <w:t xml:space="preserve">ściekowej w Torunia na kolejne lata.  </w:t>
      </w:r>
    </w:p>
    <w:p w:rsidR="00AE6BCB" w:rsidRDefault="00AE6BCB" w:rsidP="009C7C02">
      <w:pPr>
        <w:spacing w:line="240" w:lineRule="auto"/>
        <w:jc w:val="both"/>
        <w:rPr>
          <w:lang w:val="pl-PL"/>
        </w:rPr>
      </w:pPr>
      <w:r>
        <w:rPr>
          <w:lang w:val="pl-PL"/>
        </w:rPr>
        <w:t>W ramach realizacji katalogu działań retencyjnych, będącego częścią ww. programu, w celu ochr</w:t>
      </w:r>
      <w:r w:rsidR="00381490">
        <w:rPr>
          <w:lang w:val="pl-PL"/>
        </w:rPr>
        <w:t>ony zasobów wodnych w czerwcu 2020 r. przyjęto uchwałę</w:t>
      </w:r>
      <w:r>
        <w:rPr>
          <w:lang w:val="pl-PL"/>
        </w:rPr>
        <w:t xml:space="preserve"> nr 401/20 Rady Miasta Torunia </w:t>
      </w:r>
      <w:r w:rsidRPr="00B96B25">
        <w:rPr>
          <w:bCs/>
          <w:lang w:val="pl-PL"/>
        </w:rPr>
        <w:t xml:space="preserve">w sprawie zasad udzielania dotacji celowej na zadania służące ochronie zasobów wodnych, polegające na gromadzeniu i wykorzystaniu wód opadowych i roztopowych </w:t>
      </w:r>
      <w:r w:rsidR="00F14555" w:rsidRPr="00B96B25">
        <w:rPr>
          <w:bCs/>
          <w:lang w:val="pl-PL"/>
        </w:rPr>
        <w:br/>
      </w:r>
      <w:r w:rsidRPr="00B96B25">
        <w:rPr>
          <w:bCs/>
          <w:lang w:val="pl-PL"/>
        </w:rPr>
        <w:t xml:space="preserve">w miejscu ich powstania, realizowane na terenie Gminy Miasta Toruń – program pilotażowy na rok 2020. </w:t>
      </w:r>
      <w:r>
        <w:rPr>
          <w:bCs/>
          <w:lang w:val="pl-PL"/>
        </w:rPr>
        <w:t xml:space="preserve">Na zakup i instalację naziemnych i podziemnych zbiorników </w:t>
      </w:r>
      <w:r>
        <w:rPr>
          <w:lang w:val="pl-PL"/>
        </w:rPr>
        <w:t xml:space="preserve">na wody opadowe oraz wykonanie systemu nawadniania terenów zieleni można było uzyskać </w:t>
      </w:r>
      <w:r>
        <w:rPr>
          <w:bCs/>
          <w:lang w:val="pl-PL"/>
        </w:rPr>
        <w:t xml:space="preserve">80% dofinansowanie. O dotację </w:t>
      </w:r>
      <w:r>
        <w:rPr>
          <w:lang w:val="pl-PL"/>
        </w:rPr>
        <w:t xml:space="preserve">mogły ubiegać się osoby fizyczne, osoby prawne, wspólnoty </w:t>
      </w:r>
      <w:r>
        <w:rPr>
          <w:lang w:val="pl-PL"/>
        </w:rPr>
        <w:lastRenderedPageBreak/>
        <w:t xml:space="preserve">mieszkaniowe, przedsiębiorcy podsiadający tytuł prawny do nieruchomości. Z dotacji skorzystało 44 beneficjentów na łączną kwotę </w:t>
      </w:r>
      <w:r w:rsidR="005F2688">
        <w:rPr>
          <w:lang w:val="pl-PL"/>
        </w:rPr>
        <w:t>ponad 315 tys.</w:t>
      </w:r>
      <w:r>
        <w:rPr>
          <w:lang w:val="pl-PL"/>
        </w:rPr>
        <w:t xml:space="preserve"> zł. Wykonano 35 zbiorników podziemnych o pojemności jednostkowej od 1 m³ do 12 m³ oraz 41 zbiorników naziemnych </w:t>
      </w:r>
      <w:r w:rsidR="00F14555">
        <w:rPr>
          <w:lang w:val="pl-PL"/>
        </w:rPr>
        <w:br/>
      </w:r>
      <w:r>
        <w:rPr>
          <w:lang w:val="pl-PL"/>
        </w:rPr>
        <w:t>o pojemności od 0,2 m³ do 1 m³. Efektem ekologicznym podjętych działań jest możliwość retencji wód opadowych wynosząca 180,075 m³. W ramach programu pilotażowego wykonano również 17 systemów nawadniania terenów zieleni</w:t>
      </w:r>
      <w:r w:rsidR="00B96B25">
        <w:rPr>
          <w:lang w:val="pl-PL"/>
        </w:rPr>
        <w:t>,</w:t>
      </w:r>
      <w:r>
        <w:rPr>
          <w:lang w:val="pl-PL"/>
        </w:rPr>
        <w:t xml:space="preserve"> o łącznej powierzchni </w:t>
      </w:r>
      <w:r w:rsidR="005F2688">
        <w:rPr>
          <w:lang w:val="pl-PL"/>
        </w:rPr>
        <w:t xml:space="preserve">prawie </w:t>
      </w:r>
      <w:r>
        <w:rPr>
          <w:lang w:val="pl-PL"/>
        </w:rPr>
        <w:t>8</w:t>
      </w:r>
      <w:r w:rsidR="005F2688">
        <w:rPr>
          <w:lang w:val="pl-PL"/>
        </w:rPr>
        <w:t>.300</w:t>
      </w:r>
      <w:r>
        <w:rPr>
          <w:lang w:val="pl-PL"/>
        </w:rPr>
        <w:t xml:space="preserve"> m². </w:t>
      </w:r>
      <w:r>
        <w:rPr>
          <w:color w:val="FF0000"/>
          <w:lang w:val="pl-PL"/>
        </w:rPr>
        <w:t xml:space="preserve">            </w:t>
      </w:r>
    </w:p>
    <w:p w:rsidR="00AE6BCB" w:rsidRDefault="00AE6BCB" w:rsidP="009C7C02">
      <w:pPr>
        <w:spacing w:line="240" w:lineRule="auto"/>
        <w:ind w:firstLine="709"/>
        <w:jc w:val="both"/>
        <w:rPr>
          <w:lang w:val="pl-PL"/>
        </w:rPr>
      </w:pPr>
      <w:r>
        <w:rPr>
          <w:lang w:val="pl-PL"/>
        </w:rPr>
        <w:t xml:space="preserve">Gmina Miasta Toruń wspomaga mieszkańców również w kosztach usunięcia wyrobów zawierających azbest, w ramach </w:t>
      </w:r>
      <w:r>
        <w:rPr>
          <w:b/>
          <w:lang w:val="pl-PL"/>
        </w:rPr>
        <w:t>„Programu usuwania azbestu z terenu miasta Torunia”</w:t>
      </w:r>
      <w:r>
        <w:rPr>
          <w:lang w:val="pl-PL"/>
        </w:rPr>
        <w:t>. W 2020 r. z terenu GMT usunięto 65,9 ton eternitu falistego z 33 nieruchomości. Łączny koszt zrealizowanego zadania wyniósł ponad 34,5 tys. zł, w tym prawie 22,3 tys. zł uzyskano z dotacji Wojewódzkiego Funduszu Ochrony</w:t>
      </w:r>
      <w:r w:rsidR="00BE1501">
        <w:rPr>
          <w:lang w:val="pl-PL"/>
        </w:rPr>
        <w:t xml:space="preserve"> Środowiska i Gospodarki Wodnej.</w:t>
      </w:r>
    </w:p>
    <w:p w:rsidR="00AE6BCB" w:rsidRDefault="00AE6BCB" w:rsidP="009C7C02">
      <w:pPr>
        <w:pStyle w:val="NoSpacing"/>
        <w:spacing w:line="240" w:lineRule="auto"/>
        <w:ind w:firstLine="709"/>
        <w:jc w:val="both"/>
        <w:rPr>
          <w:rFonts w:eastAsia="Times New Roman"/>
          <w:sz w:val="24"/>
          <w:szCs w:val="24"/>
        </w:rPr>
      </w:pPr>
      <w:r>
        <w:rPr>
          <w:rFonts w:ascii="Times New Roman" w:hAnsi="Times New Roman"/>
          <w:sz w:val="24"/>
          <w:szCs w:val="24"/>
        </w:rPr>
        <w:t xml:space="preserve">Realizacja powyższych działań wpisuje się także w wykonanie założeń </w:t>
      </w:r>
      <w:r>
        <w:rPr>
          <w:rFonts w:ascii="Times New Roman" w:hAnsi="Times New Roman"/>
          <w:b/>
          <w:sz w:val="24"/>
          <w:szCs w:val="24"/>
        </w:rPr>
        <w:t xml:space="preserve">„Planu Gospodarki Niskoemisyjnej na lata 2015–2020”. </w:t>
      </w:r>
      <w:r>
        <w:rPr>
          <w:rFonts w:ascii="Times New Roman" w:hAnsi="Times New Roman"/>
          <w:sz w:val="24"/>
          <w:szCs w:val="24"/>
        </w:rPr>
        <w:t xml:space="preserve">Zadania w obszarach wskazanych </w:t>
      </w:r>
      <w:r w:rsidR="00F14555">
        <w:rPr>
          <w:rFonts w:ascii="Times New Roman" w:hAnsi="Times New Roman"/>
          <w:sz w:val="24"/>
          <w:szCs w:val="24"/>
        </w:rPr>
        <w:br/>
      </w:r>
      <w:r>
        <w:rPr>
          <w:rFonts w:ascii="Times New Roman" w:hAnsi="Times New Roman"/>
          <w:sz w:val="24"/>
          <w:szCs w:val="24"/>
        </w:rPr>
        <w:t xml:space="preserve">w dokumencie: budownictwo, transport, energetyka, wykorzystywanie odnawialnych źródeł energii oraz działania międzysektorowe, realizowane są przez wskazanych w planie interesariuszy w ramach bieżących inwestycji, w tym tut. Urząd i jednostki organizacyjne Gminy oraz spółki: MZK Sp. z o.o., Toruńskie Wodociągi Sp. z o.o. </w:t>
      </w:r>
    </w:p>
    <w:p w:rsidR="00AE6BCB" w:rsidRDefault="00AE6BCB" w:rsidP="009C7C02">
      <w:pPr>
        <w:spacing w:line="240" w:lineRule="auto"/>
        <w:jc w:val="both"/>
        <w:rPr>
          <w:lang w:val="pl-PL"/>
        </w:rPr>
      </w:pPr>
      <w:r>
        <w:rPr>
          <w:lang w:val="pl-PL"/>
        </w:rPr>
        <w:t xml:space="preserve">         W marcu 2020 r. Rada Miasta Torunia przyjęła </w:t>
      </w:r>
      <w:r>
        <w:rPr>
          <w:b/>
          <w:lang w:val="pl-PL"/>
        </w:rPr>
        <w:t>„Program opieki nad zwierzętami bezdomnymi oraz zapobiegania bezdomności zwierząt w Toruniu na rok 2020”</w:t>
      </w:r>
      <w:r>
        <w:rPr>
          <w:lang w:val="pl-PL"/>
        </w:rPr>
        <w:t xml:space="preserve">. </w:t>
      </w:r>
      <w:r w:rsidR="00F14555">
        <w:rPr>
          <w:lang w:val="pl-PL"/>
        </w:rPr>
        <w:br/>
      </w:r>
      <w:r>
        <w:rPr>
          <w:lang w:val="pl-PL"/>
        </w:rPr>
        <w:t>W ramach programu zrealizowano m.in.: zabiegi sterylizacji i kastracji 424 kotów wolno żyjących oraz ich dokarmianie, objęto opieką w schronisku dla bezdomnych zwierząt 853 psów i 745 koty. Wszystkie zwierzęta adoptowane ze schroniska są czipowane – w roku 2020 mikroczipem oznakowano 4</w:t>
      </w:r>
      <w:r w:rsidR="005F2688">
        <w:rPr>
          <w:lang w:val="pl-PL"/>
        </w:rPr>
        <w:t>56 psów i 491 kotów. D</w:t>
      </w:r>
      <w:r>
        <w:rPr>
          <w:lang w:val="pl-PL"/>
        </w:rPr>
        <w:t>zięki szeroko</w:t>
      </w:r>
      <w:r w:rsidR="005F2688">
        <w:rPr>
          <w:lang w:val="pl-PL"/>
        </w:rPr>
        <w:t xml:space="preserve"> zakrojonym akcjom informacyjno</w:t>
      </w:r>
      <w:r>
        <w:rPr>
          <w:lang w:val="pl-PL"/>
        </w:rPr>
        <w:t xml:space="preserve">-edukacyjnym </w:t>
      </w:r>
      <w:r w:rsidR="005F2688">
        <w:rPr>
          <w:lang w:val="pl-PL"/>
        </w:rPr>
        <w:t xml:space="preserve">ponownie </w:t>
      </w:r>
      <w:r>
        <w:rPr>
          <w:lang w:val="pl-PL"/>
        </w:rPr>
        <w:t>uzyskano bardzo wysoki procent adopcji: ponad 95 % d</w:t>
      </w:r>
      <w:r w:rsidR="005F2688">
        <w:rPr>
          <w:lang w:val="pl-PL"/>
        </w:rPr>
        <w:t>la psów i prawie 87 % dla kotów.</w:t>
      </w:r>
    </w:p>
    <w:p w:rsidR="00AE6BCB" w:rsidRDefault="00AE6BCB" w:rsidP="009C7C02">
      <w:pPr>
        <w:spacing w:line="240" w:lineRule="auto"/>
        <w:rPr>
          <w:lang w:val="pl-PL"/>
        </w:rPr>
      </w:pPr>
    </w:p>
    <w:p w:rsidR="00AE6BCB" w:rsidRPr="00F14555" w:rsidRDefault="00AE6BCB" w:rsidP="009C7C02">
      <w:pPr>
        <w:spacing w:line="240" w:lineRule="auto"/>
        <w:rPr>
          <w:color w:val="0070C0"/>
          <w:lang w:val="pl-PL"/>
        </w:rPr>
      </w:pPr>
      <w:r w:rsidRPr="00F14555">
        <w:rPr>
          <w:b/>
          <w:i/>
          <w:color w:val="0070C0"/>
          <w:lang w:val="pl-PL"/>
        </w:rPr>
        <w:t xml:space="preserve">Tereny zieleni </w:t>
      </w:r>
    </w:p>
    <w:p w:rsidR="00AE6BCB" w:rsidRDefault="005F2688" w:rsidP="009C7C02">
      <w:pPr>
        <w:spacing w:line="240" w:lineRule="auto"/>
        <w:ind w:firstLine="708"/>
        <w:jc w:val="both"/>
        <w:rPr>
          <w:lang w:val="pl-PL"/>
        </w:rPr>
      </w:pPr>
      <w:r>
        <w:rPr>
          <w:lang w:val="pl-PL"/>
        </w:rPr>
        <w:t xml:space="preserve">Tereny zieleni zajmują około 30 % </w:t>
      </w:r>
      <w:r w:rsidR="00AE6BCB">
        <w:rPr>
          <w:lang w:val="pl-PL"/>
        </w:rPr>
        <w:t>powierzchni</w:t>
      </w:r>
      <w:r>
        <w:rPr>
          <w:lang w:val="pl-PL"/>
        </w:rPr>
        <w:t xml:space="preserve"> Torunia</w:t>
      </w:r>
      <w:r w:rsidR="00AE6BCB">
        <w:rPr>
          <w:lang w:val="pl-PL"/>
        </w:rPr>
        <w:t xml:space="preserve">. System przestrzenny tych obszarów tworzy układ pierścieniowo-klinowy. Tkankę zieloną miasta stanowią lasy, tereny zieleni urządzonej i nieurządzonej. </w:t>
      </w:r>
      <w:r>
        <w:rPr>
          <w:lang w:val="pl-PL"/>
        </w:rPr>
        <w:t>R</w:t>
      </w:r>
      <w:r w:rsidR="00AE6BCB">
        <w:rPr>
          <w:lang w:val="pl-PL"/>
        </w:rPr>
        <w:t>ealizowane obecnie projekty z dofinansowaniem zewnętrznym wzbogacają zieleń w nowe, a</w:t>
      </w:r>
      <w:r>
        <w:rPr>
          <w:lang w:val="pl-PL"/>
        </w:rPr>
        <w:t xml:space="preserve">trakcyjnie zagospodarowane </w:t>
      </w:r>
      <w:r w:rsidR="00AE6BCB">
        <w:rPr>
          <w:lang w:val="pl-PL"/>
        </w:rPr>
        <w:t>miejsc</w:t>
      </w:r>
      <w:r>
        <w:rPr>
          <w:lang w:val="pl-PL"/>
        </w:rPr>
        <w:t>a</w:t>
      </w:r>
      <w:r w:rsidR="00AE6BCB">
        <w:rPr>
          <w:lang w:val="pl-PL"/>
        </w:rPr>
        <w:t xml:space="preserve">, które służyć będą mieszkańcom jako miejsca rekreacji i wypoczynku. </w:t>
      </w:r>
    </w:p>
    <w:p w:rsidR="00AE6BCB" w:rsidRDefault="00AE6BCB" w:rsidP="009C7C02">
      <w:pPr>
        <w:spacing w:line="240" w:lineRule="auto"/>
        <w:ind w:firstLine="360"/>
        <w:jc w:val="both"/>
        <w:rPr>
          <w:lang w:val="pl-PL"/>
        </w:rPr>
      </w:pPr>
      <w:r>
        <w:rPr>
          <w:lang w:val="pl-PL"/>
        </w:rPr>
        <w:t xml:space="preserve">W roku 2020 zakończono prace przy projektach dotyczących rewitalizacji </w:t>
      </w:r>
      <w:r w:rsidR="00F14555">
        <w:rPr>
          <w:lang w:val="pl-PL"/>
        </w:rPr>
        <w:br/>
      </w:r>
      <w:r>
        <w:rPr>
          <w:lang w:val="pl-PL"/>
        </w:rPr>
        <w:t>i zagospodarowania zieleni, na które miasto pozyskało dofinansowanie ze środków unijnych poprzez Narodowy Fundusz Ochrony Środowiska i Gospodarki Wodnej:</w:t>
      </w:r>
    </w:p>
    <w:p w:rsidR="00AE6BCB" w:rsidRDefault="005F2688" w:rsidP="00912BD8">
      <w:pPr>
        <w:numPr>
          <w:ilvl w:val="0"/>
          <w:numId w:val="41"/>
        </w:numPr>
        <w:spacing w:line="240" w:lineRule="auto"/>
        <w:jc w:val="both"/>
        <w:rPr>
          <w:lang w:val="pl-PL"/>
        </w:rPr>
      </w:pPr>
      <w:r w:rsidRPr="00F14555">
        <w:rPr>
          <w:lang w:val="pl-PL"/>
        </w:rPr>
        <w:t>rewitalizacja</w:t>
      </w:r>
      <w:r w:rsidR="00AE6BCB" w:rsidRPr="00F14555">
        <w:rPr>
          <w:lang w:val="pl-PL"/>
        </w:rPr>
        <w:t xml:space="preserve"> Parku Tysiąclecia wraz z odbudową układu wodnego fosy przy </w:t>
      </w:r>
      <w:r w:rsidR="00F14555">
        <w:rPr>
          <w:lang w:val="pl-PL"/>
        </w:rPr>
        <w:br/>
      </w:r>
      <w:r w:rsidR="00AE6BCB" w:rsidRPr="00F14555">
        <w:rPr>
          <w:lang w:val="pl-PL"/>
        </w:rPr>
        <w:t>ul. Podgórskiej (dofinansowanie - ok. 5 mln zł),</w:t>
      </w:r>
    </w:p>
    <w:p w:rsidR="00AE6BCB" w:rsidRDefault="00F14555" w:rsidP="00912BD8">
      <w:pPr>
        <w:numPr>
          <w:ilvl w:val="0"/>
          <w:numId w:val="41"/>
        </w:numPr>
        <w:spacing w:line="240" w:lineRule="auto"/>
        <w:jc w:val="both"/>
        <w:rPr>
          <w:lang w:val="pl-PL"/>
        </w:rPr>
      </w:pPr>
      <w:r>
        <w:rPr>
          <w:lang w:val="pl-PL"/>
        </w:rPr>
        <w:t>zagospodarowanie turystyczno</w:t>
      </w:r>
      <w:r w:rsidR="00CC7287">
        <w:rPr>
          <w:lang w:val="pl-PL"/>
        </w:rPr>
        <w:t xml:space="preserve"> </w:t>
      </w:r>
      <w:r>
        <w:rPr>
          <w:lang w:val="pl-PL"/>
        </w:rPr>
        <w:t>-</w:t>
      </w:r>
      <w:r w:rsidR="00CC7287">
        <w:rPr>
          <w:lang w:val="pl-PL"/>
        </w:rPr>
        <w:t xml:space="preserve"> </w:t>
      </w:r>
      <w:r>
        <w:rPr>
          <w:lang w:val="pl-PL"/>
        </w:rPr>
        <w:t>rekreacyjne</w:t>
      </w:r>
      <w:r w:rsidR="00AE6BCB" w:rsidRPr="00F14555">
        <w:rPr>
          <w:lang w:val="pl-PL"/>
        </w:rPr>
        <w:t xml:space="preserve"> terenów na tzw. osiedlu JAR (dofinansowanie - 3 mln zł), gdzie dodatkowo posadzono w ramach przebudowy dr</w:t>
      </w:r>
      <w:r w:rsidR="005F2688" w:rsidRPr="00F14555">
        <w:rPr>
          <w:lang w:val="pl-PL"/>
        </w:rPr>
        <w:t>zewostanu 2 tys.</w:t>
      </w:r>
      <w:r w:rsidR="00BE1501">
        <w:rPr>
          <w:lang w:val="pl-PL"/>
        </w:rPr>
        <w:t xml:space="preserve"> sadzonek buków i gra</w:t>
      </w:r>
      <w:r w:rsidR="00AE6BCB" w:rsidRPr="00F14555">
        <w:rPr>
          <w:lang w:val="pl-PL"/>
        </w:rPr>
        <w:t>bów,</w:t>
      </w:r>
    </w:p>
    <w:p w:rsidR="00AE6BCB" w:rsidRPr="00F14555" w:rsidRDefault="005F2688" w:rsidP="00912BD8">
      <w:pPr>
        <w:numPr>
          <w:ilvl w:val="0"/>
          <w:numId w:val="41"/>
        </w:numPr>
        <w:spacing w:line="240" w:lineRule="auto"/>
        <w:jc w:val="both"/>
        <w:rPr>
          <w:lang w:val="pl-PL"/>
        </w:rPr>
      </w:pPr>
      <w:r w:rsidRPr="00F14555">
        <w:rPr>
          <w:lang w:val="pl-PL"/>
        </w:rPr>
        <w:t>zagospodarowanie</w:t>
      </w:r>
      <w:r w:rsidR="00AE6BCB" w:rsidRPr="00F14555">
        <w:rPr>
          <w:lang w:val="pl-PL"/>
        </w:rPr>
        <w:t xml:space="preserve"> terenów zieleni w Parku Glazja przy ul. Waryńskiego (dofinansowanie - 2,1 mln zł)</w:t>
      </w:r>
      <w:r w:rsidRPr="00F14555">
        <w:rPr>
          <w:lang w:val="pl-PL"/>
        </w:rPr>
        <w:t>.</w:t>
      </w:r>
    </w:p>
    <w:p w:rsidR="00BF6A4C" w:rsidRDefault="00AE6BCB" w:rsidP="00CC7287">
      <w:pPr>
        <w:spacing w:line="240" w:lineRule="auto"/>
        <w:ind w:firstLine="708"/>
        <w:jc w:val="both"/>
        <w:rPr>
          <w:lang w:val="pl-PL"/>
        </w:rPr>
      </w:pPr>
      <w:r>
        <w:rPr>
          <w:lang w:val="pl-PL"/>
        </w:rPr>
        <w:t xml:space="preserve">Drzewostan w mieście wymaga systematycznej przebudowy i odnawiania. Drzewa sadzone w okresie rozwoju miasta przed I wojną światową oraz w okresie międzywojennym w bliskim sąsiedztwie ciągów komunikacyjnych, ze względu na postępujący proces urbanizacji i antropopresję, ulegają naturalnemu procesowi wypadania, stąd też istnieje konieczność stosowania kompensacji przyrodniczej. W roku 2020 na terenach zieleni nasadzono 284 duże drzewa oraz </w:t>
      </w:r>
      <w:r w:rsidR="005F2688">
        <w:rPr>
          <w:lang w:val="pl-PL"/>
        </w:rPr>
        <w:t xml:space="preserve">w/w </w:t>
      </w:r>
      <w:r>
        <w:rPr>
          <w:lang w:val="pl-PL"/>
        </w:rPr>
        <w:t>2</w:t>
      </w:r>
      <w:r w:rsidR="005F2688">
        <w:rPr>
          <w:lang w:val="pl-PL"/>
        </w:rPr>
        <w:t xml:space="preserve"> tys.</w:t>
      </w:r>
      <w:r w:rsidR="00090DA5">
        <w:rPr>
          <w:lang w:val="pl-PL"/>
        </w:rPr>
        <w:t xml:space="preserve"> sadzonek </w:t>
      </w:r>
      <w:r>
        <w:rPr>
          <w:lang w:val="pl-PL"/>
        </w:rPr>
        <w:t>buków</w:t>
      </w:r>
      <w:r w:rsidR="00090DA5">
        <w:rPr>
          <w:lang w:val="pl-PL"/>
        </w:rPr>
        <w:t xml:space="preserve"> i grabów</w:t>
      </w:r>
      <w:r>
        <w:rPr>
          <w:lang w:val="pl-PL"/>
        </w:rPr>
        <w:t xml:space="preserve"> na </w:t>
      </w:r>
      <w:r w:rsidR="005F2688">
        <w:rPr>
          <w:lang w:val="pl-PL"/>
        </w:rPr>
        <w:t xml:space="preserve">osiedlu Jar. </w:t>
      </w:r>
      <w:r w:rsidR="00CC7287">
        <w:rPr>
          <w:lang w:val="pl-PL"/>
        </w:rPr>
        <w:br/>
      </w:r>
      <w:r w:rsidR="005F2688">
        <w:rPr>
          <w:lang w:val="pl-PL"/>
        </w:rPr>
        <w:lastRenderedPageBreak/>
        <w:t>Z</w:t>
      </w:r>
      <w:r>
        <w:rPr>
          <w:lang w:val="pl-PL"/>
        </w:rPr>
        <w:t xml:space="preserve"> końcem roku przejęto </w:t>
      </w:r>
      <w:r w:rsidR="005F2688">
        <w:rPr>
          <w:lang w:val="pl-PL"/>
        </w:rPr>
        <w:t>2.877 drzew</w:t>
      </w:r>
      <w:r>
        <w:rPr>
          <w:lang w:val="pl-PL"/>
        </w:rPr>
        <w:t xml:space="preserve"> </w:t>
      </w:r>
      <w:r w:rsidR="005F2688">
        <w:rPr>
          <w:lang w:val="pl-PL"/>
        </w:rPr>
        <w:t xml:space="preserve">posadzonych w ramach nasadzeń zastępczych m.in. </w:t>
      </w:r>
      <w:r w:rsidR="00CC7287">
        <w:rPr>
          <w:lang w:val="pl-PL"/>
        </w:rPr>
        <w:br/>
      </w:r>
      <w:r w:rsidR="005F2688">
        <w:rPr>
          <w:lang w:val="pl-PL"/>
        </w:rPr>
        <w:t xml:space="preserve">w związku z rozbudową </w:t>
      </w:r>
      <w:r w:rsidR="00BF6A4C">
        <w:rPr>
          <w:lang w:val="pl-PL"/>
        </w:rPr>
        <w:t>W</w:t>
      </w:r>
      <w:r>
        <w:rPr>
          <w:lang w:val="pl-PL"/>
        </w:rPr>
        <w:t xml:space="preserve">ojewódzkiego </w:t>
      </w:r>
      <w:r w:rsidR="00BF6A4C">
        <w:rPr>
          <w:lang w:val="pl-PL"/>
        </w:rPr>
        <w:t>Szpitala Zespolonego. Ponadto w 2020 r.:</w:t>
      </w:r>
    </w:p>
    <w:p w:rsidR="00BF6A4C" w:rsidRDefault="00BF6A4C" w:rsidP="00912BD8">
      <w:pPr>
        <w:numPr>
          <w:ilvl w:val="0"/>
          <w:numId w:val="42"/>
        </w:numPr>
        <w:spacing w:line="240" w:lineRule="auto"/>
        <w:jc w:val="both"/>
        <w:rPr>
          <w:lang w:val="pl-PL"/>
        </w:rPr>
      </w:pPr>
      <w:r w:rsidRPr="00985D7D">
        <w:rPr>
          <w:lang w:val="pl-PL"/>
        </w:rPr>
        <w:t>zagospodarowano zielenią rondo im. Heleny Grossówny,</w:t>
      </w:r>
    </w:p>
    <w:p w:rsidR="00BF6A4C" w:rsidRDefault="00BF6A4C" w:rsidP="00912BD8">
      <w:pPr>
        <w:numPr>
          <w:ilvl w:val="0"/>
          <w:numId w:val="42"/>
        </w:numPr>
        <w:spacing w:line="240" w:lineRule="auto"/>
        <w:jc w:val="both"/>
        <w:rPr>
          <w:lang w:val="pl-PL"/>
        </w:rPr>
      </w:pPr>
      <w:r w:rsidRPr="00985D7D">
        <w:rPr>
          <w:lang w:val="pl-PL"/>
        </w:rPr>
        <w:t xml:space="preserve">założono </w:t>
      </w:r>
      <w:r w:rsidR="00AE6BCB" w:rsidRPr="00985D7D">
        <w:rPr>
          <w:lang w:val="pl-PL"/>
        </w:rPr>
        <w:t>łąki kwietne w 10 lokalizacjach</w:t>
      </w:r>
      <w:r w:rsidRPr="00985D7D">
        <w:rPr>
          <w:lang w:val="pl-PL"/>
        </w:rPr>
        <w:t xml:space="preserve"> (w ramach budżetu obywatelskiego),</w:t>
      </w:r>
    </w:p>
    <w:p w:rsidR="00985D7D" w:rsidRDefault="00BF6A4C" w:rsidP="00912BD8">
      <w:pPr>
        <w:numPr>
          <w:ilvl w:val="0"/>
          <w:numId w:val="42"/>
        </w:numPr>
        <w:spacing w:line="240" w:lineRule="auto"/>
        <w:jc w:val="both"/>
        <w:rPr>
          <w:lang w:val="pl-PL"/>
        </w:rPr>
      </w:pPr>
      <w:r w:rsidRPr="00985D7D">
        <w:rPr>
          <w:lang w:val="pl-PL"/>
        </w:rPr>
        <w:t>zagospodarowano zieleń</w:t>
      </w:r>
      <w:r w:rsidR="00AE6BCB" w:rsidRPr="00985D7D">
        <w:rPr>
          <w:lang w:val="pl-PL"/>
        </w:rPr>
        <w:t xml:space="preserve"> w pasach drog</w:t>
      </w:r>
      <w:r w:rsidRPr="00985D7D">
        <w:rPr>
          <w:lang w:val="pl-PL"/>
        </w:rPr>
        <w:t>owych ulic Mohna, Szosa Chełmińska, Zdrojowa</w:t>
      </w:r>
      <w:r w:rsidR="00AE6BCB" w:rsidRPr="00985D7D">
        <w:rPr>
          <w:lang w:val="pl-PL"/>
        </w:rPr>
        <w:t xml:space="preserve">, </w:t>
      </w:r>
    </w:p>
    <w:p w:rsidR="00AE6BCB" w:rsidRDefault="00BF6A4C" w:rsidP="00912BD8">
      <w:pPr>
        <w:numPr>
          <w:ilvl w:val="0"/>
          <w:numId w:val="42"/>
        </w:numPr>
        <w:spacing w:line="240" w:lineRule="auto"/>
        <w:jc w:val="both"/>
        <w:rPr>
          <w:lang w:val="pl-PL"/>
        </w:rPr>
      </w:pPr>
      <w:r w:rsidRPr="00985D7D">
        <w:rPr>
          <w:lang w:val="pl-PL"/>
        </w:rPr>
        <w:t>ustawiono elementy małej architektury (ławki, kosze), uzupełniono inną infrastrukturę miejską (place zabaw i wybiegi dla psów),</w:t>
      </w:r>
    </w:p>
    <w:p w:rsidR="00AE6BCB" w:rsidRPr="00985D7D" w:rsidRDefault="00BF6A4C" w:rsidP="00912BD8">
      <w:pPr>
        <w:numPr>
          <w:ilvl w:val="0"/>
          <w:numId w:val="42"/>
        </w:numPr>
        <w:spacing w:line="240" w:lineRule="auto"/>
        <w:jc w:val="both"/>
        <w:rPr>
          <w:lang w:val="pl-PL"/>
        </w:rPr>
      </w:pPr>
      <w:r w:rsidRPr="00985D7D">
        <w:rPr>
          <w:lang w:val="pl-PL"/>
        </w:rPr>
        <w:t>usunięto jemiołę z 222 drzew.</w:t>
      </w:r>
    </w:p>
    <w:p w:rsidR="00AE6BCB" w:rsidRDefault="00AE6BCB" w:rsidP="009C7C02">
      <w:pPr>
        <w:spacing w:line="240" w:lineRule="auto"/>
        <w:jc w:val="both"/>
        <w:rPr>
          <w:lang w:val="pl-PL"/>
        </w:rPr>
      </w:pPr>
    </w:p>
    <w:p w:rsidR="00AE6BCB" w:rsidRDefault="00985D7D" w:rsidP="00F155F0">
      <w:pPr>
        <w:pStyle w:val="Nagwek1"/>
        <w:numPr>
          <w:ilvl w:val="0"/>
          <w:numId w:val="0"/>
        </w:numPr>
        <w:spacing w:line="240" w:lineRule="auto"/>
        <w:ind w:left="432" w:hanging="432"/>
        <w:rPr>
          <w:lang w:val="pl-PL"/>
        </w:rPr>
      </w:pPr>
      <w:bookmarkStart w:id="114" w:name="__RefHeading__31988_2082197896"/>
      <w:bookmarkStart w:id="115" w:name="_Toc69477717"/>
      <w:bookmarkStart w:id="116" w:name="_Toc69372265"/>
      <w:bookmarkEnd w:id="114"/>
      <w:r>
        <w:rPr>
          <w:color w:val="0070C0"/>
          <w:lang w:val="pl-PL"/>
        </w:rPr>
        <w:t>XIV</w:t>
      </w:r>
      <w:r w:rsidR="00F155F0">
        <w:rPr>
          <w:color w:val="0070C0"/>
          <w:lang w:val="pl-PL"/>
        </w:rPr>
        <w:t xml:space="preserve">. </w:t>
      </w:r>
      <w:r w:rsidR="00AE6BCB">
        <w:rPr>
          <w:color w:val="0070C0"/>
          <w:lang w:val="pl-PL"/>
        </w:rPr>
        <w:t>KULTURA, OCHRONA DZIEDZICTWA KULTUROWEGO I TURYSTYKA</w:t>
      </w:r>
      <w:bookmarkEnd w:id="115"/>
      <w:bookmarkEnd w:id="116"/>
    </w:p>
    <w:p w:rsidR="00AE6BCB" w:rsidRDefault="00AE6BCB" w:rsidP="009C7C02">
      <w:pPr>
        <w:spacing w:line="240" w:lineRule="auto"/>
        <w:jc w:val="both"/>
        <w:rPr>
          <w:lang w:val="pl-PL"/>
        </w:rPr>
      </w:pPr>
    </w:p>
    <w:p w:rsidR="00AE6BCB" w:rsidRDefault="0094761F" w:rsidP="009C7C02">
      <w:pPr>
        <w:spacing w:line="240" w:lineRule="auto"/>
        <w:ind w:firstLine="709"/>
        <w:jc w:val="both"/>
        <w:rPr>
          <w:color w:val="FF0000"/>
          <w:lang w:val="pl-PL"/>
        </w:rPr>
      </w:pPr>
      <w:r>
        <w:rPr>
          <w:lang w:val="pl-PL"/>
        </w:rPr>
        <w:t xml:space="preserve">W 2020 r. działania w celu zaspokajania zbiorowych potrzeb wspólnoty w zakresie kultury </w:t>
      </w:r>
      <w:r w:rsidR="00AE6BCB">
        <w:rPr>
          <w:lang w:val="pl-PL"/>
        </w:rPr>
        <w:t>przez 8 instytucji kultury, dla których organizatorem jest Gmina Miasta Toruń. Działalność instytucji kultury uzupełniają przedsięwzięcia artystyczne przygotowywane przez organizacje pozarządowe, związki twórcze, kluby kultury oraz placówki edukacyjne</w:t>
      </w:r>
      <w:r w:rsidR="00AE6BCB">
        <w:rPr>
          <w:color w:val="FF0000"/>
          <w:lang w:val="pl-PL"/>
        </w:rPr>
        <w:t xml:space="preserve">. </w:t>
      </w:r>
    </w:p>
    <w:p w:rsidR="00AE6BCB" w:rsidRDefault="00AE6BCB" w:rsidP="0094761F">
      <w:pPr>
        <w:spacing w:line="240" w:lineRule="auto"/>
        <w:jc w:val="both"/>
        <w:rPr>
          <w:color w:val="FF0000"/>
          <w:lang w:val="pl-PL"/>
        </w:rPr>
      </w:pPr>
      <w:bookmarkStart w:id="117" w:name="__RefHeading__31990_2082197896"/>
      <w:bookmarkEnd w:id="117"/>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118" w:name="__RefHeading__31992_2082197896"/>
      <w:bookmarkStart w:id="119" w:name="_Toc69477719"/>
      <w:bookmarkStart w:id="120" w:name="_Toc69372267"/>
      <w:bookmarkEnd w:id="118"/>
      <w:r w:rsidRPr="00484FAD">
        <w:rPr>
          <w:rFonts w:ascii="Times New Roman" w:hAnsi="Times New Roman" w:cs="Times New Roman"/>
          <w:color w:val="0070C0"/>
          <w:sz w:val="24"/>
          <w:lang w:val="pl-PL"/>
        </w:rPr>
        <w:t>Muzeum Okręgowe w Toruniu</w:t>
      </w:r>
      <w:bookmarkEnd w:id="119"/>
      <w:bookmarkEnd w:id="120"/>
    </w:p>
    <w:p w:rsidR="0094761F" w:rsidRDefault="00AE6BCB" w:rsidP="0094761F">
      <w:pPr>
        <w:spacing w:line="240" w:lineRule="auto"/>
        <w:ind w:firstLine="709"/>
        <w:jc w:val="both"/>
        <w:rPr>
          <w:lang w:val="pl-PL"/>
        </w:rPr>
      </w:pPr>
      <w:r>
        <w:rPr>
          <w:lang w:val="pl-PL"/>
        </w:rPr>
        <w:t>W 2020 r. w oddziałach muzeum kontynuowano ekspozycję 18 wystaw stałych, ponadto uruchomiono 8 wystaw czasowych oraz zaprezentowano 12 nowych wystaw</w:t>
      </w:r>
      <w:r w:rsidR="0094761F">
        <w:rPr>
          <w:lang w:val="pl-PL"/>
        </w:rPr>
        <w:t xml:space="preserve">. </w:t>
      </w:r>
      <w:r>
        <w:rPr>
          <w:lang w:val="pl-PL"/>
        </w:rPr>
        <w:t>Poza siedzi</w:t>
      </w:r>
      <w:r w:rsidR="0094761F">
        <w:rPr>
          <w:lang w:val="pl-PL"/>
        </w:rPr>
        <w:t xml:space="preserve">bą muzeum odbyło się 14 wystaw. </w:t>
      </w:r>
      <w:r>
        <w:rPr>
          <w:lang w:val="pl-PL"/>
        </w:rPr>
        <w:t>Wydano drukiem 6 publikacji,</w:t>
      </w:r>
      <w:r>
        <w:rPr>
          <w:i/>
          <w:lang w:val="pl-PL"/>
        </w:rPr>
        <w:t xml:space="preserve"> </w:t>
      </w:r>
      <w:r>
        <w:rPr>
          <w:lang w:val="pl-PL"/>
        </w:rPr>
        <w:t>a kolejne 6 znajd</w:t>
      </w:r>
      <w:r w:rsidR="0094761F">
        <w:rPr>
          <w:lang w:val="pl-PL"/>
        </w:rPr>
        <w:t>uje się w opracowaniu, ponadto</w:t>
      </w:r>
      <w:r>
        <w:rPr>
          <w:lang w:val="pl-PL"/>
        </w:rPr>
        <w:t xml:space="preserve"> przeprowadzono łącznie </w:t>
      </w:r>
      <w:r w:rsidR="0094761F">
        <w:rPr>
          <w:lang w:val="pl-PL"/>
        </w:rPr>
        <w:t>ponad 4,5</w:t>
      </w:r>
      <w:r w:rsidR="004C14AC">
        <w:rPr>
          <w:lang w:val="pl-PL"/>
        </w:rPr>
        <w:t xml:space="preserve"> </w:t>
      </w:r>
      <w:r w:rsidR="0094761F">
        <w:rPr>
          <w:lang w:val="pl-PL"/>
        </w:rPr>
        <w:t>tys.</w:t>
      </w:r>
      <w:r>
        <w:rPr>
          <w:lang w:val="pl-PL"/>
        </w:rPr>
        <w:t xml:space="preserve"> stac</w:t>
      </w:r>
      <w:r w:rsidR="0094761F">
        <w:rPr>
          <w:lang w:val="pl-PL"/>
        </w:rPr>
        <w:t xml:space="preserve">jonarnych działań edukacyjnych. W okresie obostrzeń związanych ze stanem pandemii: zredukowano ilość akcji „Noc w Muzeum” oraz </w:t>
      </w:r>
      <w:r>
        <w:rPr>
          <w:lang w:val="pl-PL"/>
        </w:rPr>
        <w:t>realizowa</w:t>
      </w:r>
      <w:r w:rsidR="0094761F">
        <w:rPr>
          <w:lang w:val="pl-PL"/>
        </w:rPr>
        <w:t>no projekt „Muzeum wirtualnie”.</w:t>
      </w:r>
    </w:p>
    <w:p w:rsidR="00AE6BCB" w:rsidRDefault="00AE6BCB" w:rsidP="0094761F">
      <w:pPr>
        <w:spacing w:line="240" w:lineRule="auto"/>
        <w:jc w:val="both"/>
        <w:rPr>
          <w:lang w:val="pl-PL"/>
        </w:rPr>
      </w:pPr>
      <w:r>
        <w:rPr>
          <w:lang w:val="pl-PL"/>
        </w:rPr>
        <w:t xml:space="preserve">Trwające wiele miesięcy zakazy prowadzenia działalności kulturalnej spowodowały dotkliwe szkody zarówno w zakresie frekwencji, jak i wpływów ze sprzedaży biletów i najmów sal. </w:t>
      </w:r>
    </w:p>
    <w:p w:rsidR="00AE6BCB" w:rsidRDefault="00AE6BCB" w:rsidP="009C7C02">
      <w:pPr>
        <w:spacing w:line="240" w:lineRule="auto"/>
        <w:jc w:val="both"/>
        <w:rPr>
          <w:lang w:val="pl-PL"/>
        </w:rPr>
      </w:pPr>
      <w:r>
        <w:rPr>
          <w:lang w:val="pl-PL"/>
        </w:rPr>
        <w:t xml:space="preserve">W 2020 r. muzeum odwiedziło </w:t>
      </w:r>
      <w:r w:rsidR="004C14AC">
        <w:rPr>
          <w:lang w:val="pl-PL"/>
        </w:rPr>
        <w:t xml:space="preserve">ponad </w:t>
      </w:r>
      <w:r w:rsidR="0094761F">
        <w:rPr>
          <w:bCs/>
          <w:lang w:val="pl-PL"/>
        </w:rPr>
        <w:t>196</w:t>
      </w:r>
      <w:r w:rsidR="004C14AC">
        <w:rPr>
          <w:bCs/>
          <w:lang w:val="pl-PL"/>
        </w:rPr>
        <w:t>,7 tys.</w:t>
      </w:r>
      <w:r>
        <w:rPr>
          <w:bCs/>
          <w:lang w:val="pl-PL"/>
        </w:rPr>
        <w:t xml:space="preserve"> </w:t>
      </w:r>
      <w:r w:rsidR="004C14AC">
        <w:rPr>
          <w:lang w:val="pl-PL"/>
        </w:rPr>
        <w:t xml:space="preserve">osób. </w:t>
      </w:r>
      <w:r w:rsidR="0094761F">
        <w:rPr>
          <w:lang w:val="pl-PL"/>
        </w:rPr>
        <w:t xml:space="preserve">Sprzedano łącznie </w:t>
      </w:r>
      <w:r w:rsidR="004C14AC">
        <w:rPr>
          <w:lang w:val="pl-PL"/>
        </w:rPr>
        <w:t xml:space="preserve">ponad </w:t>
      </w:r>
      <w:r w:rsidR="0094761F">
        <w:rPr>
          <w:lang w:val="pl-PL"/>
        </w:rPr>
        <w:t>69</w:t>
      </w:r>
      <w:r w:rsidR="004C14AC">
        <w:rPr>
          <w:lang w:val="pl-PL"/>
        </w:rPr>
        <w:t>,7 tys.</w:t>
      </w:r>
      <w:r w:rsidR="0094761F">
        <w:rPr>
          <w:lang w:val="pl-PL"/>
        </w:rPr>
        <w:t xml:space="preserve"> biletów normalnych, </w:t>
      </w:r>
      <w:r w:rsidR="004C14AC">
        <w:rPr>
          <w:lang w:val="pl-PL"/>
        </w:rPr>
        <w:t xml:space="preserve">prawie </w:t>
      </w:r>
      <w:r w:rsidR="0094761F">
        <w:rPr>
          <w:lang w:val="pl-PL"/>
        </w:rPr>
        <w:t>40</w:t>
      </w:r>
      <w:r w:rsidR="004C14AC">
        <w:rPr>
          <w:lang w:val="pl-PL"/>
        </w:rPr>
        <w:t>,8 tys.</w:t>
      </w:r>
      <w:r>
        <w:rPr>
          <w:lang w:val="pl-PL"/>
        </w:rPr>
        <w:t xml:space="preserve"> ulgow</w:t>
      </w:r>
      <w:r w:rsidR="0094761F">
        <w:rPr>
          <w:lang w:val="pl-PL"/>
        </w:rPr>
        <w:t xml:space="preserve">ych, </w:t>
      </w:r>
      <w:r w:rsidR="004C14AC">
        <w:rPr>
          <w:lang w:val="pl-PL"/>
        </w:rPr>
        <w:t xml:space="preserve">ponad </w:t>
      </w:r>
      <w:r w:rsidR="0094761F">
        <w:rPr>
          <w:lang w:val="pl-PL"/>
        </w:rPr>
        <w:t>23</w:t>
      </w:r>
      <w:r w:rsidR="004C14AC">
        <w:rPr>
          <w:lang w:val="pl-PL"/>
        </w:rPr>
        <w:t>,2 tys.</w:t>
      </w:r>
      <w:r>
        <w:rPr>
          <w:lang w:val="pl-PL"/>
        </w:rPr>
        <w:t xml:space="preserve"> karnetów i </w:t>
      </w:r>
      <w:r w:rsidR="004C14AC">
        <w:rPr>
          <w:lang w:val="pl-PL"/>
        </w:rPr>
        <w:t xml:space="preserve">ponad 2,2 tys. </w:t>
      </w:r>
      <w:r>
        <w:rPr>
          <w:lang w:val="pl-PL"/>
        </w:rPr>
        <w:t xml:space="preserve">biletów na dwa oddziały. W wydarzeniach zorganizowanych przez instytucję uczestniczyło </w:t>
      </w:r>
      <w:r w:rsidR="004C14AC">
        <w:rPr>
          <w:lang w:val="pl-PL"/>
        </w:rPr>
        <w:t xml:space="preserve">prawie </w:t>
      </w:r>
      <w:r>
        <w:rPr>
          <w:lang w:val="pl-PL"/>
        </w:rPr>
        <w:t>8</w:t>
      </w:r>
      <w:r w:rsidR="004C14AC">
        <w:rPr>
          <w:lang w:val="pl-PL"/>
        </w:rPr>
        <w:t>,7 tys.</w:t>
      </w:r>
      <w:r>
        <w:rPr>
          <w:lang w:val="pl-PL"/>
        </w:rPr>
        <w:t xml:space="preserve"> osób. </w:t>
      </w:r>
    </w:p>
    <w:p w:rsidR="00AE6BCB" w:rsidRDefault="00AE6BCB" w:rsidP="009C7C02">
      <w:pPr>
        <w:tabs>
          <w:tab w:val="left" w:pos="142"/>
          <w:tab w:val="left" w:pos="851"/>
        </w:tabs>
        <w:spacing w:line="240" w:lineRule="auto"/>
        <w:ind w:firstLine="709"/>
        <w:jc w:val="both"/>
        <w:rPr>
          <w:color w:val="FF0000"/>
          <w:lang w:val="pl-PL"/>
        </w:rPr>
      </w:pPr>
      <w:r>
        <w:rPr>
          <w:lang w:val="pl-PL"/>
        </w:rPr>
        <w:t>W 2020 r. ukończono prace nad nowym oddziałem mu</w:t>
      </w:r>
      <w:r w:rsidR="0094761F">
        <w:rPr>
          <w:lang w:val="pl-PL"/>
        </w:rPr>
        <w:t xml:space="preserve">zealnym: Muzeum Twierdzy Toruń. </w:t>
      </w:r>
      <w:r>
        <w:rPr>
          <w:lang w:val="pl-PL"/>
        </w:rPr>
        <w:t xml:space="preserve">Inwestycja była finansowana ze środków Unii Europejskiej (14,4 mln zł), Ministerstwa Kultury i Dziedzictwa Narodowego oraz Gminy Miasta Toruń. Koszt adaptacji Koszar Bramy Chełmińskiej na Muzeum Twierdzy Toruń wyniósł ogółem ok. 22 mln zł. Jego oficjalne otwarcie zaplanowano na 7-8 listopada 2020 r., jednak z uwagi na wprowadzone zakazy realizacji wydarzeń z udziałem publiczności uroczystość otwarcia odbyła się 5 lutego 2021 r. </w:t>
      </w:r>
    </w:p>
    <w:p w:rsidR="00AE6BCB" w:rsidRDefault="00AE6BCB" w:rsidP="0094761F">
      <w:pPr>
        <w:spacing w:line="240" w:lineRule="auto"/>
        <w:jc w:val="both"/>
        <w:rPr>
          <w:bCs/>
          <w:color w:val="FF0000"/>
          <w:lang w:val="pl-PL"/>
        </w:rPr>
      </w:pPr>
      <w:bookmarkStart w:id="121" w:name="__RefHeading__31994_2082197896"/>
      <w:bookmarkEnd w:id="121"/>
    </w:p>
    <w:p w:rsidR="00AE6BCB" w:rsidRPr="00484FAD" w:rsidRDefault="00AE6BCB" w:rsidP="009C7C02">
      <w:pPr>
        <w:pStyle w:val="Nagwek2"/>
        <w:spacing w:before="0" w:after="0" w:line="240" w:lineRule="auto"/>
        <w:jc w:val="both"/>
        <w:rPr>
          <w:rFonts w:ascii="Times New Roman" w:hAnsi="Times New Roman" w:cs="Times New Roman"/>
          <w:color w:val="0070C0"/>
          <w:sz w:val="24"/>
          <w:szCs w:val="24"/>
          <w:lang w:val="pl-PL"/>
        </w:rPr>
      </w:pPr>
      <w:bookmarkStart w:id="122" w:name="__RefHeading__31996_2082197896"/>
      <w:bookmarkStart w:id="123" w:name="_Toc69477721"/>
      <w:bookmarkStart w:id="124" w:name="_Toc69372269"/>
      <w:bookmarkEnd w:id="122"/>
      <w:r w:rsidRPr="00484FAD">
        <w:rPr>
          <w:rFonts w:ascii="Times New Roman" w:hAnsi="Times New Roman" w:cs="Times New Roman"/>
          <w:color w:val="0070C0"/>
          <w:sz w:val="24"/>
          <w:lang w:val="pl-PL"/>
        </w:rPr>
        <w:t>Teatr Baj Pomorski</w:t>
      </w:r>
      <w:bookmarkEnd w:id="123"/>
      <w:bookmarkEnd w:id="124"/>
    </w:p>
    <w:p w:rsidR="00A15328" w:rsidRDefault="00AE6BCB" w:rsidP="009C7C02">
      <w:pPr>
        <w:spacing w:line="240" w:lineRule="auto"/>
        <w:ind w:firstLine="709"/>
        <w:jc w:val="both"/>
        <w:rPr>
          <w:lang w:val="pl-PL"/>
        </w:rPr>
      </w:pPr>
      <w:r>
        <w:rPr>
          <w:bCs/>
          <w:lang w:val="pl-PL"/>
        </w:rPr>
        <w:t xml:space="preserve">W 2020 r. z uwagi na wprowadzane przepisami prawa zakazy </w:t>
      </w:r>
      <w:r w:rsidR="008A6308">
        <w:rPr>
          <w:bCs/>
          <w:lang w:val="pl-PL"/>
        </w:rPr>
        <w:t>teatr prowadził</w:t>
      </w:r>
      <w:r>
        <w:rPr>
          <w:bCs/>
          <w:lang w:val="pl-PL"/>
        </w:rPr>
        <w:t xml:space="preserve"> działalność kulturalną w wyjąt</w:t>
      </w:r>
      <w:r w:rsidR="00A15328">
        <w:rPr>
          <w:bCs/>
          <w:lang w:val="pl-PL"/>
        </w:rPr>
        <w:t xml:space="preserve">kowo ograniczonej formie. Od </w:t>
      </w:r>
      <w:r>
        <w:rPr>
          <w:bCs/>
          <w:lang w:val="pl-PL"/>
        </w:rPr>
        <w:t xml:space="preserve">marca 2020 r. instytucja zgodnie z wytycznymi </w:t>
      </w:r>
      <w:r>
        <w:rPr>
          <w:lang w:val="pl-PL"/>
        </w:rPr>
        <w:t xml:space="preserve">Ministerstwa Kultury i Dziedzictwa Narodowego zawiesiła swoją działalność, a cała aktywność teatru została przeniesiona do Internetu. </w:t>
      </w:r>
      <w:r w:rsidR="008A6308">
        <w:rPr>
          <w:lang w:val="pl-PL"/>
        </w:rPr>
        <w:t xml:space="preserve">W czerwcu 2020 r. </w:t>
      </w:r>
      <w:r w:rsidR="00484FAD">
        <w:rPr>
          <w:lang w:val="pl-PL"/>
        </w:rPr>
        <w:br/>
      </w:r>
      <w:r w:rsidR="008A6308">
        <w:rPr>
          <w:lang w:val="pl-PL"/>
        </w:rPr>
        <w:t>z</w:t>
      </w:r>
      <w:r>
        <w:rPr>
          <w:lang w:val="pl-PL"/>
        </w:rPr>
        <w:t xml:space="preserve"> uwagi na poluzowanie obostrzeń teatr rozpoczął przygotowania do otwarcia dla widz</w:t>
      </w:r>
      <w:r w:rsidR="008A6308">
        <w:rPr>
          <w:lang w:val="pl-PL"/>
        </w:rPr>
        <w:t xml:space="preserve">ów </w:t>
      </w:r>
      <w:r w:rsidR="00484FAD">
        <w:rPr>
          <w:lang w:val="pl-PL"/>
        </w:rPr>
        <w:br/>
      </w:r>
      <w:r w:rsidR="008A6308">
        <w:rPr>
          <w:lang w:val="pl-PL"/>
        </w:rPr>
        <w:t>w obostrzeniach sanitarnych. Od końca czerwca 2020 r. s</w:t>
      </w:r>
      <w:r>
        <w:rPr>
          <w:lang w:val="pl-PL"/>
        </w:rPr>
        <w:t xml:space="preserve">pektakle grane były głównie weekendami. </w:t>
      </w:r>
      <w:r w:rsidR="008A6308">
        <w:rPr>
          <w:lang w:val="pl-PL"/>
        </w:rPr>
        <w:t xml:space="preserve">Z początkiem listopada 2020 r., ze względu na powrót obostrzeń, </w:t>
      </w:r>
      <w:r>
        <w:rPr>
          <w:lang w:val="pl-PL"/>
        </w:rPr>
        <w:t>działalność ponownie musiała w pełni odbywać się w Internecie</w:t>
      </w:r>
      <w:r w:rsidR="00A15328">
        <w:rPr>
          <w:lang w:val="pl-PL"/>
        </w:rPr>
        <w:t xml:space="preserve">. Z powodu stanu pandemii </w:t>
      </w:r>
      <w:r>
        <w:rPr>
          <w:lang w:val="pl-PL"/>
        </w:rPr>
        <w:t xml:space="preserve">nie było możliwe zrealizowanie kolejnej edycji Międzynarodowego Festiwal Teatrów Lalek „Spotkania” oraz Toruńskich </w:t>
      </w:r>
      <w:r w:rsidR="00A15328">
        <w:rPr>
          <w:lang w:val="pl-PL"/>
        </w:rPr>
        <w:t xml:space="preserve">Spotkań Teatrów Jednego Aktora. Środki przeznaczone na ten </w:t>
      </w:r>
      <w:r w:rsidR="00A15328">
        <w:rPr>
          <w:lang w:val="pl-PL"/>
        </w:rPr>
        <w:lastRenderedPageBreak/>
        <w:t>cel wykorzystano do projektu zrealizowanego wirtualnie (dwa spektakle na kanale You Tube).</w:t>
      </w:r>
      <w:r>
        <w:rPr>
          <w:lang w:val="pl-PL"/>
        </w:rPr>
        <w:t xml:space="preserve"> Teatr włączył się </w:t>
      </w:r>
      <w:r w:rsidR="00A15328">
        <w:rPr>
          <w:lang w:val="pl-PL"/>
        </w:rPr>
        <w:t xml:space="preserve">także </w:t>
      </w:r>
      <w:r w:rsidR="001F31A9">
        <w:rPr>
          <w:lang w:val="pl-PL"/>
        </w:rPr>
        <w:t>w obchody 100-lecia</w:t>
      </w:r>
      <w:r>
        <w:rPr>
          <w:lang w:val="pl-PL"/>
        </w:rPr>
        <w:t xml:space="preserve"> niepodległości Torunia</w:t>
      </w:r>
      <w:r w:rsidR="001F31A9">
        <w:rPr>
          <w:lang w:val="pl-PL"/>
        </w:rPr>
        <w:t>,</w:t>
      </w:r>
      <w:r>
        <w:rPr>
          <w:lang w:val="pl-PL"/>
        </w:rPr>
        <w:t xml:space="preserve"> projektem ,,Bramy wolności”. </w:t>
      </w:r>
    </w:p>
    <w:p w:rsidR="00AE6BCB" w:rsidRDefault="00AE6BCB" w:rsidP="009C7C02">
      <w:pPr>
        <w:spacing w:line="240" w:lineRule="auto"/>
        <w:ind w:firstLine="709"/>
        <w:jc w:val="both"/>
        <w:rPr>
          <w:lang w:val="pl-PL"/>
        </w:rPr>
      </w:pPr>
      <w:r>
        <w:rPr>
          <w:lang w:val="pl-PL"/>
        </w:rPr>
        <w:t xml:space="preserve">W ramach prac związanych z rozbudową teatru </w:t>
      </w:r>
      <w:r w:rsidR="001F31A9">
        <w:rPr>
          <w:lang w:val="pl-PL"/>
        </w:rPr>
        <w:t>wykonano</w:t>
      </w:r>
      <w:r>
        <w:rPr>
          <w:lang w:val="pl-PL"/>
        </w:rPr>
        <w:t xml:space="preserve"> zadaszenie Amfiteatru oraz Park Rzeźb w ogrodzie teatralnym, a także Obrzędowy Teatr Mechaniczny na balkonie teatru</w:t>
      </w:r>
      <w:r w:rsidR="001F31A9">
        <w:rPr>
          <w:lang w:val="pl-PL"/>
        </w:rPr>
        <w:t>.</w:t>
      </w:r>
      <w:r>
        <w:rPr>
          <w:lang w:val="pl-PL"/>
        </w:rPr>
        <w:t xml:space="preserve"> Oficjalne otwarcie kompleksu obiektów zaplanowano na 25 października</w:t>
      </w:r>
      <w:r w:rsidR="00A15328">
        <w:rPr>
          <w:lang w:val="pl-PL"/>
        </w:rPr>
        <w:t xml:space="preserve"> 2020 r.</w:t>
      </w:r>
      <w:r>
        <w:rPr>
          <w:lang w:val="pl-PL"/>
        </w:rPr>
        <w:t xml:space="preserve">, jednak </w:t>
      </w:r>
      <w:r w:rsidR="001F31A9">
        <w:rPr>
          <w:lang w:val="pl-PL"/>
        </w:rPr>
        <w:br/>
      </w:r>
      <w:r>
        <w:rPr>
          <w:lang w:val="pl-PL"/>
        </w:rPr>
        <w:t xml:space="preserve">z powodu </w:t>
      </w:r>
      <w:r w:rsidR="001F31A9">
        <w:rPr>
          <w:lang w:val="pl-PL"/>
        </w:rPr>
        <w:t>pandemii</w:t>
      </w:r>
      <w:r>
        <w:rPr>
          <w:lang w:val="pl-PL"/>
        </w:rPr>
        <w:t xml:space="preserve"> zadecy</w:t>
      </w:r>
      <w:r w:rsidR="001F31A9">
        <w:rPr>
          <w:lang w:val="pl-PL"/>
        </w:rPr>
        <w:t>dowano o przełożeniu imprezy na inny, bezpieczny termin.</w:t>
      </w:r>
    </w:p>
    <w:p w:rsidR="00145DB4" w:rsidRDefault="00145DB4" w:rsidP="009C7C02">
      <w:pPr>
        <w:spacing w:line="240" w:lineRule="auto"/>
        <w:ind w:firstLine="709"/>
        <w:jc w:val="both"/>
        <w:rPr>
          <w:lang w:val="pl-PL"/>
        </w:rPr>
      </w:pPr>
    </w:p>
    <w:p w:rsidR="00AE6BCB" w:rsidRPr="00484FAD" w:rsidRDefault="00AE6BCB" w:rsidP="001F31A9">
      <w:pPr>
        <w:pStyle w:val="Nagwek2"/>
        <w:numPr>
          <w:ilvl w:val="0"/>
          <w:numId w:val="0"/>
        </w:numPr>
        <w:spacing w:before="0" w:after="0" w:line="240" w:lineRule="auto"/>
        <w:jc w:val="both"/>
        <w:rPr>
          <w:rFonts w:ascii="Times New Roman" w:hAnsi="Times New Roman" w:cs="Times New Roman"/>
          <w:lang w:val="pl-PL"/>
        </w:rPr>
      </w:pPr>
      <w:bookmarkStart w:id="125" w:name="__RefHeading__31998_2082197896"/>
      <w:bookmarkStart w:id="126" w:name="__RefHeading__32000_2082197896"/>
      <w:bookmarkStart w:id="127" w:name="__RefHeading__32002_2082197896"/>
      <w:bookmarkStart w:id="128" w:name="_Toc69477724"/>
      <w:bookmarkStart w:id="129" w:name="_Toc69372272"/>
      <w:bookmarkEnd w:id="125"/>
      <w:bookmarkEnd w:id="126"/>
      <w:bookmarkEnd w:id="127"/>
      <w:r w:rsidRPr="00484FAD">
        <w:rPr>
          <w:rFonts w:ascii="Times New Roman" w:hAnsi="Times New Roman" w:cs="Times New Roman"/>
          <w:color w:val="0070C0"/>
          <w:sz w:val="24"/>
          <w:lang w:val="pl-PL"/>
        </w:rPr>
        <w:t>Toruńska Orkiestra Symfoniczna</w:t>
      </w:r>
      <w:bookmarkEnd w:id="128"/>
      <w:bookmarkEnd w:id="129"/>
    </w:p>
    <w:p w:rsidR="00AE6BCB" w:rsidRDefault="00AE6BCB" w:rsidP="00484FAD">
      <w:pPr>
        <w:spacing w:line="240" w:lineRule="auto"/>
        <w:ind w:firstLine="709"/>
        <w:jc w:val="both"/>
        <w:rPr>
          <w:rFonts w:cs="Times New Roman"/>
          <w:bCs/>
          <w:lang w:val="pl-PL"/>
        </w:rPr>
      </w:pPr>
      <w:r>
        <w:rPr>
          <w:rFonts w:cs="Times New Roman"/>
          <w:bCs/>
          <w:lang w:val="pl-PL"/>
        </w:rPr>
        <w:t xml:space="preserve">We wrześniu 2020 r. TOS zainaugurowała swój 42. sezon artystyczny. </w:t>
      </w:r>
      <w:r w:rsidR="008E4E7C">
        <w:rPr>
          <w:rFonts w:cs="Times New Roman"/>
          <w:bCs/>
          <w:lang w:val="pl-PL"/>
        </w:rPr>
        <w:t>O</w:t>
      </w:r>
      <w:r>
        <w:rPr>
          <w:rFonts w:cs="Times New Roman"/>
          <w:bCs/>
          <w:lang w:val="pl-PL"/>
        </w:rPr>
        <w:t>rkiestra zrealizowała łącznie 117 wydarzeń, z których 62 odbyły się na żywo z udz</w:t>
      </w:r>
      <w:r w:rsidR="0061351F">
        <w:rPr>
          <w:rFonts w:cs="Times New Roman"/>
          <w:bCs/>
          <w:lang w:val="pl-PL"/>
        </w:rPr>
        <w:t>iałem publiczności (</w:t>
      </w:r>
      <w:r w:rsidR="004C14AC">
        <w:rPr>
          <w:rFonts w:cs="Times New Roman"/>
          <w:bCs/>
          <w:lang w:val="pl-PL"/>
        </w:rPr>
        <w:t xml:space="preserve">prawie </w:t>
      </w:r>
      <w:r w:rsidR="008E4E7C">
        <w:rPr>
          <w:rFonts w:cs="Times New Roman"/>
          <w:bCs/>
          <w:lang w:val="pl-PL"/>
        </w:rPr>
        <w:t>35</w:t>
      </w:r>
      <w:r w:rsidR="004C14AC">
        <w:rPr>
          <w:rFonts w:cs="Times New Roman"/>
          <w:bCs/>
          <w:lang w:val="pl-PL"/>
        </w:rPr>
        <w:t>,9 tys.</w:t>
      </w:r>
      <w:r w:rsidR="0061351F">
        <w:rPr>
          <w:rFonts w:cs="Times New Roman"/>
          <w:bCs/>
          <w:lang w:val="pl-PL"/>
        </w:rPr>
        <w:t xml:space="preserve"> osób)</w:t>
      </w:r>
      <w:r>
        <w:rPr>
          <w:rFonts w:cs="Times New Roman"/>
          <w:bCs/>
          <w:lang w:val="pl-PL"/>
        </w:rPr>
        <w:t xml:space="preserve"> a pozostałe 55 w przestrzeni wi</w:t>
      </w:r>
      <w:r w:rsidR="008E4E7C">
        <w:rPr>
          <w:rFonts w:cs="Times New Roman"/>
          <w:bCs/>
          <w:lang w:val="pl-PL"/>
        </w:rPr>
        <w:t xml:space="preserve">rtualnej, gromadząc łącznie </w:t>
      </w:r>
      <w:r w:rsidR="004C14AC">
        <w:rPr>
          <w:rFonts w:cs="Times New Roman"/>
          <w:bCs/>
          <w:lang w:val="pl-PL"/>
        </w:rPr>
        <w:t xml:space="preserve">prawie </w:t>
      </w:r>
      <w:r w:rsidR="0061351F">
        <w:rPr>
          <w:rFonts w:cs="Times New Roman"/>
          <w:bCs/>
          <w:lang w:val="pl-PL"/>
        </w:rPr>
        <w:br/>
      </w:r>
      <w:r w:rsidR="004C14AC">
        <w:rPr>
          <w:rFonts w:cs="Times New Roman"/>
          <w:bCs/>
          <w:lang w:val="pl-PL"/>
        </w:rPr>
        <w:t>581 tys.</w:t>
      </w:r>
      <w:r>
        <w:rPr>
          <w:rFonts w:cs="Times New Roman"/>
          <w:bCs/>
          <w:lang w:val="pl-PL"/>
        </w:rPr>
        <w:t xml:space="preserve"> odbiorców. Instytucja zrealizowała również 127 audycji stacjonarnych dla 16</w:t>
      </w:r>
      <w:r w:rsidR="004C14AC">
        <w:rPr>
          <w:rFonts w:cs="Times New Roman"/>
          <w:bCs/>
          <w:lang w:val="pl-PL"/>
        </w:rPr>
        <w:t xml:space="preserve">,3 tys. </w:t>
      </w:r>
      <w:r>
        <w:rPr>
          <w:rFonts w:cs="Times New Roman"/>
          <w:bCs/>
          <w:lang w:val="pl-PL"/>
        </w:rPr>
        <w:t xml:space="preserve">odbiorców, a także 86 akcji podczas lockdownu w ramach akcji #zostańwdomuzTOS. W roku </w:t>
      </w:r>
      <w:r w:rsidR="0061351F">
        <w:rPr>
          <w:rFonts w:cs="Times New Roman"/>
          <w:bCs/>
          <w:lang w:val="pl-PL"/>
        </w:rPr>
        <w:t>sprawozdawczym</w:t>
      </w:r>
      <w:r>
        <w:rPr>
          <w:rFonts w:cs="Times New Roman"/>
          <w:bCs/>
          <w:lang w:val="pl-PL"/>
        </w:rPr>
        <w:t xml:space="preserve"> odbyło się 35 koncertów repertuarowych, w tym 23 na żywo, a 12 on-line. Zrealizowano również 16 wydarzeń w ramach 24. Międzynarodowego Festiwalu Nova Muzyka i Architektura. Ponadto</w:t>
      </w:r>
      <w:r w:rsidR="0061351F">
        <w:rPr>
          <w:rFonts w:cs="Times New Roman"/>
          <w:bCs/>
          <w:lang w:val="pl-PL"/>
        </w:rPr>
        <w:t>,</w:t>
      </w:r>
      <w:r>
        <w:rPr>
          <w:rFonts w:cs="Times New Roman"/>
          <w:bCs/>
          <w:lang w:val="pl-PL"/>
        </w:rPr>
        <w:t xml:space="preserve"> w ramach środków pozyskanych z programu „Kultura </w:t>
      </w:r>
      <w:r w:rsidR="0061351F">
        <w:rPr>
          <w:rFonts w:cs="Times New Roman"/>
          <w:bCs/>
          <w:lang w:val="pl-PL"/>
        </w:rPr>
        <w:br/>
      </w:r>
      <w:r>
        <w:rPr>
          <w:rFonts w:cs="Times New Roman"/>
          <w:bCs/>
          <w:lang w:val="pl-PL"/>
        </w:rPr>
        <w:t>w sieci”</w:t>
      </w:r>
      <w:r w:rsidR="0061351F">
        <w:rPr>
          <w:rFonts w:cs="Times New Roman"/>
          <w:bCs/>
          <w:lang w:val="pl-PL"/>
        </w:rPr>
        <w:t>,</w:t>
      </w:r>
      <w:r>
        <w:rPr>
          <w:rFonts w:cs="Times New Roman"/>
          <w:bCs/>
          <w:lang w:val="pl-PL"/>
        </w:rPr>
        <w:t xml:space="preserve"> orkiestra przygotowała i zrealizowała w czerwcu „Nieo</w:t>
      </w:r>
      <w:r w:rsidR="008E4E7C">
        <w:rPr>
          <w:rFonts w:cs="Times New Roman"/>
          <w:bCs/>
          <w:lang w:val="pl-PL"/>
        </w:rPr>
        <w:t xml:space="preserve">dwołany Festiwal – Toruń 2020”. </w:t>
      </w:r>
      <w:r>
        <w:rPr>
          <w:rFonts w:cs="Times New Roman"/>
          <w:bCs/>
          <w:lang w:val="pl-PL"/>
        </w:rPr>
        <w:t xml:space="preserve">We wrześniu i październiku </w:t>
      </w:r>
      <w:r w:rsidR="008E4E7C">
        <w:rPr>
          <w:rFonts w:cs="Times New Roman"/>
          <w:bCs/>
          <w:lang w:val="pl-PL"/>
        </w:rPr>
        <w:t xml:space="preserve">2020 r. </w:t>
      </w:r>
      <w:r>
        <w:rPr>
          <w:rFonts w:cs="Times New Roman"/>
          <w:bCs/>
          <w:lang w:val="pl-PL"/>
        </w:rPr>
        <w:t>w ramac</w:t>
      </w:r>
      <w:r w:rsidR="008E4E7C">
        <w:rPr>
          <w:rFonts w:cs="Times New Roman"/>
          <w:bCs/>
          <w:lang w:val="pl-PL"/>
        </w:rPr>
        <w:t>h budżetu obywatelskiego</w:t>
      </w:r>
      <w:r>
        <w:rPr>
          <w:rFonts w:cs="Times New Roman"/>
          <w:bCs/>
          <w:lang w:val="pl-PL"/>
        </w:rPr>
        <w:t xml:space="preserve"> dodatkowo zrealizowany został projekt „Raz</w:t>
      </w:r>
      <w:r w:rsidR="008E4E7C">
        <w:rPr>
          <w:rFonts w:cs="Times New Roman"/>
          <w:bCs/>
          <w:lang w:val="pl-PL"/>
        </w:rPr>
        <w:t>, dwa, trzy – muzyczne Bielawy”.</w:t>
      </w:r>
      <w:r w:rsidR="00484FAD">
        <w:rPr>
          <w:rFonts w:cs="Times New Roman"/>
          <w:bCs/>
          <w:lang w:val="pl-PL"/>
        </w:rPr>
        <w:t xml:space="preserve"> </w:t>
      </w:r>
      <w:r>
        <w:rPr>
          <w:rFonts w:cs="Times New Roman"/>
          <w:bCs/>
          <w:lang w:val="pl-PL"/>
        </w:rPr>
        <w:t>Najważniejszym wydarzeniem 2020 r. był uroczysty koncert z okazji 100. rocznicy powrotu Torunia do wolnej Polski, zrealizowa</w:t>
      </w:r>
      <w:r w:rsidR="008E4E7C">
        <w:rPr>
          <w:rFonts w:cs="Times New Roman"/>
          <w:bCs/>
          <w:lang w:val="pl-PL"/>
        </w:rPr>
        <w:t>ny w Arenie Toruń dla ponad 7 tys.</w:t>
      </w:r>
      <w:r>
        <w:rPr>
          <w:rFonts w:cs="Times New Roman"/>
          <w:bCs/>
          <w:lang w:val="pl-PL"/>
        </w:rPr>
        <w:t xml:space="preserve"> odbiorców. Natomiast, koncertem </w:t>
      </w:r>
      <w:r w:rsidR="00E60909">
        <w:rPr>
          <w:rFonts w:cs="Times New Roman"/>
          <w:bCs/>
          <w:lang w:val="pl-PL"/>
        </w:rPr>
        <w:br/>
      </w:r>
      <w:r>
        <w:rPr>
          <w:rFonts w:cs="Times New Roman"/>
          <w:bCs/>
          <w:lang w:val="pl-PL"/>
        </w:rPr>
        <w:t xml:space="preserve">w dniu 31 stycznia </w:t>
      </w:r>
      <w:r w:rsidR="00E60909">
        <w:rPr>
          <w:rFonts w:cs="Times New Roman"/>
          <w:bCs/>
          <w:lang w:val="pl-PL"/>
        </w:rPr>
        <w:t xml:space="preserve">2020 r. </w:t>
      </w:r>
      <w:r>
        <w:rPr>
          <w:rFonts w:cs="Times New Roman"/>
          <w:bCs/>
          <w:lang w:val="pl-PL"/>
        </w:rPr>
        <w:t>zainaugurowano toruńskie obchody 250. rocznicy urodzin Ludwiga van Beethovena w ramach projektu „Viva Beethoven</w:t>
      </w:r>
      <w:r w:rsidR="008E4E7C">
        <w:rPr>
          <w:rFonts w:cs="Times New Roman"/>
          <w:bCs/>
          <w:lang w:val="pl-PL"/>
        </w:rPr>
        <w:t>”</w:t>
      </w:r>
    </w:p>
    <w:p w:rsidR="008E4E7C" w:rsidRDefault="008E4E7C" w:rsidP="009C7C02">
      <w:pPr>
        <w:spacing w:line="240" w:lineRule="auto"/>
        <w:ind w:firstLine="709"/>
        <w:jc w:val="both"/>
        <w:rPr>
          <w:rFonts w:cs="Times New Roman"/>
          <w:bCs/>
          <w:color w:val="FF0000"/>
          <w:lang w:val="pl-PL"/>
        </w:rPr>
      </w:pPr>
    </w:p>
    <w:p w:rsidR="00AE6BCB" w:rsidRPr="00D06A0A" w:rsidRDefault="00AE6BCB" w:rsidP="009C7C02">
      <w:pPr>
        <w:pStyle w:val="Nagwek2"/>
        <w:spacing w:before="0" w:after="0" w:line="240" w:lineRule="auto"/>
        <w:jc w:val="both"/>
        <w:rPr>
          <w:rFonts w:ascii="Times New Roman" w:hAnsi="Times New Roman" w:cs="Times New Roman"/>
          <w:sz w:val="24"/>
          <w:szCs w:val="24"/>
          <w:lang w:val="pl-PL"/>
        </w:rPr>
      </w:pPr>
      <w:bookmarkStart w:id="130" w:name="__RefHeading__32004_2082197896"/>
      <w:bookmarkStart w:id="131" w:name="_Toc69477725"/>
      <w:bookmarkStart w:id="132" w:name="_Toc69372273"/>
      <w:bookmarkEnd w:id="130"/>
      <w:r w:rsidRPr="00D06A0A">
        <w:rPr>
          <w:rFonts w:ascii="Times New Roman" w:hAnsi="Times New Roman" w:cs="Times New Roman"/>
          <w:color w:val="0070C0"/>
          <w:sz w:val="24"/>
          <w:lang w:val="pl-PL"/>
        </w:rPr>
        <w:t>Centrum Sztuki Współczesnej</w:t>
      </w:r>
      <w:bookmarkEnd w:id="131"/>
      <w:bookmarkEnd w:id="132"/>
    </w:p>
    <w:p w:rsidR="00AE6BCB" w:rsidRPr="00017625" w:rsidRDefault="00AE6BCB" w:rsidP="00484FAD">
      <w:pPr>
        <w:spacing w:line="240" w:lineRule="auto"/>
        <w:ind w:firstLine="709"/>
        <w:jc w:val="both"/>
        <w:rPr>
          <w:bCs/>
          <w:lang w:val="pl-PL"/>
        </w:rPr>
      </w:pPr>
      <w:r>
        <w:rPr>
          <w:bCs/>
          <w:lang w:val="pl-PL"/>
        </w:rPr>
        <w:t xml:space="preserve">W Centrum Sztuki Współczesnej </w:t>
      </w:r>
      <w:r w:rsidR="008E4E7C">
        <w:rPr>
          <w:bCs/>
          <w:lang w:val="pl-PL"/>
        </w:rPr>
        <w:t xml:space="preserve">„Znaki Czasu” w 2020 </w:t>
      </w:r>
      <w:r>
        <w:rPr>
          <w:bCs/>
          <w:lang w:val="pl-PL"/>
        </w:rPr>
        <w:t>r. łącznie zrealizowano 718 działań artystyczn</w:t>
      </w:r>
      <w:r w:rsidR="008E4E7C">
        <w:rPr>
          <w:bCs/>
          <w:lang w:val="pl-PL"/>
        </w:rPr>
        <w:t>ych i 206 edukacyjnych,</w:t>
      </w:r>
      <w:r w:rsidR="004C14AC">
        <w:rPr>
          <w:bCs/>
          <w:lang w:val="pl-PL"/>
        </w:rPr>
        <w:t xml:space="preserve"> dla prawie</w:t>
      </w:r>
      <w:r w:rsidR="008E4E7C">
        <w:rPr>
          <w:bCs/>
          <w:lang w:val="pl-PL"/>
        </w:rPr>
        <w:t xml:space="preserve">  32</w:t>
      </w:r>
      <w:r w:rsidR="004C14AC">
        <w:rPr>
          <w:bCs/>
          <w:lang w:val="pl-PL"/>
        </w:rPr>
        <w:t>,8 tys.</w:t>
      </w:r>
      <w:r w:rsidR="008E4E7C">
        <w:rPr>
          <w:bCs/>
          <w:lang w:val="pl-PL"/>
        </w:rPr>
        <w:t xml:space="preserve"> odbiorców.</w:t>
      </w:r>
      <w:r>
        <w:rPr>
          <w:bCs/>
          <w:lang w:val="pl-PL"/>
        </w:rPr>
        <w:t xml:space="preserve"> </w:t>
      </w:r>
      <w:r w:rsidR="00D73A1B">
        <w:rPr>
          <w:bCs/>
          <w:lang w:val="pl-PL"/>
        </w:rPr>
        <w:t>W</w:t>
      </w:r>
      <w:r>
        <w:rPr>
          <w:bCs/>
          <w:lang w:val="pl-PL"/>
        </w:rPr>
        <w:t xml:space="preserve"> 2020 r. </w:t>
      </w:r>
      <w:r w:rsidR="00484FAD">
        <w:rPr>
          <w:bCs/>
          <w:lang w:val="pl-PL"/>
        </w:rPr>
        <w:br/>
      </w:r>
      <w:r w:rsidR="00D73A1B">
        <w:rPr>
          <w:bCs/>
          <w:lang w:val="pl-PL"/>
        </w:rPr>
        <w:t xml:space="preserve">w muzeum zrealizowało </w:t>
      </w:r>
      <w:r>
        <w:rPr>
          <w:bCs/>
          <w:lang w:val="pl-PL"/>
        </w:rPr>
        <w:t>7 wystaw</w:t>
      </w:r>
      <w:r w:rsidR="00D73A1B">
        <w:rPr>
          <w:bCs/>
          <w:lang w:val="pl-PL"/>
        </w:rPr>
        <w:t xml:space="preserve"> m.in.</w:t>
      </w:r>
      <w:r w:rsidR="008E4E7C">
        <w:rPr>
          <w:bCs/>
          <w:lang w:val="pl-PL"/>
        </w:rPr>
        <w:t xml:space="preserve"> „Dyplom 2019”. </w:t>
      </w:r>
      <w:r w:rsidR="00D73A1B">
        <w:rPr>
          <w:bCs/>
          <w:lang w:val="pl-PL"/>
        </w:rPr>
        <w:t xml:space="preserve">Najważniejszym wydarzeniem była jednak </w:t>
      </w:r>
      <w:r>
        <w:rPr>
          <w:bCs/>
          <w:lang w:val="pl-PL"/>
        </w:rPr>
        <w:t>wystawa t</w:t>
      </w:r>
      <w:r w:rsidR="00D73A1B">
        <w:rPr>
          <w:bCs/>
          <w:lang w:val="pl-PL"/>
        </w:rPr>
        <w:t>owarzysząca 28. Międzynarodowemu Festiwalowi Filmowemu</w:t>
      </w:r>
      <w:r>
        <w:rPr>
          <w:bCs/>
          <w:lang w:val="pl-PL"/>
        </w:rPr>
        <w:t xml:space="preserve"> EnergaCamerimage 2020 – „Helmut Newton: Lubię silne kobiety”</w:t>
      </w:r>
      <w:r>
        <w:rPr>
          <w:bCs/>
          <w:i/>
          <w:lang w:val="pl-PL"/>
        </w:rPr>
        <w:t xml:space="preserve">. </w:t>
      </w:r>
      <w:r>
        <w:rPr>
          <w:bCs/>
          <w:lang w:val="pl-PL"/>
        </w:rPr>
        <w:t>Instytucja zrealizowała również 11. edycję Międzynarodowego Festiwal</w:t>
      </w:r>
      <w:r w:rsidR="00017625">
        <w:rPr>
          <w:bCs/>
          <w:lang w:val="pl-PL"/>
        </w:rPr>
        <w:t>u Grafiki Projektowej „Plaster”.</w:t>
      </w:r>
      <w:r>
        <w:rPr>
          <w:bCs/>
          <w:lang w:val="pl-PL"/>
        </w:rPr>
        <w:t xml:space="preserve"> W Centrum Sztuki Filmowej odbyło się łącznie 529 pokazów </w:t>
      </w:r>
      <w:r w:rsidR="00D73A1B">
        <w:rPr>
          <w:bCs/>
          <w:lang w:val="pl-PL"/>
        </w:rPr>
        <w:t xml:space="preserve">kina </w:t>
      </w:r>
      <w:r>
        <w:rPr>
          <w:bCs/>
          <w:lang w:val="pl-PL"/>
        </w:rPr>
        <w:t xml:space="preserve">artystycznego, które łącznie obejrzało </w:t>
      </w:r>
      <w:r w:rsidR="00D73A1B">
        <w:rPr>
          <w:bCs/>
          <w:lang w:val="pl-PL"/>
        </w:rPr>
        <w:t xml:space="preserve">ponad </w:t>
      </w:r>
      <w:r>
        <w:rPr>
          <w:bCs/>
          <w:lang w:val="pl-PL"/>
        </w:rPr>
        <w:t>6</w:t>
      </w:r>
      <w:r w:rsidR="004C14AC">
        <w:rPr>
          <w:bCs/>
          <w:lang w:val="pl-PL"/>
        </w:rPr>
        <w:t>,6</w:t>
      </w:r>
      <w:r w:rsidR="00D73A1B">
        <w:rPr>
          <w:bCs/>
          <w:lang w:val="pl-PL"/>
        </w:rPr>
        <w:t xml:space="preserve"> tys.</w:t>
      </w:r>
      <w:r>
        <w:rPr>
          <w:bCs/>
          <w:lang w:val="pl-PL"/>
        </w:rPr>
        <w:t xml:space="preserve"> widzów. Realizowane</w:t>
      </w:r>
      <w:r w:rsidR="00D73A1B">
        <w:rPr>
          <w:bCs/>
          <w:lang w:val="pl-PL"/>
        </w:rPr>
        <w:t xml:space="preserve"> były </w:t>
      </w:r>
      <w:r w:rsidR="00017625">
        <w:rPr>
          <w:bCs/>
          <w:lang w:val="pl-PL"/>
        </w:rPr>
        <w:t xml:space="preserve">także </w:t>
      </w:r>
      <w:r w:rsidR="00D73A1B">
        <w:rPr>
          <w:bCs/>
          <w:lang w:val="pl-PL"/>
        </w:rPr>
        <w:t xml:space="preserve">cykle filmoznawcze, spotkania autorskie, wykłady i warsztaty. Natomiast w </w:t>
      </w:r>
      <w:r>
        <w:rPr>
          <w:bCs/>
          <w:lang w:val="pl-PL"/>
        </w:rPr>
        <w:t>Centrum Literatury odbyło się 8 w</w:t>
      </w:r>
      <w:r w:rsidR="00D73A1B">
        <w:rPr>
          <w:bCs/>
          <w:lang w:val="pl-PL"/>
        </w:rPr>
        <w:t>ydarzeń, w których udział wzięło</w:t>
      </w:r>
      <w:r>
        <w:rPr>
          <w:bCs/>
          <w:lang w:val="pl-PL"/>
        </w:rPr>
        <w:t xml:space="preserve"> </w:t>
      </w:r>
      <w:r w:rsidR="00D73A1B">
        <w:rPr>
          <w:bCs/>
          <w:lang w:val="pl-PL"/>
        </w:rPr>
        <w:t xml:space="preserve">ponad 1,5 tys. osób. </w:t>
      </w:r>
      <w:r w:rsidR="00017625">
        <w:rPr>
          <w:bCs/>
          <w:lang w:val="pl-PL"/>
        </w:rPr>
        <w:t xml:space="preserve">W okresie obostrzeń wynikających ze stanu pandemii placówka prowadziła także działania </w:t>
      </w:r>
      <w:r>
        <w:rPr>
          <w:bCs/>
          <w:lang w:val="pl-PL"/>
        </w:rPr>
        <w:t>on-line</w:t>
      </w:r>
      <w:r w:rsidR="00017625">
        <w:rPr>
          <w:bCs/>
          <w:lang w:val="pl-PL"/>
        </w:rPr>
        <w:t>, które trafiły do prawie 535</w:t>
      </w:r>
      <w:r>
        <w:rPr>
          <w:bCs/>
          <w:lang w:val="pl-PL"/>
        </w:rPr>
        <w:t xml:space="preserve"> </w:t>
      </w:r>
      <w:r w:rsidR="00017625">
        <w:rPr>
          <w:bCs/>
          <w:lang w:val="pl-PL"/>
        </w:rPr>
        <w:t>tys.</w:t>
      </w:r>
      <w:r>
        <w:rPr>
          <w:bCs/>
          <w:lang w:val="pl-PL"/>
        </w:rPr>
        <w:t xml:space="preserve"> odbiorców. </w:t>
      </w:r>
    </w:p>
    <w:p w:rsidR="00AE6BCB" w:rsidRDefault="00AE6BCB" w:rsidP="009C7C02">
      <w:pPr>
        <w:spacing w:line="240" w:lineRule="auto"/>
        <w:ind w:firstLine="709"/>
        <w:jc w:val="both"/>
        <w:rPr>
          <w:bCs/>
          <w:color w:val="FF0000"/>
          <w:lang w:val="pl-PL"/>
        </w:rPr>
      </w:pPr>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133" w:name="__RefHeading__32006_2082197896"/>
      <w:bookmarkStart w:id="134" w:name="_Toc69477726"/>
      <w:bookmarkStart w:id="135" w:name="_Toc69372274"/>
      <w:bookmarkEnd w:id="133"/>
      <w:r w:rsidRPr="00484FAD">
        <w:rPr>
          <w:rFonts w:ascii="Times New Roman" w:hAnsi="Times New Roman" w:cs="Times New Roman"/>
          <w:color w:val="0070C0"/>
          <w:sz w:val="24"/>
          <w:lang w:val="pl-PL"/>
        </w:rPr>
        <w:t>Centrum Kultury Dwór Artusa</w:t>
      </w:r>
      <w:bookmarkEnd w:id="134"/>
      <w:bookmarkEnd w:id="135"/>
    </w:p>
    <w:p w:rsidR="00AE6BCB" w:rsidRDefault="00AE6BCB" w:rsidP="00145DB4">
      <w:pPr>
        <w:spacing w:line="240" w:lineRule="auto"/>
        <w:ind w:firstLine="709"/>
        <w:jc w:val="both"/>
        <w:rPr>
          <w:lang w:val="pl-PL"/>
        </w:rPr>
      </w:pPr>
      <w:r>
        <w:rPr>
          <w:lang w:val="pl-PL"/>
        </w:rPr>
        <w:t xml:space="preserve">W 2020 r. instytucja zrealizowała łącznie 673 imprezy własne i z udziałem innych organizatorów, w których uczestniczyło łącznie </w:t>
      </w:r>
      <w:r w:rsidR="00017625">
        <w:rPr>
          <w:lang w:val="pl-PL"/>
        </w:rPr>
        <w:t>ponad 530 tys.</w:t>
      </w:r>
      <w:r>
        <w:rPr>
          <w:lang w:val="pl-PL"/>
        </w:rPr>
        <w:t xml:space="preserve"> </w:t>
      </w:r>
      <w:r w:rsidR="00017625">
        <w:rPr>
          <w:lang w:val="pl-PL"/>
        </w:rPr>
        <w:t>odbiorców</w:t>
      </w:r>
      <w:r>
        <w:rPr>
          <w:lang w:val="pl-PL"/>
        </w:rPr>
        <w:t xml:space="preserve">, w tym: 33 koncerty, </w:t>
      </w:r>
      <w:r w:rsidR="00017625">
        <w:rPr>
          <w:lang w:val="pl-PL"/>
        </w:rPr>
        <w:t xml:space="preserve">spektakle, występy kabaretowe, 11 wystaw, 554 działania edukacyjne oraz 35 imprez kinowych. </w:t>
      </w:r>
      <w:r w:rsidR="00017625">
        <w:rPr>
          <w:bCs/>
          <w:lang w:val="pl-PL"/>
        </w:rPr>
        <w:t>W okresie obostrzeń wynikających ze stanu pandemii placówka prowadziła także działania on-line</w:t>
      </w:r>
      <w:r w:rsidR="00017625">
        <w:rPr>
          <w:lang w:val="pl-PL"/>
        </w:rPr>
        <w:t xml:space="preserve"> (</w:t>
      </w:r>
      <w:r w:rsidR="004C14AC">
        <w:rPr>
          <w:lang w:val="pl-PL"/>
        </w:rPr>
        <w:t>177 wydarzeń).</w:t>
      </w:r>
      <w:r w:rsidR="00484FAD">
        <w:rPr>
          <w:lang w:val="pl-PL"/>
        </w:rPr>
        <w:t xml:space="preserve"> </w:t>
      </w:r>
      <w:r>
        <w:rPr>
          <w:lang w:val="pl-PL"/>
        </w:rPr>
        <w:t>W programie kulturalnym zrealizowanym przez centrum warto odnotować w szczególności 26. Toruński Festiwal Książki,</w:t>
      </w:r>
      <w:r w:rsidR="00017625">
        <w:rPr>
          <w:lang w:val="pl-PL"/>
        </w:rPr>
        <w:t xml:space="preserve"> w tym m.in. spotkania</w:t>
      </w:r>
      <w:r>
        <w:rPr>
          <w:lang w:val="pl-PL"/>
        </w:rPr>
        <w:t xml:space="preserve"> </w:t>
      </w:r>
      <w:r w:rsidR="00017625">
        <w:rPr>
          <w:lang w:val="pl-PL"/>
        </w:rPr>
        <w:t>z laureatami</w:t>
      </w:r>
      <w:r>
        <w:rPr>
          <w:lang w:val="pl-PL"/>
        </w:rPr>
        <w:t xml:space="preserve"> Nagrody Nike </w:t>
      </w:r>
      <w:r w:rsidR="00017625">
        <w:rPr>
          <w:lang w:val="pl-PL"/>
        </w:rPr>
        <w:t xml:space="preserve">i </w:t>
      </w:r>
      <w:r>
        <w:rPr>
          <w:lang w:val="pl-PL"/>
        </w:rPr>
        <w:t xml:space="preserve">kilka wydarzeń poświęconych noblistce Oldze Tokarczuk. W ramach </w:t>
      </w:r>
      <w:r>
        <w:rPr>
          <w:rFonts w:cs="font526"/>
          <w:lang w:val="pl-PL" w:eastAsia="en-US" w:bidi="en-US"/>
        </w:rPr>
        <w:t>budżetu obywatelskiego Dwór Artusa realizował projekt „</w:t>
      </w:r>
      <w:r>
        <w:rPr>
          <w:bCs/>
          <w:lang w:val="pl-PL"/>
        </w:rPr>
        <w:t>Fantastyczna inicjatywa kultural</w:t>
      </w:r>
      <w:r w:rsidR="004C14AC">
        <w:rPr>
          <w:bCs/>
          <w:lang w:val="pl-PL"/>
        </w:rPr>
        <w:t xml:space="preserve">na – Fantastyczny Dom Kultury”, </w:t>
      </w:r>
      <w:r>
        <w:rPr>
          <w:lang w:val="pl-PL"/>
        </w:rPr>
        <w:t xml:space="preserve">w których wzięło udział 706 osób. </w:t>
      </w:r>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136" w:name="__RefHeading__32008_2082197896"/>
      <w:bookmarkStart w:id="137" w:name="_Toc69477727"/>
      <w:bookmarkStart w:id="138" w:name="_Toc69372275"/>
      <w:bookmarkEnd w:id="136"/>
      <w:r w:rsidRPr="00484FAD">
        <w:rPr>
          <w:rFonts w:ascii="Times New Roman" w:hAnsi="Times New Roman" w:cs="Times New Roman"/>
          <w:color w:val="0070C0"/>
          <w:sz w:val="24"/>
          <w:lang w:val="pl-PL"/>
        </w:rPr>
        <w:lastRenderedPageBreak/>
        <w:t>Centrum Kultury Zamek Krzyżacki</w:t>
      </w:r>
      <w:bookmarkEnd w:id="137"/>
      <w:bookmarkEnd w:id="138"/>
    </w:p>
    <w:p w:rsidR="008F7086" w:rsidRDefault="00AE6BCB" w:rsidP="008F7086">
      <w:pPr>
        <w:pStyle w:val="Tekstpodstawowy"/>
        <w:spacing w:after="0" w:line="240" w:lineRule="auto"/>
        <w:ind w:firstLine="709"/>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W 2020 r. centrum realizowało </w:t>
      </w:r>
      <w:r>
        <w:rPr>
          <w:rFonts w:ascii="Times New Roman" w:hAnsi="Times New Roman" w:cs="Times New Roman"/>
          <w:sz w:val="24"/>
          <w:szCs w:val="24"/>
        </w:rPr>
        <w:t xml:space="preserve">imprezy plenerowe popularyzujące miejsce i jego historię, m.in. wykłady, „żywe lekcje historii”, animowane zwiedzanie zamku. Niestety </w:t>
      </w:r>
      <w:r w:rsidR="00484FAD">
        <w:rPr>
          <w:rFonts w:ascii="Times New Roman" w:hAnsi="Times New Roman" w:cs="Times New Roman"/>
          <w:sz w:val="24"/>
          <w:szCs w:val="24"/>
        </w:rPr>
        <w:br/>
      </w:r>
      <w:r>
        <w:rPr>
          <w:rFonts w:ascii="Times New Roman" w:hAnsi="Times New Roman" w:cs="Times New Roman"/>
          <w:sz w:val="24"/>
          <w:szCs w:val="24"/>
        </w:rPr>
        <w:t xml:space="preserve">z uwagi na wprowadzone zakazy nie odbyło się wiele festynów i pokazów walk rycerskich, </w:t>
      </w:r>
      <w:r w:rsidR="00484FAD">
        <w:rPr>
          <w:rFonts w:ascii="Times New Roman" w:hAnsi="Times New Roman" w:cs="Times New Roman"/>
          <w:sz w:val="24"/>
          <w:szCs w:val="24"/>
        </w:rPr>
        <w:br/>
      </w:r>
      <w:r>
        <w:rPr>
          <w:rFonts w:ascii="Times New Roman" w:hAnsi="Times New Roman" w:cs="Times New Roman"/>
          <w:sz w:val="24"/>
          <w:szCs w:val="24"/>
        </w:rPr>
        <w:t xml:space="preserve">w tym m.in. Majówka Rycerska. </w:t>
      </w:r>
      <w:r w:rsidR="004C14AC">
        <w:rPr>
          <w:rFonts w:ascii="Times New Roman" w:hAnsi="Times New Roman" w:cs="Times New Roman"/>
          <w:bCs/>
          <w:sz w:val="24"/>
          <w:szCs w:val="24"/>
        </w:rPr>
        <w:t>Łącznie sprzedano ponad 15 tys.</w:t>
      </w:r>
      <w:r>
        <w:rPr>
          <w:rFonts w:ascii="Times New Roman" w:hAnsi="Times New Roman" w:cs="Times New Roman"/>
          <w:bCs/>
          <w:sz w:val="24"/>
          <w:szCs w:val="24"/>
        </w:rPr>
        <w:t xml:space="preserve"> biletów normalnych </w:t>
      </w:r>
      <w:r w:rsidR="00484FAD">
        <w:rPr>
          <w:rFonts w:ascii="Times New Roman" w:hAnsi="Times New Roman" w:cs="Times New Roman"/>
          <w:bCs/>
          <w:sz w:val="24"/>
          <w:szCs w:val="24"/>
        </w:rPr>
        <w:br/>
      </w:r>
      <w:r>
        <w:rPr>
          <w:rFonts w:ascii="Times New Roman" w:hAnsi="Times New Roman" w:cs="Times New Roman"/>
          <w:bCs/>
          <w:sz w:val="24"/>
          <w:szCs w:val="24"/>
        </w:rPr>
        <w:t>i</w:t>
      </w:r>
      <w:r w:rsidR="004C14AC">
        <w:rPr>
          <w:rFonts w:ascii="Times New Roman" w:hAnsi="Times New Roman" w:cs="Times New Roman"/>
          <w:bCs/>
          <w:sz w:val="24"/>
          <w:szCs w:val="24"/>
        </w:rPr>
        <w:t xml:space="preserve"> prawie 6,8 tys. </w:t>
      </w:r>
      <w:r>
        <w:rPr>
          <w:rFonts w:ascii="Times New Roman" w:hAnsi="Times New Roman" w:cs="Times New Roman"/>
          <w:bCs/>
          <w:sz w:val="24"/>
          <w:szCs w:val="24"/>
        </w:rPr>
        <w:t>ulgowych. Ogólna liczba osób zwiedzających i uczestniczących</w:t>
      </w:r>
      <w:r w:rsidR="00484FAD">
        <w:rPr>
          <w:rFonts w:ascii="Times New Roman" w:hAnsi="Times New Roman" w:cs="Times New Roman"/>
          <w:bCs/>
          <w:sz w:val="24"/>
          <w:szCs w:val="24"/>
        </w:rPr>
        <w:br/>
      </w:r>
      <w:r>
        <w:rPr>
          <w:rFonts w:ascii="Times New Roman" w:hAnsi="Times New Roman" w:cs="Times New Roman"/>
          <w:bCs/>
          <w:sz w:val="24"/>
          <w:szCs w:val="24"/>
        </w:rPr>
        <w:t xml:space="preserve">w wydarzeniach organizowanych przez centrum w 2020 r. i którym wydano bilety, wyniosła </w:t>
      </w:r>
      <w:r w:rsidR="004C14AC">
        <w:rPr>
          <w:rFonts w:ascii="Times New Roman" w:hAnsi="Times New Roman" w:cs="Times New Roman"/>
          <w:bCs/>
          <w:sz w:val="24"/>
          <w:szCs w:val="24"/>
        </w:rPr>
        <w:t>prawie 41,8 tys.</w:t>
      </w:r>
      <w:r>
        <w:rPr>
          <w:rFonts w:ascii="Times New Roman" w:hAnsi="Times New Roman" w:cs="Times New Roman"/>
          <w:bCs/>
          <w:sz w:val="24"/>
          <w:szCs w:val="24"/>
        </w:rPr>
        <w:t xml:space="preserve"> os</w:t>
      </w:r>
      <w:r w:rsidR="004C14AC">
        <w:rPr>
          <w:rFonts w:ascii="Times New Roman" w:hAnsi="Times New Roman" w:cs="Times New Roman"/>
          <w:bCs/>
          <w:sz w:val="24"/>
          <w:szCs w:val="24"/>
        </w:rPr>
        <w:t>ób.</w:t>
      </w:r>
      <w:bookmarkStart w:id="139" w:name="__RefHeading__32010_2082197896"/>
      <w:bookmarkStart w:id="140" w:name="_Toc69477728"/>
      <w:bookmarkStart w:id="141" w:name="_Toc69372276"/>
      <w:bookmarkEnd w:id="139"/>
    </w:p>
    <w:p w:rsidR="008F7086" w:rsidRDefault="008F7086" w:rsidP="008F7086">
      <w:pPr>
        <w:pStyle w:val="Tekstpodstawowy"/>
        <w:spacing w:after="0" w:line="240" w:lineRule="auto"/>
        <w:ind w:firstLine="709"/>
        <w:jc w:val="both"/>
        <w:rPr>
          <w:rFonts w:ascii="Times New Roman" w:hAnsi="Times New Roman" w:cs="Times New Roman"/>
          <w:bCs/>
          <w:color w:val="FF0000"/>
          <w:sz w:val="24"/>
          <w:szCs w:val="24"/>
        </w:rPr>
      </w:pPr>
    </w:p>
    <w:p w:rsidR="00AE6BCB" w:rsidRPr="008F7086" w:rsidRDefault="00AE6BCB" w:rsidP="008F7086">
      <w:pPr>
        <w:pStyle w:val="Tekstpodstawowy"/>
        <w:spacing w:after="0" w:line="240" w:lineRule="auto"/>
        <w:jc w:val="both"/>
        <w:rPr>
          <w:rFonts w:ascii="Times New Roman" w:hAnsi="Times New Roman" w:cs="Times New Roman"/>
          <w:bCs/>
          <w:color w:val="FF0000"/>
          <w:sz w:val="24"/>
          <w:szCs w:val="24"/>
        </w:rPr>
      </w:pPr>
      <w:r w:rsidRPr="008F7086">
        <w:rPr>
          <w:rFonts w:ascii="Times New Roman" w:hAnsi="Times New Roman" w:cs="Times New Roman"/>
          <w:b/>
          <w:i/>
          <w:color w:val="0070C0"/>
          <w:sz w:val="24"/>
        </w:rPr>
        <w:t>Toruńska Agenda Kulturalna</w:t>
      </w:r>
      <w:bookmarkEnd w:id="140"/>
      <w:bookmarkEnd w:id="141"/>
    </w:p>
    <w:p w:rsidR="00AE6BCB" w:rsidRDefault="00AE6BCB" w:rsidP="00484FAD">
      <w:pPr>
        <w:spacing w:line="240" w:lineRule="auto"/>
        <w:ind w:firstLine="709"/>
        <w:jc w:val="both"/>
        <w:rPr>
          <w:lang w:val="pl-PL"/>
        </w:rPr>
      </w:pPr>
      <w:r>
        <w:rPr>
          <w:bCs/>
          <w:lang w:val="pl-PL"/>
        </w:rPr>
        <w:t xml:space="preserve"> </w:t>
      </w:r>
      <w:r>
        <w:rPr>
          <w:lang w:val="pl-PL"/>
        </w:rPr>
        <w:t>W 2020 r. TAK współorganizowała i koordynowała realizację m.in. obchodów Święta Trzech Króli, Kulturalną Majówkę on-line, Święto Muzyki, Święto Miasta, Kulturalne Lato – Scena Letnia i Wigilii Miejskiej. Niestety warunki epidemiczne nie pozwoliły na realizację wydarzeń w planowanej formie, niemniej z udziałem p</w:t>
      </w:r>
      <w:r w:rsidR="004C14AC">
        <w:rPr>
          <w:lang w:val="pl-PL"/>
        </w:rPr>
        <w:t xml:space="preserve">ubliczności odbyły się: </w:t>
      </w:r>
      <w:r w:rsidR="008F7086">
        <w:rPr>
          <w:lang w:val="pl-PL"/>
        </w:rPr>
        <w:br/>
      </w:r>
      <w:r w:rsidR="004C14AC">
        <w:rPr>
          <w:lang w:val="pl-PL"/>
        </w:rPr>
        <w:t>6. Festiwal Teatrów Ulicznych</w:t>
      </w:r>
      <w:r w:rsidR="00B97B7B">
        <w:rPr>
          <w:lang w:val="pl-PL"/>
        </w:rPr>
        <w:t xml:space="preserve"> oraz</w:t>
      </w:r>
      <w:r w:rsidR="004C14AC">
        <w:rPr>
          <w:lang w:val="pl-PL"/>
        </w:rPr>
        <w:t xml:space="preserve"> </w:t>
      </w:r>
      <w:r>
        <w:rPr>
          <w:lang w:val="pl-PL"/>
        </w:rPr>
        <w:t xml:space="preserve">festiwal światła „Auto Skyway Festival. Lotnisko. Toruń. Województwo Kujawsko-Pomorskie”. </w:t>
      </w:r>
      <w:r w:rsidR="00B97B7B">
        <w:rPr>
          <w:lang w:val="pl-PL"/>
        </w:rPr>
        <w:t>T</w:t>
      </w:r>
      <w:r>
        <w:rPr>
          <w:lang w:val="pl-PL"/>
        </w:rPr>
        <w:t xml:space="preserve">rzecia edycja Archipelagu Zabawy, ze względu na pandemię i związane z nią obostrzenia, odbyła się w formule on-line. W ofercie festiwalu zaplanowano łącznie 15 wydarzeń, w tym 12 warsztatów prezentowanych w formie filmów, </w:t>
      </w:r>
      <w:r w:rsidR="008F7086">
        <w:rPr>
          <w:lang w:val="pl-PL"/>
        </w:rPr>
        <w:br/>
      </w:r>
      <w:r>
        <w:rPr>
          <w:lang w:val="pl-PL"/>
        </w:rPr>
        <w:t>1 audycję, 1 spektakl dla d</w:t>
      </w:r>
      <w:r w:rsidR="00B97B7B">
        <w:rPr>
          <w:lang w:val="pl-PL"/>
        </w:rPr>
        <w:t xml:space="preserve">zieci oraz koncert mikołajkowy a także </w:t>
      </w:r>
      <w:r>
        <w:rPr>
          <w:lang w:val="pl-PL"/>
        </w:rPr>
        <w:t>konkurs „Kreatywny pierniczek”</w:t>
      </w:r>
      <w:r w:rsidR="00B97B7B">
        <w:rPr>
          <w:lang w:val="pl-PL"/>
        </w:rPr>
        <w:t>.</w:t>
      </w:r>
      <w:r w:rsidR="00484FAD">
        <w:rPr>
          <w:lang w:val="pl-PL"/>
        </w:rPr>
        <w:t xml:space="preserve"> </w:t>
      </w:r>
      <w:r w:rsidR="00B97B7B">
        <w:rPr>
          <w:lang w:val="pl-PL"/>
        </w:rPr>
        <w:t>W ramach działań wspierających artystów w trudnym okresie pandemii</w:t>
      </w:r>
      <w:r>
        <w:rPr>
          <w:lang w:val="pl-PL"/>
        </w:rPr>
        <w:t xml:space="preserve"> </w:t>
      </w:r>
      <w:r w:rsidR="00B97B7B">
        <w:rPr>
          <w:lang w:val="pl-PL"/>
        </w:rPr>
        <w:t xml:space="preserve">ogłoszone zostały </w:t>
      </w:r>
      <w:r>
        <w:rPr>
          <w:lang w:val="pl-PL"/>
        </w:rPr>
        <w:t xml:space="preserve"> </w:t>
      </w:r>
      <w:r w:rsidR="00B97B7B">
        <w:rPr>
          <w:lang w:val="pl-PL"/>
        </w:rPr>
        <w:t xml:space="preserve">konkursy „Daj Sztukę” oraz </w:t>
      </w:r>
      <w:r>
        <w:rPr>
          <w:lang w:val="pl-PL"/>
        </w:rPr>
        <w:t xml:space="preserve">„Daj Sztukę 2 – edycja świąteczna”. </w:t>
      </w:r>
    </w:p>
    <w:p w:rsidR="00B97B7B" w:rsidRDefault="00B97B7B" w:rsidP="009C7C02">
      <w:pPr>
        <w:spacing w:line="240" w:lineRule="auto"/>
        <w:ind w:firstLine="709"/>
        <w:jc w:val="both"/>
        <w:rPr>
          <w:color w:val="FF0000"/>
          <w:lang w:val="pl-PL"/>
        </w:rPr>
      </w:pPr>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142" w:name="__RefHeading__32012_2082197896"/>
      <w:bookmarkStart w:id="143" w:name="_Toc69477729"/>
      <w:bookmarkStart w:id="144" w:name="_Toc69372277"/>
      <w:bookmarkEnd w:id="142"/>
      <w:r w:rsidRPr="00484FAD">
        <w:rPr>
          <w:rFonts w:ascii="Times New Roman" w:hAnsi="Times New Roman" w:cs="Times New Roman"/>
          <w:color w:val="0070C0"/>
          <w:sz w:val="24"/>
          <w:lang w:val="pl-PL"/>
        </w:rPr>
        <w:t>Centrum Nowoczesności „Młyn Wiedzy”</w:t>
      </w:r>
      <w:bookmarkEnd w:id="143"/>
      <w:bookmarkEnd w:id="144"/>
    </w:p>
    <w:p w:rsidR="00AE6BCB" w:rsidRDefault="00AE6BCB" w:rsidP="00484FAD">
      <w:pPr>
        <w:spacing w:line="240" w:lineRule="auto"/>
        <w:ind w:firstLine="709"/>
        <w:jc w:val="both"/>
        <w:rPr>
          <w:lang w:val="pl-PL"/>
        </w:rPr>
      </w:pPr>
      <w:r>
        <w:rPr>
          <w:lang w:val="pl-PL"/>
        </w:rPr>
        <w:t>Młyn Wiedzy udostępniał w 2020 r. 8 wystaw stałych</w:t>
      </w:r>
      <w:r w:rsidR="00B97B7B">
        <w:rPr>
          <w:lang w:val="pl-PL"/>
        </w:rPr>
        <w:t xml:space="preserve"> </w:t>
      </w:r>
      <w:r w:rsidR="00CD49F1">
        <w:rPr>
          <w:lang w:val="pl-PL"/>
        </w:rPr>
        <w:t xml:space="preserve">(m.in. „O obrotach”) </w:t>
      </w:r>
      <w:r w:rsidR="00B97B7B">
        <w:rPr>
          <w:lang w:val="pl-PL"/>
        </w:rPr>
        <w:t xml:space="preserve">oraz </w:t>
      </w:r>
      <w:r w:rsidR="00484FAD">
        <w:rPr>
          <w:lang w:val="pl-PL"/>
        </w:rPr>
        <w:br/>
      </w:r>
      <w:r w:rsidR="00B97B7B">
        <w:rPr>
          <w:lang w:val="pl-PL"/>
        </w:rPr>
        <w:t xml:space="preserve">7 wystaw czasowych. </w:t>
      </w:r>
      <w:r>
        <w:rPr>
          <w:lang w:val="pl-PL"/>
        </w:rPr>
        <w:t xml:space="preserve">W salach </w:t>
      </w:r>
      <w:r w:rsidR="00CD49F1">
        <w:rPr>
          <w:lang w:val="pl-PL"/>
        </w:rPr>
        <w:t xml:space="preserve">centrum </w:t>
      </w:r>
      <w:r>
        <w:rPr>
          <w:lang w:val="pl-PL"/>
        </w:rPr>
        <w:t>realizowane były warsztaty, pokazy n</w:t>
      </w:r>
      <w:r w:rsidR="00CD49F1">
        <w:rPr>
          <w:lang w:val="pl-PL"/>
        </w:rPr>
        <w:t xml:space="preserve">aukowe, </w:t>
      </w:r>
      <w:r w:rsidR="00B97B7B">
        <w:rPr>
          <w:lang w:val="pl-PL"/>
        </w:rPr>
        <w:t>zajęcia laboratoryjne, a w pracowni multimedialnej</w:t>
      </w:r>
      <w:r>
        <w:rPr>
          <w:lang w:val="pl-PL"/>
        </w:rPr>
        <w:t xml:space="preserve"> zajęcia dla osób indywidua</w:t>
      </w:r>
      <w:r w:rsidR="00B97B7B">
        <w:rPr>
          <w:lang w:val="pl-PL"/>
        </w:rPr>
        <w:t xml:space="preserve">lnych oraz grup zorganizowanych. </w:t>
      </w:r>
      <w:r w:rsidR="00CD49F1">
        <w:rPr>
          <w:lang w:val="pl-PL"/>
        </w:rPr>
        <w:t xml:space="preserve">W ramach działań podejmowanych czasie obostrzeń wynikających </w:t>
      </w:r>
      <w:r w:rsidR="00484FAD">
        <w:rPr>
          <w:lang w:val="pl-PL"/>
        </w:rPr>
        <w:br/>
      </w:r>
      <w:r w:rsidR="00CD49F1">
        <w:rPr>
          <w:lang w:val="pl-PL"/>
        </w:rPr>
        <w:t xml:space="preserve">z pandemii </w:t>
      </w:r>
      <w:r>
        <w:rPr>
          <w:lang w:val="pl-PL"/>
        </w:rPr>
        <w:t>do oferty włączono „Zestawy edukacyjne” przeznaczone dla grup szkolnych</w:t>
      </w:r>
      <w:r w:rsidR="00CD49F1">
        <w:rPr>
          <w:lang w:val="pl-PL"/>
        </w:rPr>
        <w:t xml:space="preserve"> oraz klientów indywidualnych (p</w:t>
      </w:r>
      <w:r>
        <w:rPr>
          <w:lang w:val="pl-PL"/>
        </w:rPr>
        <w:t>ozwalały one wykonywać doświadczenia w domu</w:t>
      </w:r>
      <w:r w:rsidR="00CD49F1">
        <w:rPr>
          <w:lang w:val="pl-PL"/>
        </w:rPr>
        <w:t>)</w:t>
      </w:r>
      <w:r>
        <w:rPr>
          <w:lang w:val="pl-PL"/>
        </w:rPr>
        <w:t xml:space="preserve">. W 2020 r. </w:t>
      </w:r>
      <w:r w:rsidR="00484FAD">
        <w:rPr>
          <w:lang w:val="pl-PL"/>
        </w:rPr>
        <w:br/>
      </w:r>
      <w:r w:rsidR="00CD49F1">
        <w:rPr>
          <w:lang w:val="pl-PL"/>
        </w:rPr>
        <w:t xml:space="preserve">w trakcie czasowego zamknięcia obiektu </w:t>
      </w:r>
      <w:r>
        <w:rPr>
          <w:lang w:val="pl-PL"/>
        </w:rPr>
        <w:t xml:space="preserve">ze względu na pandemię </w:t>
      </w:r>
      <w:r w:rsidR="00CD49F1">
        <w:rPr>
          <w:lang w:val="pl-PL"/>
        </w:rPr>
        <w:t xml:space="preserve">cała działalność kulturalna i edukacyjna była prowadzona w formie on-line. </w:t>
      </w:r>
      <w:r>
        <w:rPr>
          <w:lang w:val="pl-PL"/>
        </w:rPr>
        <w:t>Wszystkie imprezy i wydarzenia z udziałem publiczności zostały odwołane, w tym w ramach Toruńskiego Festiwalu Nauki i S</w:t>
      </w:r>
      <w:r w:rsidR="00CD49F1">
        <w:rPr>
          <w:lang w:val="pl-PL"/>
        </w:rPr>
        <w:t xml:space="preserve">ztuki oraz Mikołajki w Młynie. </w:t>
      </w:r>
      <w:r>
        <w:rPr>
          <w:lang w:val="pl-PL"/>
        </w:rPr>
        <w:t xml:space="preserve">W okresach otwarcia udostępnianie obiektu dla publiczności prowadzone było </w:t>
      </w:r>
      <w:r w:rsidR="00CD49F1">
        <w:rPr>
          <w:lang w:val="pl-PL"/>
        </w:rPr>
        <w:t>w reżimie sanitarnym</w:t>
      </w:r>
      <w:r>
        <w:rPr>
          <w:lang w:val="pl-PL"/>
        </w:rPr>
        <w:t xml:space="preserve">. Łącznie instytucja zrealizowała </w:t>
      </w:r>
      <w:r w:rsidR="00CD49F1">
        <w:rPr>
          <w:lang w:val="pl-PL"/>
        </w:rPr>
        <w:t>ponad 4 tys. wydarzeń</w:t>
      </w:r>
      <w:r>
        <w:rPr>
          <w:lang w:val="pl-PL"/>
        </w:rPr>
        <w:t xml:space="preserve">, a łączna liczba publikacji on-line wyniosła 294. </w:t>
      </w:r>
      <w:r w:rsidR="00CD49F1">
        <w:rPr>
          <w:lang w:val="pl-PL"/>
        </w:rPr>
        <w:t xml:space="preserve"> W 2020 r. z ofe</w:t>
      </w:r>
      <w:r w:rsidR="008F7086">
        <w:rPr>
          <w:lang w:val="pl-PL"/>
        </w:rPr>
        <w:t xml:space="preserve">rty Centrum skorzystało </w:t>
      </w:r>
      <w:r w:rsidR="00CD49F1">
        <w:rPr>
          <w:lang w:val="pl-PL"/>
        </w:rPr>
        <w:t xml:space="preserve">prawie 233 tys. osób. </w:t>
      </w:r>
    </w:p>
    <w:p w:rsidR="00CD49F1" w:rsidRDefault="00CD49F1" w:rsidP="009C7C02">
      <w:pPr>
        <w:spacing w:line="240" w:lineRule="auto"/>
        <w:ind w:firstLine="709"/>
        <w:jc w:val="both"/>
        <w:rPr>
          <w:color w:val="FF0000"/>
          <w:lang w:val="pl-PL"/>
        </w:rPr>
      </w:pPr>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145" w:name="__RefHeading__32014_2082197896"/>
      <w:bookmarkStart w:id="146" w:name="_Toc69477730"/>
      <w:bookmarkStart w:id="147" w:name="_Toc69372278"/>
      <w:bookmarkEnd w:id="145"/>
      <w:r w:rsidRPr="00484FAD">
        <w:rPr>
          <w:rFonts w:ascii="Times New Roman" w:hAnsi="Times New Roman" w:cs="Times New Roman"/>
          <w:color w:val="0070C0"/>
          <w:sz w:val="24"/>
          <w:lang w:val="pl-PL"/>
        </w:rPr>
        <w:t>Europejskie Centrum Filmowe Camerimage</w:t>
      </w:r>
      <w:bookmarkEnd w:id="146"/>
      <w:bookmarkEnd w:id="147"/>
      <w:r w:rsidRPr="00484FAD">
        <w:rPr>
          <w:rFonts w:ascii="Times New Roman" w:hAnsi="Times New Roman" w:cs="Times New Roman"/>
          <w:color w:val="0070C0"/>
          <w:sz w:val="24"/>
          <w:lang w:val="pl-PL"/>
        </w:rPr>
        <w:t xml:space="preserve"> </w:t>
      </w:r>
    </w:p>
    <w:p w:rsidR="00AE6BCB" w:rsidRDefault="00AE6BCB" w:rsidP="00484FAD">
      <w:pPr>
        <w:spacing w:line="240" w:lineRule="auto"/>
        <w:ind w:firstLine="709"/>
        <w:jc w:val="both"/>
        <w:rPr>
          <w:lang w:val="pl-PL"/>
        </w:rPr>
      </w:pPr>
      <w:r>
        <w:rPr>
          <w:lang w:val="pl-PL"/>
        </w:rPr>
        <w:t>Jednym z pierwszych projektów współrea</w:t>
      </w:r>
      <w:r w:rsidR="00CD49F1">
        <w:rPr>
          <w:lang w:val="pl-PL"/>
        </w:rPr>
        <w:t>lizowanych przez instytucję była</w:t>
      </w:r>
      <w:r>
        <w:rPr>
          <w:lang w:val="pl-PL"/>
        </w:rPr>
        <w:t xml:space="preserve"> </w:t>
      </w:r>
      <w:r w:rsidR="00CD49F1">
        <w:rPr>
          <w:lang w:val="pl-PL"/>
        </w:rPr>
        <w:t xml:space="preserve">organizacja cyklu </w:t>
      </w:r>
      <w:r w:rsidR="00BE0ACD">
        <w:rPr>
          <w:lang w:val="pl-PL"/>
        </w:rPr>
        <w:t xml:space="preserve">9 </w:t>
      </w:r>
      <w:r w:rsidR="00CD49F1">
        <w:rPr>
          <w:lang w:val="pl-PL"/>
        </w:rPr>
        <w:t>seansów filmowych</w:t>
      </w:r>
      <w:r>
        <w:rPr>
          <w:lang w:val="pl-PL"/>
        </w:rPr>
        <w:t xml:space="preserve"> na plenerowej scenie w CKK Jordanki, </w:t>
      </w:r>
      <w:r w:rsidR="00CD49F1">
        <w:rPr>
          <w:lang w:val="pl-PL"/>
        </w:rPr>
        <w:t>prowadzona w okresie obostrzeń wynikających z</w:t>
      </w:r>
      <w:r w:rsidR="00484FAD">
        <w:rPr>
          <w:lang w:val="pl-PL"/>
        </w:rPr>
        <w:t xml:space="preserve"> pandemii.</w:t>
      </w:r>
      <w:r w:rsidR="00484FAD">
        <w:rPr>
          <w:bCs/>
          <w:lang w:val="pl-PL"/>
        </w:rPr>
        <w:t xml:space="preserve"> 28. Międzynarodowy Festiwal Sztuki Autorów Zdjęć Filmowych EnergaCamerimage zaplanowany został</w:t>
      </w:r>
      <w:r>
        <w:rPr>
          <w:bCs/>
          <w:lang w:val="pl-PL"/>
        </w:rPr>
        <w:t xml:space="preserve"> </w:t>
      </w:r>
      <w:r w:rsidR="00BE0ACD">
        <w:rPr>
          <w:bCs/>
          <w:lang w:val="pl-PL"/>
        </w:rPr>
        <w:t>na listopad</w:t>
      </w:r>
      <w:r>
        <w:rPr>
          <w:bCs/>
          <w:lang w:val="pl-PL"/>
        </w:rPr>
        <w:t xml:space="preserve"> 2020 r. </w:t>
      </w:r>
      <w:r w:rsidR="00BE0ACD">
        <w:rPr>
          <w:lang w:val="pl-PL"/>
        </w:rPr>
        <w:t>W</w:t>
      </w:r>
      <w:r>
        <w:rPr>
          <w:lang w:val="pl-PL"/>
        </w:rPr>
        <w:t xml:space="preserve"> związku z sytuacją pandemiczną </w:t>
      </w:r>
      <w:r w:rsidR="00BE0ACD">
        <w:rPr>
          <w:lang w:val="pl-PL"/>
        </w:rPr>
        <w:t>podjęto</w:t>
      </w:r>
      <w:r>
        <w:rPr>
          <w:lang w:val="pl-PL"/>
        </w:rPr>
        <w:t xml:space="preserve"> decyzję o przeprowadzeniu festiwalu w formule on-line, co umożliwiło wzięcie udziału w projekcjach, seminariach, spotkaniach z twórcami za pośrednictwem nowej platformy streamingowej online.ecfcamerimage.</w:t>
      </w:r>
      <w:r w:rsidR="0005251E">
        <w:rPr>
          <w:lang w:val="pl-PL"/>
        </w:rPr>
        <w:t xml:space="preserve">pl. W ten sposób zaprezentowano </w:t>
      </w:r>
      <w:r>
        <w:rPr>
          <w:lang w:val="pl-PL"/>
        </w:rPr>
        <w:t>167</w:t>
      </w:r>
      <w:r w:rsidR="00484FAD">
        <w:rPr>
          <w:lang w:val="pl-PL"/>
        </w:rPr>
        <w:t xml:space="preserve"> filmów</w:t>
      </w:r>
      <w:r w:rsidR="00BE0ACD">
        <w:rPr>
          <w:lang w:val="pl-PL"/>
        </w:rPr>
        <w:t xml:space="preserve">, </w:t>
      </w:r>
      <w:r>
        <w:rPr>
          <w:lang w:val="pl-PL"/>
        </w:rPr>
        <w:t>100 wirtualnych seminariów i paneli dyskusyjnych z udziałem 350 ro</w:t>
      </w:r>
      <w:r w:rsidR="00BE0ACD">
        <w:rPr>
          <w:lang w:val="pl-PL"/>
        </w:rPr>
        <w:t>zmówców z 38 krajów. Wydano 2,9 tys. kart wstępu.</w:t>
      </w:r>
      <w:r>
        <w:rPr>
          <w:lang w:val="pl-PL"/>
        </w:rPr>
        <w:t xml:space="preserve"> Pokazy filmowe na platformie streamin</w:t>
      </w:r>
      <w:r w:rsidR="00BE0ACD">
        <w:rPr>
          <w:lang w:val="pl-PL"/>
        </w:rPr>
        <w:t>gowej zgromadziły w sumie 21,5 tys.</w:t>
      </w:r>
      <w:r>
        <w:rPr>
          <w:lang w:val="pl-PL"/>
        </w:rPr>
        <w:t xml:space="preserve"> widzów. Seminaria i spotk</w:t>
      </w:r>
      <w:r w:rsidR="00BE0ACD">
        <w:rPr>
          <w:lang w:val="pl-PL"/>
        </w:rPr>
        <w:t xml:space="preserve">ania z twórcami obejrzało 42 tys. uczestników. </w:t>
      </w:r>
      <w:r>
        <w:rPr>
          <w:lang w:val="pl-PL"/>
        </w:rPr>
        <w:t xml:space="preserve">W grudniu </w:t>
      </w:r>
      <w:r w:rsidR="00BE0ACD">
        <w:rPr>
          <w:lang w:val="pl-PL"/>
        </w:rPr>
        <w:t xml:space="preserve">2020 r. </w:t>
      </w:r>
      <w:r>
        <w:rPr>
          <w:lang w:val="pl-PL"/>
        </w:rPr>
        <w:t>Europejskie Centrum Filmowe zainaugurowało cykl pokazów filmowych pod nazwą „Pierwsza gwiazdka z ECFC”,</w:t>
      </w:r>
      <w:r>
        <w:rPr>
          <w:i/>
          <w:lang w:val="pl-PL"/>
        </w:rPr>
        <w:t xml:space="preserve"> </w:t>
      </w:r>
      <w:r>
        <w:rPr>
          <w:lang w:val="pl-PL"/>
        </w:rPr>
        <w:t xml:space="preserve">w ramach którego na </w:t>
      </w:r>
      <w:r>
        <w:rPr>
          <w:lang w:val="pl-PL"/>
        </w:rPr>
        <w:lastRenderedPageBreak/>
        <w:t xml:space="preserve">platformie internetowej odbywały się bezpłatne projekcje filmowe dla dzieci. </w:t>
      </w:r>
    </w:p>
    <w:p w:rsidR="00AE6BCB" w:rsidRDefault="00AE6BCB" w:rsidP="009C7C02">
      <w:pPr>
        <w:spacing w:line="240" w:lineRule="auto"/>
        <w:ind w:firstLine="709"/>
        <w:jc w:val="both"/>
        <w:rPr>
          <w:lang w:val="pl-PL"/>
        </w:rPr>
      </w:pPr>
      <w:r>
        <w:rPr>
          <w:lang w:val="pl-PL"/>
        </w:rPr>
        <w:t>Jednym z głównych zadań instytucji jest wybudowanie w Toruniu Europejskie</w:t>
      </w:r>
      <w:r w:rsidR="00BE0ACD">
        <w:rPr>
          <w:lang w:val="pl-PL"/>
        </w:rPr>
        <w:t>go Centrum Filmowego Camerimage.</w:t>
      </w:r>
      <w:r>
        <w:rPr>
          <w:lang w:val="pl-PL"/>
        </w:rPr>
        <w:t xml:space="preserve"> </w:t>
      </w:r>
      <w:r w:rsidR="00BE0ACD">
        <w:rPr>
          <w:lang w:val="pl-PL"/>
        </w:rPr>
        <w:t xml:space="preserve">Uchwała Rady Miasta Torunia z lutego </w:t>
      </w:r>
      <w:r>
        <w:rPr>
          <w:lang w:val="pl-PL"/>
        </w:rPr>
        <w:t>2020 r. wp</w:t>
      </w:r>
      <w:r w:rsidR="00BE0ACD">
        <w:rPr>
          <w:lang w:val="pl-PL"/>
        </w:rPr>
        <w:t xml:space="preserve">rowadziła to zadanie do </w:t>
      </w:r>
      <w:r>
        <w:rPr>
          <w:lang w:val="pl-PL"/>
        </w:rPr>
        <w:t>Wieloletniej Prognozy Finan</w:t>
      </w:r>
      <w:r w:rsidR="00BE0ACD">
        <w:rPr>
          <w:lang w:val="pl-PL"/>
        </w:rPr>
        <w:t>sowej Miasta na lata 2020–2050, natomiast na podstawie uchwały Rady Ministrów z września 2020 r. ustanowiony został program wieloletni</w:t>
      </w:r>
      <w:r>
        <w:rPr>
          <w:lang w:val="pl-PL"/>
        </w:rPr>
        <w:t xml:space="preserve"> „Budowa siedziby Europejskiego Centrum Filmowego Camerimage”. Koszt inwestycji to 600 mln zł, w tym dofinansowanie z budżetu państwa w wysokości </w:t>
      </w:r>
      <w:r w:rsidR="0005251E">
        <w:rPr>
          <w:lang w:val="pl-PL"/>
        </w:rPr>
        <w:br/>
      </w:r>
      <w:r>
        <w:rPr>
          <w:lang w:val="pl-PL"/>
        </w:rPr>
        <w:t xml:space="preserve">400 mln zł oraz 200 mln zł ze środków samorządowych. </w:t>
      </w:r>
    </w:p>
    <w:p w:rsidR="00BE0ACD" w:rsidRDefault="00BE0ACD" w:rsidP="009C7C02">
      <w:pPr>
        <w:spacing w:line="240" w:lineRule="auto"/>
        <w:ind w:firstLine="709"/>
        <w:jc w:val="both"/>
        <w:rPr>
          <w:lang w:val="pl-PL"/>
        </w:rPr>
      </w:pPr>
    </w:p>
    <w:p w:rsidR="00AE6BCB" w:rsidRPr="0005251E" w:rsidRDefault="00AE6BCB" w:rsidP="009C7C02">
      <w:pPr>
        <w:pStyle w:val="Nagwek2"/>
        <w:spacing w:before="0" w:after="0" w:line="240" w:lineRule="auto"/>
        <w:jc w:val="both"/>
        <w:rPr>
          <w:rFonts w:ascii="Times New Roman" w:hAnsi="Times New Roman" w:cs="Times New Roman"/>
          <w:sz w:val="24"/>
          <w:szCs w:val="24"/>
          <w:lang w:val="pl-PL"/>
        </w:rPr>
      </w:pPr>
      <w:bookmarkStart w:id="148" w:name="__RefHeading__32016_2082197896"/>
      <w:bookmarkStart w:id="149" w:name="_Toc69477731"/>
      <w:bookmarkStart w:id="150" w:name="_Toc69372279"/>
      <w:bookmarkEnd w:id="148"/>
      <w:r w:rsidRPr="0005251E">
        <w:rPr>
          <w:rFonts w:ascii="Times New Roman" w:hAnsi="Times New Roman" w:cs="Times New Roman"/>
          <w:color w:val="0070C0"/>
          <w:sz w:val="24"/>
          <w:lang w:val="pl-PL"/>
        </w:rPr>
        <w:t>Strategia rozwoju kultury miasta Torunia</w:t>
      </w:r>
      <w:bookmarkEnd w:id="149"/>
      <w:bookmarkEnd w:id="150"/>
      <w:r w:rsidRPr="0005251E">
        <w:rPr>
          <w:rFonts w:ascii="Times New Roman" w:hAnsi="Times New Roman" w:cs="Times New Roman"/>
          <w:color w:val="0070C0"/>
          <w:sz w:val="24"/>
          <w:lang w:val="pl-PL"/>
        </w:rPr>
        <w:t xml:space="preserve"> </w:t>
      </w:r>
    </w:p>
    <w:p w:rsidR="00AE6BCB" w:rsidRDefault="00AE6BCB" w:rsidP="009C7C02">
      <w:pPr>
        <w:spacing w:line="240" w:lineRule="auto"/>
        <w:ind w:firstLine="709"/>
        <w:jc w:val="both"/>
        <w:rPr>
          <w:lang w:val="pl-PL"/>
        </w:rPr>
      </w:pPr>
      <w:r>
        <w:rPr>
          <w:lang w:val="pl-PL"/>
        </w:rPr>
        <w:t>„</w:t>
      </w:r>
      <w:r>
        <w:rPr>
          <w:b/>
          <w:lang w:val="pl-PL"/>
        </w:rPr>
        <w:t>Str</w:t>
      </w:r>
      <w:r w:rsidR="00E200B1">
        <w:rPr>
          <w:b/>
          <w:lang w:val="pl-PL"/>
        </w:rPr>
        <w:t>ategia</w:t>
      </w:r>
      <w:r>
        <w:rPr>
          <w:b/>
          <w:lang w:val="pl-PL"/>
        </w:rPr>
        <w:t xml:space="preserve"> rozwoju kultury miasta Torunia do roku 2020</w:t>
      </w:r>
      <w:r w:rsidR="00E200B1">
        <w:rPr>
          <w:lang w:val="pl-PL"/>
        </w:rPr>
        <w:t>” (przyjęta w 2012 r.) wyznacza</w:t>
      </w:r>
      <w:r>
        <w:rPr>
          <w:lang w:val="pl-PL"/>
        </w:rPr>
        <w:t xml:space="preserve"> 4 cele strategiczne, 11 ce</w:t>
      </w:r>
      <w:r w:rsidR="00E200B1">
        <w:rPr>
          <w:lang w:val="pl-PL"/>
        </w:rPr>
        <w:t>lów operacyjnych oraz 38 zadań. W</w:t>
      </w:r>
      <w:r>
        <w:rPr>
          <w:lang w:val="pl-PL"/>
        </w:rPr>
        <w:t xml:space="preserve"> 2018 r. przystąpiono do prac nad a</w:t>
      </w:r>
      <w:r w:rsidR="00E200B1">
        <w:rPr>
          <w:lang w:val="pl-PL"/>
        </w:rPr>
        <w:t xml:space="preserve">ktualizacją dokumentu. Znacząca zmiana sytuacji sektora kultury, wywołana skutkami pandemii </w:t>
      </w:r>
      <w:r>
        <w:rPr>
          <w:lang w:val="pl-PL"/>
        </w:rPr>
        <w:t>COVID-19, jak również brak danych pozwalających na wiarygodne prognozowanie jego kondycji po wycofaniu obostrzeń</w:t>
      </w:r>
      <w:r w:rsidR="00E200B1">
        <w:rPr>
          <w:lang w:val="pl-PL"/>
        </w:rPr>
        <w:t>,</w:t>
      </w:r>
      <w:r>
        <w:rPr>
          <w:lang w:val="pl-PL"/>
        </w:rPr>
        <w:t xml:space="preserve"> </w:t>
      </w:r>
      <w:r w:rsidR="00E200B1">
        <w:rPr>
          <w:lang w:val="pl-PL"/>
        </w:rPr>
        <w:t xml:space="preserve">spowodowały konieczność </w:t>
      </w:r>
      <w:r>
        <w:rPr>
          <w:lang w:val="pl-PL"/>
        </w:rPr>
        <w:t xml:space="preserve"> wydłużenia czasu obowiązywania dotychczasowej s</w:t>
      </w:r>
      <w:r w:rsidR="00E200B1">
        <w:rPr>
          <w:lang w:val="pl-PL"/>
        </w:rPr>
        <w:t>trategii do czerwca 2022 r. (uchwała  Rady Miasta Torunia z</w:t>
      </w:r>
      <w:r>
        <w:rPr>
          <w:lang w:val="pl-PL"/>
        </w:rPr>
        <w:t xml:space="preserve"> grudnia 2020 r.</w:t>
      </w:r>
      <w:r w:rsidR="00E200B1">
        <w:rPr>
          <w:lang w:val="pl-PL"/>
        </w:rPr>
        <w:t xml:space="preserve">). </w:t>
      </w:r>
      <w:r>
        <w:rPr>
          <w:lang w:val="pl-PL"/>
        </w:rPr>
        <w:t xml:space="preserve"> </w:t>
      </w:r>
    </w:p>
    <w:p w:rsidR="00E200B1" w:rsidRDefault="00E200B1" w:rsidP="009C7C02">
      <w:pPr>
        <w:spacing w:line="240" w:lineRule="auto"/>
        <w:ind w:firstLine="709"/>
        <w:jc w:val="both"/>
        <w:rPr>
          <w:color w:val="FF0000"/>
          <w:lang w:val="pl-PL"/>
        </w:rPr>
      </w:pPr>
    </w:p>
    <w:p w:rsidR="00AE6BCB" w:rsidRPr="001E0AF9" w:rsidRDefault="00AE6BCB" w:rsidP="009C7C02">
      <w:pPr>
        <w:pStyle w:val="Nagwek2"/>
        <w:spacing w:before="0" w:after="0" w:line="240" w:lineRule="auto"/>
        <w:jc w:val="both"/>
        <w:rPr>
          <w:rFonts w:ascii="Times New Roman" w:hAnsi="Times New Roman" w:cs="Times New Roman"/>
          <w:sz w:val="24"/>
          <w:szCs w:val="24"/>
          <w:lang w:val="pl-PL"/>
        </w:rPr>
      </w:pPr>
      <w:bookmarkStart w:id="151" w:name="__RefHeading__32018_2082197896"/>
      <w:bookmarkStart w:id="152" w:name="_Toc69477732"/>
      <w:bookmarkStart w:id="153" w:name="_Toc69372280"/>
      <w:bookmarkEnd w:id="151"/>
      <w:r w:rsidRPr="001E0AF9">
        <w:rPr>
          <w:rFonts w:ascii="Times New Roman" w:hAnsi="Times New Roman" w:cs="Times New Roman"/>
          <w:color w:val="0070C0"/>
          <w:sz w:val="24"/>
          <w:lang w:val="pl-PL"/>
        </w:rPr>
        <w:t>Wydarzenia kulturalne</w:t>
      </w:r>
      <w:bookmarkEnd w:id="152"/>
      <w:bookmarkEnd w:id="153"/>
      <w:r w:rsidRPr="001E0AF9">
        <w:rPr>
          <w:rFonts w:ascii="Times New Roman" w:hAnsi="Times New Roman" w:cs="Times New Roman"/>
          <w:color w:val="0070C0"/>
          <w:sz w:val="24"/>
          <w:lang w:val="pl-PL"/>
        </w:rPr>
        <w:t xml:space="preserve"> </w:t>
      </w:r>
    </w:p>
    <w:p w:rsidR="00DF010B" w:rsidRDefault="00E200B1" w:rsidP="009C7C02">
      <w:pPr>
        <w:spacing w:line="240" w:lineRule="auto"/>
        <w:ind w:firstLine="709"/>
        <w:jc w:val="both"/>
        <w:rPr>
          <w:lang w:val="pl-PL"/>
        </w:rPr>
      </w:pPr>
      <w:r>
        <w:rPr>
          <w:lang w:val="pl-PL"/>
        </w:rPr>
        <w:t xml:space="preserve">W 2020 r. realizacja zaplanowanych zamierzeń kulturalnych w znaczący sposób uległa ograniczeniu, ze względu na stan pandemii. </w:t>
      </w:r>
    </w:p>
    <w:p w:rsidR="00AE6BCB" w:rsidRDefault="00AE6BCB" w:rsidP="009C7C02">
      <w:pPr>
        <w:spacing w:line="240" w:lineRule="auto"/>
        <w:ind w:firstLine="709"/>
        <w:jc w:val="both"/>
        <w:rPr>
          <w:lang w:val="pl-PL"/>
        </w:rPr>
      </w:pPr>
      <w:r>
        <w:rPr>
          <w:lang w:val="pl-PL"/>
        </w:rPr>
        <w:t xml:space="preserve">W ramach I i II tury otwartego konkursu ofert na realizację w 2020 r. zadań publicznych Gminy w zakresie wspierania rozwoju kultury i ochrony jej dóbr oraz podtrzymywania tradycji narodowej zostały przyznane dotacje na realizację łącznie 78 zadań jednorocznych, spośród których ponad 65% było planowanych do realizacji na terenie zespołu staromiejskiego. Do powyższej liczby należy dodać 5 zadań realizowanych w ramach dotacji 3-letnich. </w:t>
      </w:r>
      <w:r w:rsidR="00DF010B">
        <w:rPr>
          <w:bCs/>
          <w:lang w:val="pl-PL"/>
        </w:rPr>
        <w:t xml:space="preserve">Z powodu epidemii </w:t>
      </w:r>
      <w:r>
        <w:rPr>
          <w:bCs/>
          <w:lang w:val="pl-PL"/>
        </w:rPr>
        <w:t xml:space="preserve">18 </w:t>
      </w:r>
      <w:r w:rsidR="00DF010B">
        <w:rPr>
          <w:lang w:val="pl-PL"/>
        </w:rPr>
        <w:t>beneficjentów całkowicie zrezygnowało z realizacji projektów</w:t>
      </w:r>
      <w:r>
        <w:rPr>
          <w:lang w:val="pl-PL"/>
        </w:rPr>
        <w:t xml:space="preserve"> a w przypadku kolejnych </w:t>
      </w:r>
      <w:r w:rsidR="001B76B2">
        <w:rPr>
          <w:lang w:val="pl-PL"/>
        </w:rPr>
        <w:t xml:space="preserve">- </w:t>
      </w:r>
      <w:r>
        <w:rPr>
          <w:lang w:val="pl-PL"/>
        </w:rPr>
        <w:t>znacznie ograniczony został program artystyczny wydarzeń oraz udział artystów z zagranicy. Zdecydowana większość przedsięwzięć w drugim i czwartym kwartale</w:t>
      </w:r>
      <w:r w:rsidR="00DF010B">
        <w:rPr>
          <w:lang w:val="pl-PL"/>
        </w:rPr>
        <w:t xml:space="preserve"> 2020 r.</w:t>
      </w:r>
      <w:r>
        <w:rPr>
          <w:lang w:val="pl-PL"/>
        </w:rPr>
        <w:t xml:space="preserve"> mogła być realizowana </w:t>
      </w:r>
      <w:r w:rsidR="00DF010B">
        <w:rPr>
          <w:lang w:val="pl-PL"/>
        </w:rPr>
        <w:t xml:space="preserve">tylko w przestrzeni wirtualnej. </w:t>
      </w:r>
      <w:r>
        <w:rPr>
          <w:lang w:val="pl-PL"/>
        </w:rPr>
        <w:t>Kulturalna Majówka odbyła się jedynie w formie on-line, w ograniczonej formie mogliśmy również obchodzić Święto Miasta Torunia. Wśród wydarzeń, które odbyły się z udziałem publiczności, znalazły się: Festiwal Tańca i Muzyki Celtyckiej,</w:t>
      </w:r>
      <w:r>
        <w:rPr>
          <w:b/>
          <w:lang w:val="pl-PL"/>
        </w:rPr>
        <w:t xml:space="preserve"> </w:t>
      </w:r>
      <w:r>
        <w:rPr>
          <w:lang w:val="pl-PL"/>
        </w:rPr>
        <w:t>27. Festiwal Muzyki Krajów Bałtyckich Probaltica, IV Toruński Festiwal Nowego Cyrku, 35. Świętojański Festiwal Organowy</w:t>
      </w:r>
      <w:r>
        <w:rPr>
          <w:i/>
          <w:lang w:val="pl-PL"/>
        </w:rPr>
        <w:t xml:space="preserve">, </w:t>
      </w:r>
      <w:r>
        <w:rPr>
          <w:lang w:val="pl-PL"/>
        </w:rPr>
        <w:t xml:space="preserve">18. Międzynarodowy Festiwal Filmowy Tofifest, 5. Festiwal Transgresje, </w:t>
      </w:r>
      <w:r w:rsidR="00E47BE6">
        <w:rPr>
          <w:lang w:val="pl-PL"/>
        </w:rPr>
        <w:br/>
      </w:r>
      <w:r>
        <w:rPr>
          <w:lang w:val="pl-PL"/>
        </w:rPr>
        <w:t xml:space="preserve">14. Festiwal Rocka Progresywnego im. Tomasza Beksińskiego. </w:t>
      </w:r>
    </w:p>
    <w:p w:rsidR="00DF010B" w:rsidRDefault="00DF010B" w:rsidP="00E47BE6">
      <w:pPr>
        <w:spacing w:line="240" w:lineRule="auto"/>
        <w:jc w:val="both"/>
        <w:rPr>
          <w:lang w:val="pl-PL"/>
        </w:rPr>
      </w:pPr>
      <w:r>
        <w:rPr>
          <w:lang w:val="pl-PL"/>
        </w:rPr>
        <w:t>Nagrody artystyczne</w:t>
      </w:r>
      <w:r w:rsidR="001B76B2">
        <w:rPr>
          <w:lang w:val="pl-PL"/>
        </w:rPr>
        <w:t xml:space="preserve"> w 2020 r.</w:t>
      </w:r>
      <w:r>
        <w:rPr>
          <w:lang w:val="pl-PL"/>
        </w:rPr>
        <w:t>:</w:t>
      </w:r>
    </w:p>
    <w:p w:rsidR="00DF010B" w:rsidRDefault="00DF010B" w:rsidP="00912BD8">
      <w:pPr>
        <w:numPr>
          <w:ilvl w:val="0"/>
          <w:numId w:val="43"/>
        </w:numPr>
        <w:spacing w:line="240" w:lineRule="auto"/>
        <w:jc w:val="both"/>
        <w:rPr>
          <w:lang w:val="pl-PL"/>
        </w:rPr>
      </w:pPr>
      <w:r w:rsidRPr="00E47BE6">
        <w:rPr>
          <w:lang w:val="pl-PL"/>
        </w:rPr>
        <w:t>l</w:t>
      </w:r>
      <w:r w:rsidR="00AE6BCB" w:rsidRPr="00E47BE6">
        <w:rPr>
          <w:lang w:val="pl-PL"/>
        </w:rPr>
        <w:t>aureatkami Nagrody Miast Partnerskich Torunia i Getyngi im. S.B. Lindego został</w:t>
      </w:r>
      <w:r w:rsidRPr="00E47BE6">
        <w:rPr>
          <w:lang w:val="pl-PL"/>
        </w:rPr>
        <w:t>y Dorota Masłowska i Dea Loher,</w:t>
      </w:r>
    </w:p>
    <w:p w:rsidR="00AE6BCB" w:rsidRPr="00E47BE6" w:rsidRDefault="00DF010B" w:rsidP="00912BD8">
      <w:pPr>
        <w:numPr>
          <w:ilvl w:val="0"/>
          <w:numId w:val="43"/>
        </w:numPr>
        <w:spacing w:line="240" w:lineRule="auto"/>
        <w:jc w:val="both"/>
        <w:rPr>
          <w:lang w:val="pl-PL"/>
        </w:rPr>
      </w:pPr>
      <w:r w:rsidRPr="00E47BE6">
        <w:rPr>
          <w:lang w:val="pl-PL"/>
        </w:rPr>
        <w:t>laureatką Nagrody Artystycznej Miasta Torunia im. Grzegorza Ciechowskiego została p</w:t>
      </w:r>
      <w:r w:rsidR="00AE6BCB" w:rsidRPr="00E47BE6">
        <w:rPr>
          <w:lang w:val="pl-PL"/>
        </w:rPr>
        <w:t>ianistka, piosenkarka, autorka tekstów i muzyki Kasia Lins</w:t>
      </w:r>
      <w:r w:rsidRPr="00E47BE6">
        <w:rPr>
          <w:lang w:val="pl-PL"/>
        </w:rPr>
        <w:t xml:space="preserve">. </w:t>
      </w:r>
      <w:r w:rsidR="00AE6BCB" w:rsidRPr="00E47BE6">
        <w:rPr>
          <w:lang w:val="pl-PL"/>
        </w:rPr>
        <w:t xml:space="preserve"> </w:t>
      </w:r>
    </w:p>
    <w:p w:rsidR="00AE6BCB" w:rsidRDefault="00AE6BCB" w:rsidP="00E47BE6">
      <w:pPr>
        <w:spacing w:line="240" w:lineRule="auto"/>
        <w:ind w:firstLine="426"/>
        <w:jc w:val="both"/>
        <w:rPr>
          <w:lang w:val="pl-PL"/>
        </w:rPr>
      </w:pPr>
      <w:r>
        <w:rPr>
          <w:lang w:val="pl-PL"/>
        </w:rPr>
        <w:t>W 2020 r. łącznie 22 osoby zajmujące się dzi</w:t>
      </w:r>
      <w:r w:rsidR="00DF010B">
        <w:rPr>
          <w:lang w:val="pl-PL"/>
        </w:rPr>
        <w:t>ałalnością artystyczną otrzymały</w:t>
      </w:r>
      <w:r>
        <w:rPr>
          <w:lang w:val="pl-PL"/>
        </w:rPr>
        <w:t xml:space="preserve"> stypendia miasta Torunia</w:t>
      </w:r>
      <w:r w:rsidR="00DF010B">
        <w:rPr>
          <w:lang w:val="pl-PL"/>
        </w:rPr>
        <w:t xml:space="preserve"> w dziedzinie kultury. W ramach kwoty 135 tys.</w:t>
      </w:r>
      <w:r>
        <w:rPr>
          <w:lang w:val="pl-PL"/>
        </w:rPr>
        <w:t xml:space="preserve"> zł </w:t>
      </w:r>
      <w:r w:rsidR="001B76B2">
        <w:rPr>
          <w:lang w:val="pl-PL"/>
        </w:rPr>
        <w:t>przyznano</w:t>
      </w:r>
      <w:r>
        <w:rPr>
          <w:bCs/>
          <w:lang w:val="pl-PL"/>
        </w:rPr>
        <w:t xml:space="preserve"> 11 stypendiów rocznych i 11 półrocznych.</w:t>
      </w:r>
      <w:r>
        <w:rPr>
          <w:lang w:val="pl-PL"/>
        </w:rPr>
        <w:t xml:space="preserve"> </w:t>
      </w:r>
    </w:p>
    <w:p w:rsidR="00AE6BCB" w:rsidRDefault="00AE6BCB" w:rsidP="009C7C02">
      <w:pPr>
        <w:spacing w:line="240" w:lineRule="auto"/>
        <w:jc w:val="both"/>
        <w:rPr>
          <w:b/>
          <w:lang w:val="pl-PL"/>
        </w:rPr>
      </w:pPr>
    </w:p>
    <w:p w:rsidR="00AE6BCB" w:rsidRPr="00E47BE6" w:rsidRDefault="00AE6BCB" w:rsidP="009C7C02">
      <w:pPr>
        <w:pStyle w:val="Nagwek2"/>
        <w:spacing w:before="0" w:after="0" w:line="240" w:lineRule="auto"/>
        <w:rPr>
          <w:rFonts w:ascii="Times New Roman" w:hAnsi="Times New Roman" w:cs="Times New Roman"/>
          <w:sz w:val="24"/>
          <w:szCs w:val="24"/>
          <w:lang w:val="pl-PL"/>
        </w:rPr>
      </w:pPr>
      <w:bookmarkStart w:id="154" w:name="__RefHeading__32020_2082197896"/>
      <w:bookmarkStart w:id="155" w:name="_Toc69477733"/>
      <w:bookmarkStart w:id="156" w:name="_Toc69372281"/>
      <w:bookmarkEnd w:id="154"/>
      <w:r w:rsidRPr="00E47BE6">
        <w:rPr>
          <w:rFonts w:ascii="Times New Roman" w:hAnsi="Times New Roman" w:cs="Times New Roman"/>
          <w:color w:val="0070C0"/>
          <w:sz w:val="24"/>
          <w:lang w:val="pl-PL"/>
        </w:rPr>
        <w:t>Ochrona dziedzictwa kulturowego</w:t>
      </w:r>
      <w:bookmarkEnd w:id="155"/>
      <w:bookmarkEnd w:id="156"/>
    </w:p>
    <w:p w:rsidR="0039578C" w:rsidRPr="0039578C" w:rsidRDefault="00AE6BCB" w:rsidP="009C7C02">
      <w:pPr>
        <w:spacing w:line="240" w:lineRule="auto"/>
        <w:ind w:firstLine="709"/>
        <w:jc w:val="both"/>
        <w:rPr>
          <w:lang w:val="pl-PL"/>
        </w:rPr>
      </w:pPr>
      <w:r>
        <w:rPr>
          <w:lang w:val="pl-PL"/>
        </w:rPr>
        <w:t>W 2020 r. kontynuowano projekt „</w:t>
      </w:r>
      <w:r>
        <w:rPr>
          <w:b/>
          <w:lang w:val="pl-PL"/>
        </w:rPr>
        <w:t>Toruńska Starówka – ochrona i konserwacja dziedzictwa kulturowego UNESCO – etap II</w:t>
      </w:r>
      <w:r w:rsidR="00DF010B">
        <w:rPr>
          <w:lang w:val="pl-PL"/>
        </w:rPr>
        <w:t xml:space="preserve">”, </w:t>
      </w:r>
      <w:r w:rsidR="0039578C">
        <w:rPr>
          <w:lang w:val="pl-PL"/>
        </w:rPr>
        <w:t xml:space="preserve">będący głównym źródłem finansowania zadań konserwatorskich w mieście. </w:t>
      </w:r>
    </w:p>
    <w:p w:rsidR="00DF010B" w:rsidRDefault="0039578C" w:rsidP="0039578C">
      <w:pPr>
        <w:spacing w:line="240" w:lineRule="auto"/>
        <w:jc w:val="both"/>
        <w:rPr>
          <w:lang w:val="pl-PL"/>
        </w:rPr>
      </w:pPr>
      <w:r>
        <w:rPr>
          <w:lang w:val="pl-PL"/>
        </w:rPr>
        <w:lastRenderedPageBreak/>
        <w:t>W</w:t>
      </w:r>
      <w:r w:rsidR="00DF010B">
        <w:rPr>
          <w:lang w:val="pl-PL"/>
        </w:rPr>
        <w:t xml:space="preserve"> ra</w:t>
      </w:r>
      <w:r>
        <w:rPr>
          <w:lang w:val="pl-PL"/>
        </w:rPr>
        <w:t xml:space="preserve">mach projektu w 2020 r. </w:t>
      </w:r>
      <w:r w:rsidR="00DF010B">
        <w:rPr>
          <w:lang w:val="pl-PL"/>
        </w:rPr>
        <w:t xml:space="preserve">realizowano: </w:t>
      </w:r>
    </w:p>
    <w:p w:rsidR="00DF010B" w:rsidRDefault="00AE6BCB" w:rsidP="00912BD8">
      <w:pPr>
        <w:numPr>
          <w:ilvl w:val="0"/>
          <w:numId w:val="44"/>
        </w:numPr>
        <w:spacing w:line="240" w:lineRule="auto"/>
        <w:jc w:val="both"/>
        <w:rPr>
          <w:lang w:val="pl-PL"/>
        </w:rPr>
      </w:pPr>
      <w:r w:rsidRPr="00E47BE6">
        <w:rPr>
          <w:lang w:val="pl-PL"/>
        </w:rPr>
        <w:t>prace konserwatorsko-budowlane w dawnym Pałacu D</w:t>
      </w:r>
      <w:r w:rsidR="00DF010B" w:rsidRPr="00E47BE6">
        <w:rPr>
          <w:lang w:val="pl-PL"/>
        </w:rPr>
        <w:t>ąmbskich przy ul. Żeglarskiej 8,</w:t>
      </w:r>
    </w:p>
    <w:p w:rsidR="00DF010B" w:rsidRDefault="00AE6BCB" w:rsidP="00912BD8">
      <w:pPr>
        <w:numPr>
          <w:ilvl w:val="0"/>
          <w:numId w:val="44"/>
        </w:numPr>
        <w:spacing w:line="240" w:lineRule="auto"/>
        <w:jc w:val="both"/>
        <w:rPr>
          <w:lang w:val="pl-PL"/>
        </w:rPr>
      </w:pPr>
      <w:r w:rsidRPr="00E47BE6">
        <w:rPr>
          <w:lang w:val="pl-PL"/>
        </w:rPr>
        <w:t xml:space="preserve">prace w kościołach pw. św. Jakuba Apostoła </w:t>
      </w:r>
      <w:r w:rsidR="0039578C" w:rsidRPr="00E47BE6">
        <w:rPr>
          <w:lang w:val="pl-PL"/>
        </w:rPr>
        <w:t xml:space="preserve">(w tym dodatkowo – konserwacja witraży) </w:t>
      </w:r>
      <w:r w:rsidRPr="00E47BE6">
        <w:rPr>
          <w:lang w:val="pl-PL"/>
        </w:rPr>
        <w:t>i Wniebowz</w:t>
      </w:r>
      <w:r w:rsidR="00DF010B" w:rsidRPr="00E47BE6">
        <w:rPr>
          <w:lang w:val="pl-PL"/>
        </w:rPr>
        <w:t>ięcia Najświętszej Marii Panny</w:t>
      </w:r>
      <w:r w:rsidR="0039578C" w:rsidRPr="00E47BE6">
        <w:rPr>
          <w:lang w:val="pl-PL"/>
        </w:rPr>
        <w:t xml:space="preserve"> (w tym dodatkowo – konserwacja zabytków ruchomych)</w:t>
      </w:r>
      <w:r w:rsidR="00DF010B" w:rsidRPr="00E47BE6">
        <w:rPr>
          <w:lang w:val="pl-PL"/>
        </w:rPr>
        <w:t>,</w:t>
      </w:r>
    </w:p>
    <w:p w:rsidR="00DF010B" w:rsidRPr="00E47BE6" w:rsidRDefault="00AE6BCB" w:rsidP="00912BD8">
      <w:pPr>
        <w:numPr>
          <w:ilvl w:val="0"/>
          <w:numId w:val="44"/>
        </w:numPr>
        <w:spacing w:line="240" w:lineRule="auto"/>
        <w:jc w:val="both"/>
        <w:rPr>
          <w:lang w:val="pl-PL"/>
        </w:rPr>
      </w:pPr>
      <w:r w:rsidRPr="00E47BE6">
        <w:rPr>
          <w:lang w:val="pl-PL"/>
        </w:rPr>
        <w:t>roboty remonto</w:t>
      </w:r>
      <w:r w:rsidR="0039578C" w:rsidRPr="00E47BE6">
        <w:rPr>
          <w:lang w:val="pl-PL"/>
        </w:rPr>
        <w:t xml:space="preserve">wo-adaptacyjne w </w:t>
      </w:r>
      <w:r w:rsidRPr="00E47BE6">
        <w:rPr>
          <w:lang w:val="pl-PL"/>
        </w:rPr>
        <w:t>zborze ewangelickim na Ryn</w:t>
      </w:r>
      <w:r w:rsidR="001B76B2">
        <w:rPr>
          <w:lang w:val="pl-PL"/>
        </w:rPr>
        <w:t>ku Nowomiejskim.</w:t>
      </w:r>
    </w:p>
    <w:p w:rsidR="00AE6BCB" w:rsidRDefault="00AE6BCB" w:rsidP="00DF010B">
      <w:pPr>
        <w:spacing w:line="240" w:lineRule="auto"/>
        <w:jc w:val="both"/>
        <w:rPr>
          <w:b/>
          <w:i/>
          <w:lang w:val="pl-PL"/>
        </w:rPr>
      </w:pPr>
      <w:r>
        <w:rPr>
          <w:lang w:val="pl-PL"/>
        </w:rPr>
        <w:t>W roku sprawozdawczym prowadzone były także działania promocyjne obejmujące projekt oraz zabytki objęte wsparciem.</w:t>
      </w:r>
    </w:p>
    <w:p w:rsidR="00AE6BCB" w:rsidRDefault="00AE6BCB" w:rsidP="009C7C02">
      <w:pPr>
        <w:spacing w:line="240" w:lineRule="auto"/>
        <w:jc w:val="both"/>
        <w:rPr>
          <w:color w:val="FF0000"/>
          <w:lang w:val="pl-PL"/>
        </w:rPr>
      </w:pPr>
    </w:p>
    <w:p w:rsidR="00AE6BCB" w:rsidRPr="00E47BE6" w:rsidRDefault="00AE6BCB" w:rsidP="009C7C02">
      <w:pPr>
        <w:pStyle w:val="Nagwek2"/>
        <w:spacing w:before="0" w:after="0" w:line="240" w:lineRule="auto"/>
        <w:rPr>
          <w:rFonts w:ascii="Times New Roman" w:hAnsi="Times New Roman" w:cs="Times New Roman"/>
          <w:sz w:val="24"/>
          <w:szCs w:val="24"/>
          <w:lang w:val="pl-PL"/>
        </w:rPr>
      </w:pPr>
      <w:bookmarkStart w:id="157" w:name="__RefHeading__32022_2082197896"/>
      <w:bookmarkStart w:id="158" w:name="_Toc69477734"/>
      <w:bookmarkStart w:id="159" w:name="_Toc69372282"/>
      <w:bookmarkEnd w:id="157"/>
      <w:r w:rsidRPr="00E47BE6">
        <w:rPr>
          <w:rFonts w:ascii="Times New Roman" w:hAnsi="Times New Roman" w:cs="Times New Roman"/>
          <w:color w:val="0070C0"/>
          <w:sz w:val="24"/>
          <w:lang w:val="pl-PL"/>
        </w:rPr>
        <w:t>Turystyka</w:t>
      </w:r>
      <w:bookmarkEnd w:id="158"/>
      <w:bookmarkEnd w:id="159"/>
    </w:p>
    <w:p w:rsidR="00CD2412" w:rsidRDefault="00AE6BCB" w:rsidP="009C7C02">
      <w:pPr>
        <w:spacing w:line="240" w:lineRule="auto"/>
        <w:ind w:firstLine="709"/>
        <w:jc w:val="both"/>
        <w:rPr>
          <w:lang w:val="pl-PL"/>
        </w:rPr>
      </w:pPr>
      <w:r>
        <w:rPr>
          <w:lang w:val="pl-PL"/>
        </w:rPr>
        <w:t xml:space="preserve">W 2020 r. po raz szesnasty przeprowadzono monitoring ruchu turystycznego </w:t>
      </w:r>
      <w:r w:rsidR="00E47BE6">
        <w:rPr>
          <w:lang w:val="pl-PL"/>
        </w:rPr>
        <w:br/>
      </w:r>
      <w:r>
        <w:rPr>
          <w:lang w:val="pl-PL"/>
        </w:rPr>
        <w:t xml:space="preserve">w Toruniu, którego edycja, w związku z pandemią koronawirusa, różni się od poprzednich metodologią prowadzenia badań i pozyskiwania danych. Odstąpiono od tradycyjnego ankietowania turystów. Przygotowany raport opiera się na danych pozyskanych z GUS, informacji przekazanych od podmiotów branży turystycznej oraz deklaracji </w:t>
      </w:r>
      <w:r w:rsidR="008E0DA1">
        <w:rPr>
          <w:lang w:val="pl-PL"/>
        </w:rPr>
        <w:t>turystów:</w:t>
      </w:r>
    </w:p>
    <w:p w:rsidR="00CD2412" w:rsidRDefault="008E0DA1" w:rsidP="00912BD8">
      <w:pPr>
        <w:numPr>
          <w:ilvl w:val="0"/>
          <w:numId w:val="45"/>
        </w:numPr>
        <w:spacing w:line="240" w:lineRule="auto"/>
        <w:jc w:val="both"/>
        <w:rPr>
          <w:lang w:val="pl-PL"/>
        </w:rPr>
      </w:pPr>
      <w:r w:rsidRPr="00E47BE6">
        <w:rPr>
          <w:lang w:val="pl-PL"/>
        </w:rPr>
        <w:t>ł</w:t>
      </w:r>
      <w:r w:rsidR="00AE6BCB" w:rsidRPr="00E47BE6">
        <w:rPr>
          <w:lang w:val="pl-PL"/>
        </w:rPr>
        <w:t>ączna liczba turystów, którzy odwiedzili nasze miasto w 2020 r., wyniosła pr</w:t>
      </w:r>
      <w:r w:rsidR="00CD2412" w:rsidRPr="00E47BE6">
        <w:rPr>
          <w:lang w:val="pl-PL"/>
        </w:rPr>
        <w:t xml:space="preserve">awie 900 tys. (2019 – 2,5 mln), Toruń odwiedzali głównie Polacy, </w:t>
      </w:r>
      <w:r w:rsidR="00AE6BCB" w:rsidRPr="00E47BE6">
        <w:rPr>
          <w:lang w:val="pl-PL"/>
        </w:rPr>
        <w:t>ok 8–9</w:t>
      </w:r>
      <w:r w:rsidR="00CD2412" w:rsidRPr="00E47BE6">
        <w:rPr>
          <w:lang w:val="pl-PL"/>
        </w:rPr>
        <w:t>% stanowili turyści zagraniczni,</w:t>
      </w:r>
    </w:p>
    <w:p w:rsidR="00CD2412" w:rsidRDefault="00CD2412" w:rsidP="00912BD8">
      <w:pPr>
        <w:numPr>
          <w:ilvl w:val="0"/>
          <w:numId w:val="45"/>
        </w:numPr>
        <w:spacing w:line="240" w:lineRule="auto"/>
        <w:jc w:val="both"/>
        <w:rPr>
          <w:lang w:val="pl-PL"/>
        </w:rPr>
      </w:pPr>
      <w:r w:rsidRPr="00E47BE6">
        <w:rPr>
          <w:lang w:val="pl-PL"/>
        </w:rPr>
        <w:t xml:space="preserve">w </w:t>
      </w:r>
      <w:r w:rsidR="00AE6BCB" w:rsidRPr="00E47BE6">
        <w:rPr>
          <w:lang w:val="pl-PL"/>
        </w:rPr>
        <w:t>styczniu i lutym</w:t>
      </w:r>
      <w:r w:rsidRPr="00E47BE6">
        <w:rPr>
          <w:lang w:val="pl-PL"/>
        </w:rPr>
        <w:t xml:space="preserve"> 2020 r. </w:t>
      </w:r>
      <w:r w:rsidR="00AE6BCB" w:rsidRPr="00E47BE6">
        <w:rPr>
          <w:lang w:val="pl-PL"/>
        </w:rPr>
        <w:t>odnotowano bardzo duże nat</w:t>
      </w:r>
      <w:r w:rsidRPr="00E47BE6">
        <w:rPr>
          <w:lang w:val="pl-PL"/>
        </w:rPr>
        <w:t xml:space="preserve">ężenie ruchu turystycznego, </w:t>
      </w:r>
      <w:r w:rsidR="00E47BE6">
        <w:rPr>
          <w:lang w:val="pl-PL"/>
        </w:rPr>
        <w:br/>
      </w:r>
      <w:r w:rsidRPr="00E47BE6">
        <w:rPr>
          <w:lang w:val="pl-PL"/>
        </w:rPr>
        <w:t xml:space="preserve">a </w:t>
      </w:r>
      <w:r w:rsidR="00AE6BCB" w:rsidRPr="00E47BE6">
        <w:rPr>
          <w:lang w:val="pl-PL"/>
        </w:rPr>
        <w:t>w III kwartale 2020 r.</w:t>
      </w:r>
      <w:r w:rsidRPr="00E47BE6">
        <w:rPr>
          <w:lang w:val="pl-PL"/>
        </w:rPr>
        <w:t xml:space="preserve"> (w wyniku znoszenia obostrzeń)</w:t>
      </w:r>
      <w:r w:rsidR="00AE6BCB" w:rsidRPr="00E47BE6">
        <w:rPr>
          <w:lang w:val="pl-PL"/>
        </w:rPr>
        <w:t xml:space="preserve"> sytuacja branży turystycznej również uległa polepszeniu. </w:t>
      </w:r>
      <w:r w:rsidRPr="00E47BE6">
        <w:rPr>
          <w:lang w:val="pl-PL"/>
        </w:rPr>
        <w:t xml:space="preserve">IV kwartał 2020 r. (kiedy to wprowadzono nowe, surowe ograniczenia) był </w:t>
      </w:r>
      <w:r w:rsidR="001B76B2">
        <w:rPr>
          <w:lang w:val="pl-PL"/>
        </w:rPr>
        <w:t>najtrudniejszm</w:t>
      </w:r>
      <w:r w:rsidR="00AE6BCB" w:rsidRPr="00E47BE6">
        <w:rPr>
          <w:lang w:val="pl-PL"/>
        </w:rPr>
        <w:t xml:space="preserve"> okres</w:t>
      </w:r>
      <w:r w:rsidRPr="00E47BE6">
        <w:rPr>
          <w:lang w:val="pl-PL"/>
        </w:rPr>
        <w:t>em</w:t>
      </w:r>
      <w:r w:rsidR="00AE6BCB" w:rsidRPr="00E47BE6">
        <w:rPr>
          <w:lang w:val="pl-PL"/>
        </w:rPr>
        <w:t xml:space="preserve"> do prowadzenia dzi</w:t>
      </w:r>
      <w:r w:rsidRPr="00E47BE6">
        <w:rPr>
          <w:lang w:val="pl-PL"/>
        </w:rPr>
        <w:t xml:space="preserve">ałalności turystycznej </w:t>
      </w:r>
      <w:r w:rsidR="00E47BE6">
        <w:rPr>
          <w:lang w:val="pl-PL"/>
        </w:rPr>
        <w:br/>
      </w:r>
      <w:r w:rsidRPr="00E47BE6">
        <w:rPr>
          <w:lang w:val="pl-PL"/>
        </w:rPr>
        <w:t>w mieście,</w:t>
      </w:r>
    </w:p>
    <w:p w:rsidR="008E0DA1" w:rsidRDefault="00CD2412" w:rsidP="00912BD8">
      <w:pPr>
        <w:numPr>
          <w:ilvl w:val="0"/>
          <w:numId w:val="45"/>
        </w:numPr>
        <w:spacing w:line="240" w:lineRule="auto"/>
        <w:jc w:val="both"/>
        <w:rPr>
          <w:lang w:val="pl-PL"/>
        </w:rPr>
      </w:pPr>
      <w:r w:rsidRPr="00E47BE6">
        <w:rPr>
          <w:lang w:val="pl-PL"/>
        </w:rPr>
        <w:t xml:space="preserve">mniej niż w poprzednich latach było w Toruniu wizyt studyjnych dziennikarzy </w:t>
      </w:r>
      <w:r w:rsidR="00E47BE6">
        <w:rPr>
          <w:lang w:val="pl-PL"/>
        </w:rPr>
        <w:br/>
      </w:r>
      <w:r w:rsidRPr="00E47BE6">
        <w:rPr>
          <w:lang w:val="pl-PL"/>
        </w:rPr>
        <w:t>i przedstawicieli biur podróży, konieczna zatem była</w:t>
      </w:r>
      <w:r w:rsidR="008E0DA1" w:rsidRPr="00E47BE6">
        <w:rPr>
          <w:lang w:val="pl-PL"/>
        </w:rPr>
        <w:t xml:space="preserve"> </w:t>
      </w:r>
      <w:r w:rsidRPr="00E47BE6">
        <w:rPr>
          <w:lang w:val="pl-PL"/>
        </w:rPr>
        <w:t>zmiana form promocji, w której znaczną rolę</w:t>
      </w:r>
      <w:r w:rsidR="00AE6BCB" w:rsidRPr="00E47BE6">
        <w:rPr>
          <w:lang w:val="pl-PL"/>
        </w:rPr>
        <w:t xml:space="preserve"> odegrali blogerzy, influenserzy i </w:t>
      </w:r>
      <w:r w:rsidRPr="00E47BE6">
        <w:rPr>
          <w:lang w:val="pl-PL"/>
        </w:rPr>
        <w:t>youtuberzy zarówno krajowi, jak</w:t>
      </w:r>
      <w:r w:rsidR="008E0DA1" w:rsidRPr="00E47BE6">
        <w:rPr>
          <w:lang w:val="pl-PL"/>
        </w:rPr>
        <w:t xml:space="preserve"> </w:t>
      </w:r>
      <w:r w:rsidR="00E47BE6">
        <w:rPr>
          <w:lang w:val="pl-PL"/>
        </w:rPr>
        <w:br/>
      </w:r>
      <w:r w:rsidR="008E0DA1" w:rsidRPr="00E47BE6">
        <w:rPr>
          <w:lang w:val="pl-PL"/>
        </w:rPr>
        <w:t xml:space="preserve">i zagraniczni. Działania te </w:t>
      </w:r>
      <w:r w:rsidR="00AE6BCB" w:rsidRPr="00E47BE6">
        <w:rPr>
          <w:lang w:val="pl-PL"/>
        </w:rPr>
        <w:t xml:space="preserve">były finansowane ze </w:t>
      </w:r>
      <w:r w:rsidR="001B76B2">
        <w:rPr>
          <w:lang w:val="pl-PL"/>
        </w:rPr>
        <w:t>GMT</w:t>
      </w:r>
      <w:r w:rsidR="00AE6BCB" w:rsidRPr="00E47BE6">
        <w:rPr>
          <w:lang w:val="pl-PL"/>
        </w:rPr>
        <w:t xml:space="preserve">, jak również współfinasowane przez Polską Organizację Turystyczną </w:t>
      </w:r>
      <w:r w:rsidR="008E0DA1" w:rsidRPr="00E47BE6">
        <w:rPr>
          <w:lang w:val="pl-PL"/>
        </w:rPr>
        <w:t xml:space="preserve">(skutek przyznania </w:t>
      </w:r>
      <w:r w:rsidR="00AE6BCB" w:rsidRPr="00E47BE6">
        <w:rPr>
          <w:lang w:val="pl-PL"/>
        </w:rPr>
        <w:t>w 2019 r. Toruniowi tytułu Polskiej Marki Turystycznej</w:t>
      </w:r>
      <w:r w:rsidR="008E0DA1" w:rsidRPr="00E47BE6">
        <w:rPr>
          <w:lang w:val="pl-PL"/>
        </w:rPr>
        <w:t>),</w:t>
      </w:r>
    </w:p>
    <w:p w:rsidR="008E0DA1" w:rsidRDefault="008E0DA1" w:rsidP="00912BD8">
      <w:pPr>
        <w:numPr>
          <w:ilvl w:val="0"/>
          <w:numId w:val="45"/>
        </w:numPr>
        <w:spacing w:line="240" w:lineRule="auto"/>
        <w:jc w:val="both"/>
        <w:rPr>
          <w:lang w:val="pl-PL"/>
        </w:rPr>
      </w:pPr>
      <w:r w:rsidRPr="00E47BE6">
        <w:rPr>
          <w:lang w:val="pl-PL"/>
        </w:rPr>
        <w:t>wdrożono rządowy program</w:t>
      </w:r>
      <w:r w:rsidR="00AE6BCB" w:rsidRPr="00E47BE6">
        <w:rPr>
          <w:lang w:val="pl-PL"/>
        </w:rPr>
        <w:t xml:space="preserve"> pn. Polski Bon Turystyczny, do którego przystąpiło </w:t>
      </w:r>
      <w:r w:rsidR="001B76B2">
        <w:rPr>
          <w:lang w:val="pl-PL"/>
        </w:rPr>
        <w:br/>
      </w:r>
      <w:r w:rsidR="00AE6BCB" w:rsidRPr="00E47BE6">
        <w:rPr>
          <w:lang w:val="pl-PL"/>
        </w:rPr>
        <w:t>86 toruńskich podmiotów świadczących usługi</w:t>
      </w:r>
      <w:r w:rsidRPr="00E47BE6">
        <w:rPr>
          <w:lang w:val="pl-PL"/>
        </w:rPr>
        <w:t xml:space="preserve"> turystyczne i około turystyczne,</w:t>
      </w:r>
    </w:p>
    <w:p w:rsidR="008E0DA1" w:rsidRPr="00E47BE6" w:rsidRDefault="001B76B2" w:rsidP="00912BD8">
      <w:pPr>
        <w:numPr>
          <w:ilvl w:val="0"/>
          <w:numId w:val="45"/>
        </w:numPr>
        <w:spacing w:line="240" w:lineRule="auto"/>
        <w:jc w:val="both"/>
        <w:rPr>
          <w:lang w:val="pl-PL"/>
        </w:rPr>
      </w:pPr>
      <w:r>
        <w:rPr>
          <w:lang w:val="pl-PL"/>
        </w:rPr>
        <w:t xml:space="preserve">baza noclegowa: </w:t>
      </w:r>
      <w:r w:rsidR="008E0DA1" w:rsidRPr="00E47BE6">
        <w:rPr>
          <w:lang w:val="pl-PL"/>
        </w:rPr>
        <w:t>o</w:t>
      </w:r>
      <w:r w:rsidR="00AE6BCB" w:rsidRPr="00E47BE6">
        <w:rPr>
          <w:lang w:val="pl-PL"/>
        </w:rPr>
        <w:t>bok funkcjonujących hoteli powięk</w:t>
      </w:r>
      <w:r w:rsidR="008E0DA1" w:rsidRPr="00E47BE6">
        <w:rPr>
          <w:lang w:val="pl-PL"/>
        </w:rPr>
        <w:t>sza się baza apartamentów</w:t>
      </w:r>
      <w:r w:rsidR="00AE6BCB" w:rsidRPr="00E47BE6">
        <w:rPr>
          <w:lang w:val="pl-PL"/>
        </w:rPr>
        <w:t xml:space="preserve"> </w:t>
      </w:r>
      <w:r w:rsidR="008E0DA1" w:rsidRPr="00E47BE6">
        <w:rPr>
          <w:lang w:val="pl-PL"/>
        </w:rPr>
        <w:t>(</w:t>
      </w:r>
      <w:r w:rsidR="00AE6BCB" w:rsidRPr="00E47BE6">
        <w:rPr>
          <w:lang w:val="pl-PL"/>
        </w:rPr>
        <w:t>mieszkań udostępnianych do wynajmu krótkoterminowego</w:t>
      </w:r>
      <w:r w:rsidR="008E0DA1" w:rsidRPr="00E47BE6">
        <w:rPr>
          <w:lang w:val="pl-PL"/>
        </w:rPr>
        <w:t>)</w:t>
      </w:r>
      <w:r w:rsidR="00AE6BCB" w:rsidRPr="00E47BE6">
        <w:rPr>
          <w:lang w:val="pl-PL"/>
        </w:rPr>
        <w:t xml:space="preserve">. </w:t>
      </w:r>
      <w:r w:rsidR="008E0DA1" w:rsidRPr="00E47BE6">
        <w:rPr>
          <w:lang w:val="pl-PL"/>
        </w:rPr>
        <w:t>Wykorzystywany jest także toruński</w:t>
      </w:r>
      <w:r w:rsidR="00AE6BCB" w:rsidRPr="00E47BE6">
        <w:rPr>
          <w:lang w:val="pl-PL"/>
        </w:rPr>
        <w:t xml:space="preserve"> potencjał bazy d</w:t>
      </w:r>
      <w:r w:rsidR="008E0DA1" w:rsidRPr="00E47BE6">
        <w:rPr>
          <w:lang w:val="pl-PL"/>
        </w:rPr>
        <w:t xml:space="preserve">la caravaningu (camping Tramp). </w:t>
      </w:r>
    </w:p>
    <w:p w:rsidR="008E0DA1" w:rsidRPr="009F502E" w:rsidRDefault="00AE6BCB" w:rsidP="009F502E">
      <w:pPr>
        <w:spacing w:line="240" w:lineRule="auto"/>
        <w:jc w:val="both"/>
        <w:rPr>
          <w:i/>
          <w:lang w:val="pl-PL"/>
        </w:rPr>
      </w:pPr>
      <w:r w:rsidRPr="008E0DA1">
        <w:rPr>
          <w:i/>
          <w:lang w:val="pl-PL"/>
        </w:rPr>
        <w:t xml:space="preserve">Pełna treść 16. edycji </w:t>
      </w:r>
      <w:r w:rsidRPr="00E47BE6">
        <w:rPr>
          <w:i/>
          <w:lang w:val="pl-PL"/>
        </w:rPr>
        <w:t>Monitoringu Ruchu Turystycznego „Turystyczny Toruń 2020”</w:t>
      </w:r>
      <w:r w:rsidRPr="008E0DA1">
        <w:rPr>
          <w:i/>
          <w:lang w:val="pl-PL"/>
        </w:rPr>
        <w:t xml:space="preserve"> podlega publikacji na miejskiej stronie internetowej oraz stronie Ośrodka Informacji Turystycznej www.visittorun.com. </w:t>
      </w:r>
    </w:p>
    <w:p w:rsidR="00AE6BCB" w:rsidRDefault="008E0DA1" w:rsidP="008E0DA1">
      <w:pPr>
        <w:spacing w:line="240" w:lineRule="auto"/>
        <w:ind w:firstLine="357"/>
        <w:jc w:val="both"/>
        <w:rPr>
          <w:lang w:val="pl-PL"/>
        </w:rPr>
      </w:pPr>
      <w:r>
        <w:rPr>
          <w:lang w:val="pl-PL"/>
        </w:rPr>
        <w:t xml:space="preserve">Uchwałą Rady Miasta Torunia z września 2020 r. wydłużono </w:t>
      </w:r>
      <w:r w:rsidR="00EE5B4B">
        <w:rPr>
          <w:lang w:val="pl-PL"/>
        </w:rPr>
        <w:t>- do końca 2021 r. - okres obowiąz</w:t>
      </w:r>
      <w:r>
        <w:rPr>
          <w:lang w:val="pl-PL"/>
        </w:rPr>
        <w:t>ywania „</w:t>
      </w:r>
      <w:r>
        <w:rPr>
          <w:b/>
          <w:lang w:val="pl-PL"/>
        </w:rPr>
        <w:t>Strategii rozwoju turystyki dla Miasta Torunia do 2020 r.</w:t>
      </w:r>
      <w:r w:rsidR="00EE5B4B">
        <w:rPr>
          <w:b/>
          <w:lang w:val="pl-PL"/>
        </w:rPr>
        <w:t xml:space="preserve"> </w:t>
      </w:r>
      <w:r w:rsidR="00AE6BCB">
        <w:rPr>
          <w:lang w:val="pl-PL"/>
        </w:rPr>
        <w:t xml:space="preserve">W związku </w:t>
      </w:r>
      <w:r w:rsidR="00E47BE6">
        <w:rPr>
          <w:lang w:val="pl-PL"/>
        </w:rPr>
        <w:br/>
      </w:r>
      <w:r w:rsidR="00AE6BCB">
        <w:rPr>
          <w:lang w:val="pl-PL"/>
        </w:rPr>
        <w:t xml:space="preserve">z powyższym rok 2020 stał </w:t>
      </w:r>
      <w:r w:rsidR="00AE6BCB" w:rsidRPr="00E47BE6">
        <w:rPr>
          <w:shd w:val="clear" w:color="auto" w:fill="FFFFFF"/>
          <w:lang w:val="pl-PL"/>
        </w:rPr>
        <w:t>się</w:t>
      </w:r>
      <w:r w:rsidR="00AE6BCB">
        <w:rPr>
          <w:lang w:val="pl-PL"/>
        </w:rPr>
        <w:t xml:space="preserve"> rokiem sprawozdawczym z realizacji i kontynuacji założeń dokumentu strategicznego w ramach wyznaczonych priorytetów:</w:t>
      </w:r>
    </w:p>
    <w:p w:rsidR="00AE6BCB" w:rsidRDefault="00691290" w:rsidP="00691290">
      <w:pPr>
        <w:spacing w:line="240" w:lineRule="auto"/>
        <w:ind w:firstLine="357"/>
        <w:jc w:val="both"/>
        <w:rPr>
          <w:lang w:val="pl-PL"/>
        </w:rPr>
      </w:pPr>
      <w:r>
        <w:rPr>
          <w:lang w:val="pl-PL"/>
        </w:rPr>
        <w:sym w:font="Symbol" w:char="F0AE"/>
      </w:r>
      <w:r w:rsidR="00AE6BCB">
        <w:rPr>
          <w:b/>
          <w:lang w:val="pl-PL"/>
        </w:rPr>
        <w:t>Toruń przyjazny</w:t>
      </w:r>
      <w:r w:rsidR="00AE6BCB">
        <w:rPr>
          <w:lang w:val="pl-PL"/>
        </w:rPr>
        <w:t>: instalacja planów miasta na przystankach komunikacji miejskiej oraz w najczęściej odwiedzanych przez turystów punktach miasta, specjalna oferta zniżek dla seniorów m.in. w CK Dwór Artusa, promocja miasta na targach turystycznych we Wrocławiu, Szczecinie oraz na nośnikach AMS w Łodzi, Warszawie i Gdańsku, inwentaryzacja barier architektonicznych w przestrzeni zespołu staromiejskiego oraz b</w:t>
      </w:r>
      <w:r w:rsidR="00EE5B4B">
        <w:rPr>
          <w:lang w:val="pl-PL"/>
        </w:rPr>
        <w:t>udynków użyteczności publicznej;</w:t>
      </w:r>
    </w:p>
    <w:p w:rsidR="00AE6BCB" w:rsidRDefault="00691290" w:rsidP="00691290">
      <w:pPr>
        <w:spacing w:line="240" w:lineRule="auto"/>
        <w:ind w:firstLine="357"/>
        <w:jc w:val="both"/>
        <w:rPr>
          <w:lang w:val="pl-PL"/>
        </w:rPr>
      </w:pPr>
      <w:r>
        <w:rPr>
          <w:lang w:val="pl-PL"/>
        </w:rPr>
        <w:sym w:font="Symbol" w:char="F0AE"/>
      </w:r>
      <w:r w:rsidR="00AE6BCB">
        <w:rPr>
          <w:b/>
          <w:lang w:val="pl-PL"/>
        </w:rPr>
        <w:t>Toruń historyczny</w:t>
      </w:r>
      <w:r w:rsidR="00AE6BCB">
        <w:rPr>
          <w:lang w:val="pl-PL"/>
        </w:rPr>
        <w:t xml:space="preserve">: systematyczne odnawianie kolejnych staromiejskich obiektów zabytkowych, a w dalszej kolejności podwórek i piwnic, udzielanie dotacji na prace </w:t>
      </w:r>
      <w:r w:rsidR="00AE6BCB">
        <w:rPr>
          <w:lang w:val="pl-PL"/>
        </w:rPr>
        <w:lastRenderedPageBreak/>
        <w:t>kon</w:t>
      </w:r>
      <w:r w:rsidR="00EE5B4B">
        <w:rPr>
          <w:lang w:val="pl-PL"/>
        </w:rPr>
        <w:t>serwatorskie i remontowe, oddanie do użytku nowego</w:t>
      </w:r>
      <w:r w:rsidR="00AE6BCB">
        <w:rPr>
          <w:lang w:val="pl-PL"/>
        </w:rPr>
        <w:t xml:space="preserve"> oddział</w:t>
      </w:r>
      <w:r w:rsidR="00EE5B4B">
        <w:rPr>
          <w:lang w:val="pl-PL"/>
        </w:rPr>
        <w:t>u</w:t>
      </w:r>
      <w:r w:rsidR="00AE6BCB">
        <w:rPr>
          <w:lang w:val="pl-PL"/>
        </w:rPr>
        <w:t xml:space="preserve"> </w:t>
      </w:r>
      <w:r w:rsidR="00EE5B4B">
        <w:rPr>
          <w:lang w:val="pl-PL"/>
        </w:rPr>
        <w:t>Muzeum Twierdzy Toruń, oznaczenie „Fortecznego S</w:t>
      </w:r>
      <w:r w:rsidR="00AE6BCB">
        <w:rPr>
          <w:lang w:val="pl-PL"/>
        </w:rPr>
        <w:t>zlak</w:t>
      </w:r>
      <w:r w:rsidR="00EE5B4B">
        <w:rPr>
          <w:lang w:val="pl-PL"/>
        </w:rPr>
        <w:t>u</w:t>
      </w:r>
      <w:r w:rsidR="00AE6BCB">
        <w:rPr>
          <w:lang w:val="pl-PL"/>
        </w:rPr>
        <w:t xml:space="preserve"> Twierdzy Toruń”, </w:t>
      </w:r>
      <w:r w:rsidR="00EE5B4B">
        <w:rPr>
          <w:lang w:val="pl-PL"/>
        </w:rPr>
        <w:t>organizacja Świątecznego</w:t>
      </w:r>
      <w:r w:rsidR="00AE6BCB">
        <w:rPr>
          <w:lang w:val="pl-PL"/>
        </w:rPr>
        <w:t xml:space="preserve"> Festiwal</w:t>
      </w:r>
      <w:r w:rsidR="00EE5B4B">
        <w:rPr>
          <w:lang w:val="pl-PL"/>
        </w:rPr>
        <w:t>u Toruńskiej Katarzynki;</w:t>
      </w:r>
    </w:p>
    <w:p w:rsidR="00AE6BCB" w:rsidRDefault="00691290" w:rsidP="00691290">
      <w:pPr>
        <w:spacing w:line="240" w:lineRule="auto"/>
        <w:ind w:firstLine="357"/>
        <w:jc w:val="both"/>
        <w:rPr>
          <w:lang w:val="pl-PL"/>
        </w:rPr>
      </w:pPr>
      <w:r>
        <w:rPr>
          <w:lang w:val="pl-PL"/>
        </w:rPr>
        <w:sym w:font="Symbol" w:char="F0AE"/>
      </w:r>
      <w:r w:rsidR="00AE6BCB">
        <w:rPr>
          <w:b/>
          <w:lang w:val="pl-PL"/>
        </w:rPr>
        <w:t>Toruń aktywny</w:t>
      </w:r>
      <w:r w:rsidR="00AE6BCB">
        <w:rPr>
          <w:lang w:val="pl-PL"/>
        </w:rPr>
        <w:t>: Kulturalne Lato, Archipelag Zabawy, Festiwal Autorów Sztuki Zdjęć Filmowych Energa Camerimage 2020, imprezy plenerowe: Festiwal Wisły, Auto Skyway Festival, Artus Festival, Koncerty pod Gwiazdami, Festiwal Teatrów Ulicznych, imprezy sportowe: Orlen Copernicus Cup 2020, Sportowe Lato, Tauron Speedway Euro Championship Toruń 2020, 2020 FST Grupa Brokerska Torun FIM Speedway Grand Prix of Toruń oraz kampanie promujące wydarzen</w:t>
      </w:r>
      <w:r w:rsidR="00EE5B4B">
        <w:rPr>
          <w:lang w:val="pl-PL"/>
        </w:rPr>
        <w:t>ia w radiu, prasie i Internecie;</w:t>
      </w:r>
    </w:p>
    <w:p w:rsidR="00AE6BCB" w:rsidRDefault="00691290" w:rsidP="00691290">
      <w:pPr>
        <w:spacing w:line="240" w:lineRule="auto"/>
        <w:ind w:firstLine="357"/>
        <w:jc w:val="both"/>
        <w:rPr>
          <w:lang w:val="pl-PL"/>
        </w:rPr>
      </w:pPr>
      <w:r>
        <w:rPr>
          <w:lang w:val="pl-PL"/>
        </w:rPr>
        <w:sym w:font="Symbol" w:char="F0AE"/>
      </w:r>
      <w:r w:rsidR="00AE6BCB">
        <w:rPr>
          <w:b/>
          <w:lang w:val="pl-PL"/>
        </w:rPr>
        <w:t>Toruń edukacyjny</w:t>
      </w:r>
      <w:r w:rsidR="00AE6BCB">
        <w:rPr>
          <w:lang w:val="pl-PL"/>
        </w:rPr>
        <w:t>: III edycja katalogu „Edukacyjny Toruń”, zajęcia edukacyjne dla grup w różnym wieku organizowane m.in. przez Muzeum Okręgowe oraz CK Dwór Art</w:t>
      </w:r>
      <w:r w:rsidR="00EE5B4B">
        <w:rPr>
          <w:lang w:val="pl-PL"/>
        </w:rPr>
        <w:t>usa;</w:t>
      </w:r>
    </w:p>
    <w:p w:rsidR="00AE6BCB" w:rsidRPr="00691290" w:rsidRDefault="00691290" w:rsidP="00691290">
      <w:pPr>
        <w:spacing w:line="240" w:lineRule="auto"/>
        <w:ind w:firstLine="357"/>
        <w:jc w:val="both"/>
        <w:rPr>
          <w:b/>
          <w:lang w:val="pl-PL"/>
        </w:rPr>
      </w:pPr>
      <w:r>
        <w:rPr>
          <w:lang w:val="pl-PL"/>
        </w:rPr>
        <w:sym w:font="Symbol" w:char="F0AE"/>
      </w:r>
      <w:r w:rsidR="00AE6BCB">
        <w:rPr>
          <w:b/>
          <w:lang w:val="pl-PL"/>
        </w:rPr>
        <w:t>Toruń biznesowy</w:t>
      </w:r>
      <w:r w:rsidR="00AE6BCB">
        <w:rPr>
          <w:lang w:val="pl-PL"/>
        </w:rPr>
        <w:t xml:space="preserve">: znak „Made in Toruń”, </w:t>
      </w:r>
      <w:r w:rsidR="00EE5B4B">
        <w:rPr>
          <w:lang w:val="pl-PL"/>
        </w:rPr>
        <w:t xml:space="preserve">organizacja </w:t>
      </w:r>
      <w:r w:rsidR="00AE6BCB">
        <w:rPr>
          <w:lang w:val="pl-PL"/>
        </w:rPr>
        <w:t xml:space="preserve">Welconomy Forum in Torun, DroneTech World Meeting 2020, internetowa kampania reklamowa promująca Toruń jako miasto MICE, aktualizacja bazy danych hoteli MICE i obiektów eventowych w Toruniu, </w:t>
      </w:r>
      <w:r w:rsidR="00EE5B4B">
        <w:rPr>
          <w:lang w:val="pl-PL"/>
        </w:rPr>
        <w:t>organizacja Międzynarodowego</w:t>
      </w:r>
      <w:r w:rsidR="00AE6BCB">
        <w:rPr>
          <w:lang w:val="pl-PL"/>
        </w:rPr>
        <w:t xml:space="preserve"> Kongres</w:t>
      </w:r>
      <w:r w:rsidR="00EE5B4B">
        <w:rPr>
          <w:lang w:val="pl-PL"/>
        </w:rPr>
        <w:t>u Azjatyckiego.</w:t>
      </w:r>
    </w:p>
    <w:p w:rsidR="00AE6BCB" w:rsidRDefault="00AE6BCB" w:rsidP="00E47BE6">
      <w:pPr>
        <w:spacing w:line="240" w:lineRule="auto"/>
        <w:jc w:val="both"/>
        <w:rPr>
          <w:i/>
          <w:color w:val="FF0000"/>
          <w:lang w:val="pl-PL"/>
        </w:rPr>
      </w:pPr>
      <w:r>
        <w:rPr>
          <w:i/>
          <w:lang w:val="pl-PL"/>
        </w:rPr>
        <w:t xml:space="preserve">Szczegółowe sprawozdanie z realizacji </w:t>
      </w:r>
      <w:r w:rsidRPr="00E47BE6">
        <w:rPr>
          <w:i/>
          <w:lang w:val="pl-PL"/>
        </w:rPr>
        <w:t>„Strategii rozwoju turystyki dla Miasta Torunia do 2020 z wydłużeniem okresu obowiązywania do 2021”</w:t>
      </w:r>
      <w:r>
        <w:rPr>
          <w:i/>
          <w:lang w:val="pl-PL"/>
        </w:rPr>
        <w:t xml:space="preserve"> zawiera odrębna informacja przedkładana Radzie Miasta Torunia zgodnie z procedurą.</w:t>
      </w:r>
    </w:p>
    <w:p w:rsidR="00AE6BCB" w:rsidRDefault="00AE6BCB" w:rsidP="009C7C02">
      <w:pPr>
        <w:spacing w:line="240" w:lineRule="auto"/>
        <w:jc w:val="both"/>
        <w:rPr>
          <w:i/>
          <w:color w:val="FF0000"/>
          <w:lang w:val="pl-PL"/>
        </w:rPr>
      </w:pPr>
    </w:p>
    <w:p w:rsidR="00AE6BCB" w:rsidRDefault="00E47BE6" w:rsidP="00F155F0">
      <w:pPr>
        <w:pStyle w:val="Nagwek1"/>
        <w:numPr>
          <w:ilvl w:val="0"/>
          <w:numId w:val="0"/>
        </w:numPr>
        <w:spacing w:line="240" w:lineRule="auto"/>
        <w:ind w:left="432" w:hanging="432"/>
        <w:rPr>
          <w:color w:val="FF0000"/>
          <w:szCs w:val="24"/>
          <w:lang w:val="pl-PL"/>
        </w:rPr>
      </w:pPr>
      <w:bookmarkStart w:id="160" w:name="__RefHeading__32024_2082197896"/>
      <w:bookmarkStart w:id="161" w:name="_Toc69477735"/>
      <w:bookmarkStart w:id="162" w:name="_Toc69372283"/>
      <w:bookmarkEnd w:id="160"/>
      <w:r>
        <w:rPr>
          <w:color w:val="0070C0"/>
          <w:lang w:val="pl-PL"/>
        </w:rPr>
        <w:t>X</w:t>
      </w:r>
      <w:r w:rsidR="00F155F0">
        <w:rPr>
          <w:color w:val="0070C0"/>
          <w:lang w:val="pl-PL"/>
        </w:rPr>
        <w:t xml:space="preserve">V. </w:t>
      </w:r>
      <w:r w:rsidR="00AE6BCB">
        <w:rPr>
          <w:color w:val="0070C0"/>
          <w:lang w:val="pl-PL"/>
        </w:rPr>
        <w:t>PROMOCJA I WSPÓŁPRACA MIĘDZYNARODOWA</w:t>
      </w:r>
      <w:bookmarkEnd w:id="161"/>
      <w:bookmarkEnd w:id="162"/>
    </w:p>
    <w:p w:rsidR="00AE6BCB" w:rsidRDefault="00AE6BCB" w:rsidP="009C7C02">
      <w:pPr>
        <w:spacing w:line="240" w:lineRule="auto"/>
        <w:jc w:val="both"/>
        <w:rPr>
          <w:color w:val="FF0000"/>
          <w:lang w:val="pl-PL"/>
        </w:rPr>
      </w:pPr>
    </w:p>
    <w:p w:rsidR="00AE6BCB" w:rsidRPr="00E47BE6" w:rsidRDefault="00AE6BCB" w:rsidP="009C7C02">
      <w:pPr>
        <w:pStyle w:val="Nagwek2"/>
        <w:spacing w:before="0" w:after="0" w:line="240" w:lineRule="auto"/>
        <w:rPr>
          <w:rFonts w:ascii="Times New Roman" w:hAnsi="Times New Roman" w:cs="Times New Roman"/>
          <w:color w:val="FF0000"/>
          <w:sz w:val="24"/>
          <w:szCs w:val="24"/>
          <w:lang w:val="pl-PL"/>
        </w:rPr>
      </w:pPr>
      <w:bookmarkStart w:id="163" w:name="__RefHeading__32026_2082197896"/>
      <w:bookmarkStart w:id="164" w:name="_Toc69477736"/>
      <w:bookmarkStart w:id="165" w:name="_Toc69372284"/>
      <w:bookmarkEnd w:id="163"/>
      <w:r w:rsidRPr="00E47BE6">
        <w:rPr>
          <w:rFonts w:ascii="Times New Roman" w:hAnsi="Times New Roman" w:cs="Times New Roman"/>
          <w:color w:val="0070C0"/>
          <w:sz w:val="24"/>
          <w:lang w:val="pl-PL"/>
        </w:rPr>
        <w:t>Najważniejsze działania i wydarzenia promocyjne w 2020 r.</w:t>
      </w:r>
      <w:bookmarkEnd w:id="164"/>
      <w:bookmarkEnd w:id="165"/>
    </w:p>
    <w:p w:rsidR="00AE6BCB" w:rsidRDefault="00AE6BCB" w:rsidP="009C7C02">
      <w:pPr>
        <w:spacing w:line="240" w:lineRule="auto"/>
        <w:ind w:firstLine="709"/>
        <w:jc w:val="both"/>
        <w:rPr>
          <w:lang w:val="pl-PL"/>
        </w:rPr>
      </w:pPr>
      <w:r w:rsidRPr="00EE5B4B">
        <w:rPr>
          <w:lang w:val="pl-PL"/>
        </w:rPr>
        <w:t>W 2020 r. planowane były liczne działania i wydarzenia promocyjne. Z uwagi na wprowadzane obostrzenia</w:t>
      </w:r>
      <w:r w:rsidR="009F502E">
        <w:rPr>
          <w:lang w:val="pl-PL"/>
        </w:rPr>
        <w:t>,</w:t>
      </w:r>
      <w:r w:rsidRPr="00EE5B4B">
        <w:rPr>
          <w:lang w:val="pl-PL"/>
        </w:rPr>
        <w:t xml:space="preserve"> wynikające z </w:t>
      </w:r>
      <w:r w:rsidR="009F502E">
        <w:rPr>
          <w:lang w:val="pl-PL"/>
        </w:rPr>
        <w:t>pandemii</w:t>
      </w:r>
      <w:r w:rsidR="00E47BE6">
        <w:rPr>
          <w:lang w:val="pl-PL"/>
        </w:rPr>
        <w:t xml:space="preserve"> </w:t>
      </w:r>
      <w:r w:rsidR="009F502E">
        <w:rPr>
          <w:lang w:val="pl-PL"/>
        </w:rPr>
        <w:t>korona wirusa,</w:t>
      </w:r>
      <w:r w:rsidRPr="00EE5B4B">
        <w:rPr>
          <w:lang w:val="pl-PL"/>
        </w:rPr>
        <w:t xml:space="preserve"> część z nich została odwołana, m.in. 10 edycja Toruńskiego Festiwalu Smaków, wiosenna i jesienna edycja „Toruń za pół ceny”. Sytuacja epidemiczna wymusiła przeprowadzenie licznych wydarzeń zarówno kulturalnych</w:t>
      </w:r>
      <w:r w:rsidR="009F502E">
        <w:rPr>
          <w:lang w:val="pl-PL"/>
        </w:rPr>
        <w:t>,</w:t>
      </w:r>
      <w:r w:rsidRPr="00EE5B4B">
        <w:rPr>
          <w:lang w:val="pl-PL"/>
        </w:rPr>
        <w:t xml:space="preserve"> jak i turystycznych w formie on-line, za pośrednictwem Internetu </w:t>
      </w:r>
      <w:r w:rsidR="009F502E">
        <w:rPr>
          <w:lang w:val="pl-PL"/>
        </w:rPr>
        <w:br/>
      </w:r>
      <w:r w:rsidRPr="00EE5B4B">
        <w:rPr>
          <w:lang w:val="pl-PL"/>
        </w:rPr>
        <w:t>i mediów społecznościowych. Urząd Miasta Torunia przeprowadził następujące kampanie promujące zarówno walory turystyczne miasta jak i mające na celu wsparcie branży turyst</w:t>
      </w:r>
      <w:r w:rsidR="00E47BE6">
        <w:rPr>
          <w:lang w:val="pl-PL"/>
        </w:rPr>
        <w:t>ycznej w okresie pandemii korona</w:t>
      </w:r>
      <w:r w:rsidRPr="00EE5B4B">
        <w:rPr>
          <w:lang w:val="pl-PL"/>
        </w:rPr>
        <w:t>wirusa:</w:t>
      </w:r>
    </w:p>
    <w:p w:rsidR="00AE6BCB" w:rsidRDefault="00AE6BCB" w:rsidP="00912BD8">
      <w:pPr>
        <w:numPr>
          <w:ilvl w:val="0"/>
          <w:numId w:val="19"/>
        </w:numPr>
        <w:spacing w:line="240" w:lineRule="auto"/>
        <w:jc w:val="both"/>
        <w:rPr>
          <w:lang w:val="pl-PL"/>
        </w:rPr>
      </w:pPr>
      <w:r w:rsidRPr="00EE5B4B">
        <w:rPr>
          <w:lang w:val="pl-PL"/>
        </w:rPr>
        <w:t xml:space="preserve">Przygotowanie toruńskiej bazy restauracji na wynos i z dowozem </w:t>
      </w:r>
    </w:p>
    <w:p w:rsidR="00EE5B4B" w:rsidRDefault="00AE6BCB" w:rsidP="00912BD8">
      <w:pPr>
        <w:numPr>
          <w:ilvl w:val="0"/>
          <w:numId w:val="19"/>
        </w:numPr>
        <w:spacing w:line="240" w:lineRule="auto"/>
        <w:jc w:val="both"/>
        <w:rPr>
          <w:lang w:val="pl-PL"/>
        </w:rPr>
      </w:pPr>
      <w:r w:rsidRPr="00EE5B4B">
        <w:rPr>
          <w:lang w:val="pl-PL"/>
        </w:rPr>
        <w:t xml:space="preserve">Torunwillwait, Torunisready </w:t>
      </w:r>
    </w:p>
    <w:p w:rsidR="00EE5B4B" w:rsidRDefault="00AE6BCB" w:rsidP="00912BD8">
      <w:pPr>
        <w:numPr>
          <w:ilvl w:val="0"/>
          <w:numId w:val="19"/>
        </w:numPr>
        <w:spacing w:line="240" w:lineRule="auto"/>
        <w:jc w:val="both"/>
        <w:rPr>
          <w:lang w:val="pl-PL"/>
        </w:rPr>
      </w:pPr>
      <w:r w:rsidRPr="00EE5B4B">
        <w:rPr>
          <w:lang w:val="pl-PL"/>
        </w:rPr>
        <w:t>Toruński Bon Turystyczny</w:t>
      </w:r>
    </w:p>
    <w:p w:rsidR="00AE6BCB" w:rsidRDefault="00AE6BCB" w:rsidP="00912BD8">
      <w:pPr>
        <w:numPr>
          <w:ilvl w:val="0"/>
          <w:numId w:val="19"/>
        </w:numPr>
        <w:spacing w:line="240" w:lineRule="auto"/>
        <w:jc w:val="both"/>
        <w:rPr>
          <w:lang w:val="pl-PL"/>
        </w:rPr>
      </w:pPr>
      <w:r w:rsidRPr="00EE5B4B">
        <w:rPr>
          <w:lang w:val="pl-PL"/>
        </w:rPr>
        <w:t xml:space="preserve"> #ZmienTerminNieOdwoluj </w:t>
      </w:r>
    </w:p>
    <w:p w:rsidR="00EE5B4B" w:rsidRDefault="00AE6BCB" w:rsidP="00912BD8">
      <w:pPr>
        <w:numPr>
          <w:ilvl w:val="0"/>
          <w:numId w:val="19"/>
        </w:numPr>
        <w:spacing w:line="240" w:lineRule="auto"/>
        <w:jc w:val="both"/>
        <w:rPr>
          <w:lang w:val="pl-PL"/>
        </w:rPr>
      </w:pPr>
      <w:r w:rsidRPr="00EE5B4B">
        <w:rPr>
          <w:lang w:val="pl-PL"/>
        </w:rPr>
        <w:t xml:space="preserve">#WspieramGastroToruń </w:t>
      </w:r>
    </w:p>
    <w:p w:rsidR="00EE5B4B" w:rsidRDefault="00AE6BCB" w:rsidP="00912BD8">
      <w:pPr>
        <w:numPr>
          <w:ilvl w:val="0"/>
          <w:numId w:val="19"/>
        </w:numPr>
        <w:spacing w:line="240" w:lineRule="auto"/>
        <w:jc w:val="both"/>
        <w:rPr>
          <w:lang w:val="pl-PL"/>
        </w:rPr>
      </w:pPr>
      <w:r w:rsidRPr="00EE5B4B">
        <w:rPr>
          <w:lang w:val="pl-PL"/>
        </w:rPr>
        <w:t xml:space="preserve">Moja wyprawa na Starówkę </w:t>
      </w:r>
    </w:p>
    <w:p w:rsidR="00EE5B4B" w:rsidRDefault="00AE6BCB" w:rsidP="00912BD8">
      <w:pPr>
        <w:numPr>
          <w:ilvl w:val="0"/>
          <w:numId w:val="19"/>
        </w:numPr>
        <w:spacing w:line="240" w:lineRule="auto"/>
        <w:jc w:val="both"/>
        <w:rPr>
          <w:lang w:val="pl-PL"/>
        </w:rPr>
      </w:pPr>
      <w:r w:rsidRPr="00EE5B4B">
        <w:rPr>
          <w:lang w:val="pl-PL"/>
        </w:rPr>
        <w:t xml:space="preserve">Zajrzyj na toruńską starówkę </w:t>
      </w:r>
    </w:p>
    <w:p w:rsidR="00EE5B4B" w:rsidRDefault="00AE6BCB" w:rsidP="00912BD8">
      <w:pPr>
        <w:numPr>
          <w:ilvl w:val="0"/>
          <w:numId w:val="19"/>
        </w:numPr>
        <w:spacing w:line="240" w:lineRule="auto"/>
        <w:jc w:val="both"/>
        <w:rPr>
          <w:lang w:val="pl-PL"/>
        </w:rPr>
      </w:pPr>
      <w:r w:rsidRPr="00EE5B4B">
        <w:rPr>
          <w:lang w:val="pl-PL"/>
        </w:rPr>
        <w:t xml:space="preserve">Zaproś najbliższych do Torunia </w:t>
      </w:r>
    </w:p>
    <w:p w:rsidR="00EE5B4B" w:rsidRDefault="00AE6BCB" w:rsidP="00912BD8">
      <w:pPr>
        <w:numPr>
          <w:ilvl w:val="0"/>
          <w:numId w:val="19"/>
        </w:numPr>
        <w:spacing w:line="240" w:lineRule="auto"/>
        <w:jc w:val="both"/>
        <w:rPr>
          <w:lang w:val="pl-PL"/>
        </w:rPr>
      </w:pPr>
      <w:r w:rsidRPr="00EE5B4B">
        <w:rPr>
          <w:lang w:val="pl-PL"/>
        </w:rPr>
        <w:t xml:space="preserve">Tropiciele Toruńskich Tajemnic </w:t>
      </w:r>
    </w:p>
    <w:p w:rsidR="00AE6BCB" w:rsidRDefault="00AE6BCB" w:rsidP="00912BD8">
      <w:pPr>
        <w:numPr>
          <w:ilvl w:val="0"/>
          <w:numId w:val="19"/>
        </w:numPr>
        <w:spacing w:line="240" w:lineRule="auto"/>
        <w:jc w:val="both"/>
        <w:rPr>
          <w:lang w:val="pl-PL"/>
        </w:rPr>
      </w:pPr>
      <w:r w:rsidRPr="00EE5B4B">
        <w:rPr>
          <w:lang w:val="pl-PL"/>
        </w:rPr>
        <w:t xml:space="preserve">Toruński Tydzień Restauracji </w:t>
      </w:r>
    </w:p>
    <w:p w:rsidR="00EE5B4B" w:rsidRDefault="00AE6BCB" w:rsidP="00912BD8">
      <w:pPr>
        <w:numPr>
          <w:ilvl w:val="0"/>
          <w:numId w:val="19"/>
        </w:numPr>
        <w:spacing w:line="240" w:lineRule="auto"/>
        <w:jc w:val="both"/>
        <w:rPr>
          <w:lang w:val="pl-PL"/>
        </w:rPr>
      </w:pPr>
      <w:r w:rsidRPr="00EE5B4B">
        <w:rPr>
          <w:lang w:val="pl-PL"/>
        </w:rPr>
        <w:t xml:space="preserve">#TakeAwayChallenge </w:t>
      </w:r>
    </w:p>
    <w:p w:rsidR="00EE5B4B" w:rsidRDefault="00AE6BCB" w:rsidP="00912BD8">
      <w:pPr>
        <w:numPr>
          <w:ilvl w:val="0"/>
          <w:numId w:val="19"/>
        </w:numPr>
        <w:spacing w:line="240" w:lineRule="auto"/>
        <w:jc w:val="both"/>
        <w:rPr>
          <w:lang w:val="pl-PL"/>
        </w:rPr>
      </w:pPr>
      <w:r w:rsidRPr="00EE5B4B">
        <w:rPr>
          <w:lang w:val="pl-PL"/>
        </w:rPr>
        <w:t xml:space="preserve">#KupujLokalnieWspierajToruń </w:t>
      </w:r>
    </w:p>
    <w:p w:rsidR="00EE5B4B" w:rsidRDefault="00AE6BCB" w:rsidP="00912BD8">
      <w:pPr>
        <w:numPr>
          <w:ilvl w:val="0"/>
          <w:numId w:val="19"/>
        </w:numPr>
        <w:spacing w:line="240" w:lineRule="auto"/>
        <w:jc w:val="both"/>
        <w:rPr>
          <w:lang w:val="pl-PL"/>
        </w:rPr>
      </w:pPr>
      <w:r w:rsidRPr="00EE5B4B">
        <w:rPr>
          <w:lang w:val="pl-PL"/>
        </w:rPr>
        <w:t xml:space="preserve">#KupujLokalnieWspierajToruń </w:t>
      </w:r>
    </w:p>
    <w:p w:rsidR="00AE6BCB" w:rsidRDefault="00AE6BCB" w:rsidP="00912BD8">
      <w:pPr>
        <w:numPr>
          <w:ilvl w:val="0"/>
          <w:numId w:val="19"/>
        </w:numPr>
        <w:spacing w:line="240" w:lineRule="auto"/>
        <w:jc w:val="both"/>
        <w:rPr>
          <w:lang w:val="pl-PL"/>
        </w:rPr>
      </w:pPr>
      <w:r w:rsidRPr="00EE5B4B">
        <w:rPr>
          <w:lang w:val="pl-PL"/>
        </w:rPr>
        <w:t>Promocja Torunia jako atrakcyjnego miejsca do organizacji różnego rodzaju eventów (rynek MICE) w „Event Katalogu Plus” (Wydawni</w:t>
      </w:r>
      <w:r w:rsidR="00EE5B4B" w:rsidRPr="00EE5B4B">
        <w:rPr>
          <w:lang w:val="pl-PL"/>
        </w:rPr>
        <w:t>ctwo Event Polska) nr 2020/2021,</w:t>
      </w:r>
    </w:p>
    <w:p w:rsidR="00EE5B4B" w:rsidRDefault="00AE6BCB" w:rsidP="00912BD8">
      <w:pPr>
        <w:numPr>
          <w:ilvl w:val="0"/>
          <w:numId w:val="19"/>
        </w:numPr>
        <w:spacing w:line="240" w:lineRule="auto"/>
        <w:jc w:val="both"/>
        <w:rPr>
          <w:lang w:val="pl-PL"/>
        </w:rPr>
      </w:pPr>
      <w:r w:rsidRPr="00EE5B4B">
        <w:rPr>
          <w:lang w:val="pl-PL"/>
        </w:rPr>
        <w:t>Prezentacja toruńskiej planszy informującej o atrakcjach turystycznych podczas wystawy „Najciekawsze miejsca w Polsce 2020</w:t>
      </w:r>
      <w:r w:rsidR="00EE5B4B" w:rsidRPr="00EE5B4B">
        <w:rPr>
          <w:lang w:val="pl-PL"/>
        </w:rPr>
        <w:t>” organizowanej w Warszawie,</w:t>
      </w:r>
    </w:p>
    <w:p w:rsidR="00EE5B4B" w:rsidRDefault="00AE6BCB" w:rsidP="00912BD8">
      <w:pPr>
        <w:numPr>
          <w:ilvl w:val="0"/>
          <w:numId w:val="19"/>
        </w:numPr>
        <w:spacing w:line="240" w:lineRule="auto"/>
        <w:jc w:val="both"/>
        <w:rPr>
          <w:lang w:val="pl-PL"/>
        </w:rPr>
      </w:pPr>
      <w:r w:rsidRPr="00EE5B4B">
        <w:rPr>
          <w:lang w:val="pl-PL"/>
        </w:rPr>
        <w:t>Onet Rano #wPodróży</w:t>
      </w:r>
    </w:p>
    <w:p w:rsidR="00AE6BCB" w:rsidRDefault="00AE6BCB" w:rsidP="00912BD8">
      <w:pPr>
        <w:numPr>
          <w:ilvl w:val="0"/>
          <w:numId w:val="19"/>
        </w:numPr>
        <w:spacing w:line="240" w:lineRule="auto"/>
        <w:jc w:val="both"/>
        <w:rPr>
          <w:lang w:val="pl-PL"/>
        </w:rPr>
      </w:pPr>
      <w:r w:rsidRPr="00EE5B4B">
        <w:rPr>
          <w:lang w:val="pl-PL"/>
        </w:rPr>
        <w:lastRenderedPageBreak/>
        <w:t xml:space="preserve">Współpraca z </w:t>
      </w:r>
      <w:r w:rsidR="00C7100A">
        <w:rPr>
          <w:lang w:val="pl-PL"/>
        </w:rPr>
        <w:t>b</w:t>
      </w:r>
      <w:r w:rsidR="00CA5B18">
        <w:rPr>
          <w:lang w:val="pl-PL"/>
        </w:rPr>
        <w:t>logerami</w:t>
      </w:r>
    </w:p>
    <w:p w:rsidR="00AE6BCB" w:rsidRPr="00CA5B18" w:rsidRDefault="009F502E" w:rsidP="00912BD8">
      <w:pPr>
        <w:numPr>
          <w:ilvl w:val="0"/>
          <w:numId w:val="19"/>
        </w:numPr>
        <w:spacing w:line="240" w:lineRule="auto"/>
        <w:jc w:val="both"/>
        <w:rPr>
          <w:lang w:val="pl-PL"/>
        </w:rPr>
      </w:pPr>
      <w:r>
        <w:rPr>
          <w:lang w:val="pl-PL"/>
        </w:rPr>
        <w:t>Współpraca z POT -</w:t>
      </w:r>
      <w:r w:rsidR="00AE6BCB" w:rsidRPr="00CA5B18">
        <w:rPr>
          <w:lang w:val="pl-PL"/>
        </w:rPr>
        <w:t xml:space="preserve"> dzięki uprzywilejowanej pozycji Torunia i skutecznej aplikacji </w:t>
      </w:r>
      <w:r w:rsidR="00C7100A">
        <w:rPr>
          <w:lang w:val="pl-PL"/>
        </w:rPr>
        <w:br/>
      </w:r>
      <w:r w:rsidR="00AE6BCB" w:rsidRPr="00CA5B18">
        <w:rPr>
          <w:lang w:val="pl-PL"/>
        </w:rPr>
        <w:t>w 2019 r. o tytuł „Polskiej Marki Turystycznej” Toruń znalazł się w gronie 10 miejsc w Europie rekomendowanych do odwiedzenia przez serwis theculturetrip.com</w:t>
      </w:r>
      <w:r w:rsidR="00CA5B18" w:rsidRPr="00CA5B18">
        <w:rPr>
          <w:lang w:val="pl-PL"/>
        </w:rPr>
        <w:t>.</w:t>
      </w:r>
    </w:p>
    <w:p w:rsidR="00AE6BCB" w:rsidRPr="00CA5B18" w:rsidRDefault="00AE6BCB" w:rsidP="00E47BE6">
      <w:pPr>
        <w:spacing w:line="240" w:lineRule="auto"/>
        <w:jc w:val="both"/>
        <w:rPr>
          <w:lang w:val="pl-PL"/>
        </w:rPr>
      </w:pPr>
      <w:r w:rsidRPr="00CA5B18">
        <w:rPr>
          <w:lang w:val="pl-PL"/>
        </w:rPr>
        <w:t>W ramach każdej z przeprowadzonych kampanii i akcji przygotowane zostały dedykowane materiały dla lokalnych mediów, serwisów miejskich oraz portali społecznościowych. Każda z akcji była promowana za pomocą artykułów prasowych, postów, spotów wideo oraz materiałów graficznych.</w:t>
      </w:r>
    </w:p>
    <w:p w:rsidR="00AE6BCB" w:rsidRDefault="00AE6BCB" w:rsidP="009C7C02">
      <w:pPr>
        <w:pStyle w:val="NormalWeb"/>
        <w:spacing w:before="0" w:after="0" w:line="240" w:lineRule="auto"/>
        <w:jc w:val="both"/>
        <w:rPr>
          <w:lang w:val="pl-PL"/>
        </w:rPr>
      </w:pPr>
    </w:p>
    <w:p w:rsidR="00AE6BCB" w:rsidRPr="00C7100A" w:rsidRDefault="00AE6BCB" w:rsidP="009C7C02">
      <w:pPr>
        <w:pStyle w:val="Nagwek2"/>
        <w:spacing w:before="0" w:after="0" w:line="240" w:lineRule="auto"/>
        <w:rPr>
          <w:rFonts w:ascii="Times New Roman" w:hAnsi="Times New Roman" w:cs="Times New Roman"/>
          <w:sz w:val="24"/>
          <w:szCs w:val="24"/>
          <w:lang w:val="pl-PL"/>
        </w:rPr>
      </w:pPr>
      <w:bookmarkStart w:id="166" w:name="__RefHeading__32028_2082197896"/>
      <w:bookmarkStart w:id="167" w:name="_Toc69477737"/>
      <w:bookmarkStart w:id="168" w:name="_Toc69372285"/>
      <w:bookmarkEnd w:id="166"/>
      <w:r w:rsidRPr="00C7100A">
        <w:rPr>
          <w:rFonts w:ascii="Times New Roman" w:hAnsi="Times New Roman" w:cs="Times New Roman"/>
          <w:color w:val="0070C0"/>
          <w:sz w:val="24"/>
          <w:lang w:val="pl-PL"/>
        </w:rPr>
        <w:t>100. rocznica powrotu Torunia do wolnej Polski</w:t>
      </w:r>
      <w:bookmarkEnd w:id="167"/>
      <w:bookmarkEnd w:id="168"/>
    </w:p>
    <w:p w:rsidR="00CA5B18" w:rsidRDefault="00AE6BCB" w:rsidP="009C7C02">
      <w:pPr>
        <w:spacing w:line="240" w:lineRule="auto"/>
        <w:ind w:firstLine="709"/>
        <w:jc w:val="both"/>
        <w:rPr>
          <w:lang w:val="pl-PL"/>
        </w:rPr>
      </w:pPr>
      <w:r>
        <w:rPr>
          <w:lang w:val="pl-PL"/>
        </w:rPr>
        <w:t xml:space="preserve">Wydarzenia </w:t>
      </w:r>
      <w:r w:rsidR="00CA5B18">
        <w:rPr>
          <w:lang w:val="pl-PL"/>
        </w:rPr>
        <w:t xml:space="preserve">promocyjne </w:t>
      </w:r>
      <w:r w:rsidR="000008C0">
        <w:rPr>
          <w:lang w:val="pl-PL"/>
        </w:rPr>
        <w:t xml:space="preserve">w </w:t>
      </w:r>
      <w:r>
        <w:rPr>
          <w:lang w:val="pl-PL"/>
        </w:rPr>
        <w:t>2020 r., zgodnie z przyjętym przez Radę Miasta Torunia stanowiskiem nr 1/19 z dnia 7 lutego 2019 r., skupiały się w dużej mierze na 100. rocznicy p</w:t>
      </w:r>
      <w:r w:rsidR="00CA5B18">
        <w:rPr>
          <w:lang w:val="pl-PL"/>
        </w:rPr>
        <w:t>owrotu Torunia do wolnej Polski (wykaz chronologiczny, główne obchody w</w:t>
      </w:r>
      <w:r w:rsidR="000008C0">
        <w:rPr>
          <w:lang w:val="pl-PL"/>
        </w:rPr>
        <w:t xml:space="preserve"> dniach 16-19 stycznia 2020 r.)</w:t>
      </w:r>
      <w:r w:rsidR="00CA5B18">
        <w:rPr>
          <w:lang w:val="pl-PL"/>
        </w:rPr>
        <w:t>:</w:t>
      </w:r>
    </w:p>
    <w:p w:rsidR="00CA5B18" w:rsidRPr="00CA5B18" w:rsidRDefault="00CA5B18" w:rsidP="00912BD8">
      <w:pPr>
        <w:numPr>
          <w:ilvl w:val="0"/>
          <w:numId w:val="20"/>
        </w:numPr>
        <w:spacing w:line="240" w:lineRule="auto"/>
        <w:jc w:val="both"/>
        <w:rPr>
          <w:color w:val="000000"/>
          <w:lang w:val="pl-PL"/>
        </w:rPr>
      </w:pPr>
      <w:r>
        <w:rPr>
          <w:lang w:val="pl-PL"/>
        </w:rPr>
        <w:t>uroczysta sesja</w:t>
      </w:r>
      <w:r w:rsidR="00AE6BCB">
        <w:rPr>
          <w:lang w:val="pl-PL"/>
        </w:rPr>
        <w:t xml:space="preserve"> Rady Miasta T</w:t>
      </w:r>
      <w:r>
        <w:rPr>
          <w:lang w:val="pl-PL"/>
        </w:rPr>
        <w:t>orunia w Ratuszu Staromiejskim,</w:t>
      </w:r>
    </w:p>
    <w:p w:rsidR="00CA5B18" w:rsidRPr="00CA5B18" w:rsidRDefault="00CA5B18" w:rsidP="00912BD8">
      <w:pPr>
        <w:numPr>
          <w:ilvl w:val="0"/>
          <w:numId w:val="20"/>
        </w:numPr>
        <w:spacing w:line="240" w:lineRule="auto"/>
        <w:jc w:val="both"/>
        <w:rPr>
          <w:color w:val="000000"/>
          <w:lang w:val="pl-PL"/>
        </w:rPr>
      </w:pPr>
      <w:r>
        <w:rPr>
          <w:lang w:val="pl-PL"/>
        </w:rPr>
        <w:t>konferencja naukowa</w:t>
      </w:r>
      <w:r w:rsidR="00AE6BCB">
        <w:rPr>
          <w:lang w:val="pl-PL"/>
        </w:rPr>
        <w:t xml:space="preserve"> pn. „Powrót Torunia do Polski”, </w:t>
      </w:r>
    </w:p>
    <w:p w:rsidR="00CA5B18" w:rsidRPr="00CA5B18" w:rsidRDefault="00AE6BCB" w:rsidP="00912BD8">
      <w:pPr>
        <w:numPr>
          <w:ilvl w:val="0"/>
          <w:numId w:val="20"/>
        </w:numPr>
        <w:spacing w:line="240" w:lineRule="auto"/>
        <w:jc w:val="both"/>
        <w:rPr>
          <w:color w:val="000000"/>
          <w:lang w:val="pl-PL"/>
        </w:rPr>
      </w:pPr>
      <w:r>
        <w:rPr>
          <w:lang w:val="pl-PL"/>
        </w:rPr>
        <w:t>otwarcie wystawy „Toruń 100 lat Niepodległy! Z miłości ku ojczyźnie...”,</w:t>
      </w:r>
    </w:p>
    <w:p w:rsidR="00CA5B18" w:rsidRPr="00CA5B18" w:rsidRDefault="00AE6BCB" w:rsidP="00912BD8">
      <w:pPr>
        <w:numPr>
          <w:ilvl w:val="0"/>
          <w:numId w:val="20"/>
        </w:numPr>
        <w:spacing w:line="240" w:lineRule="auto"/>
        <w:jc w:val="both"/>
        <w:rPr>
          <w:color w:val="000000"/>
          <w:lang w:val="pl-PL"/>
        </w:rPr>
      </w:pPr>
      <w:r>
        <w:rPr>
          <w:lang w:val="pl-PL"/>
        </w:rPr>
        <w:t xml:space="preserve"> Quiz wiedzy o Toruniu, </w:t>
      </w:r>
    </w:p>
    <w:p w:rsidR="00CA5B18" w:rsidRPr="00CA5B18" w:rsidRDefault="000008C0" w:rsidP="00912BD8">
      <w:pPr>
        <w:numPr>
          <w:ilvl w:val="0"/>
          <w:numId w:val="20"/>
        </w:numPr>
        <w:spacing w:line="240" w:lineRule="auto"/>
        <w:jc w:val="both"/>
        <w:rPr>
          <w:color w:val="000000"/>
          <w:lang w:val="pl-PL"/>
        </w:rPr>
      </w:pPr>
      <w:r>
        <w:rPr>
          <w:lang w:val="pl-PL"/>
        </w:rPr>
        <w:t>rekonstrukcja</w:t>
      </w:r>
      <w:r w:rsidR="00AE6BCB">
        <w:rPr>
          <w:lang w:val="pl-PL"/>
        </w:rPr>
        <w:t xml:space="preserve"> powitania gen. Józefa Hallera przed dworcem Toruń Miasto oraz uroczysty przemarsz z licznym udziałem torunian na Rynek Staromiejski, </w:t>
      </w:r>
    </w:p>
    <w:p w:rsidR="00CA5B18" w:rsidRPr="00CA5B18" w:rsidRDefault="00AE6BCB" w:rsidP="00912BD8">
      <w:pPr>
        <w:numPr>
          <w:ilvl w:val="0"/>
          <w:numId w:val="20"/>
        </w:numPr>
        <w:spacing w:line="240" w:lineRule="auto"/>
        <w:jc w:val="both"/>
        <w:rPr>
          <w:color w:val="000000"/>
          <w:lang w:val="pl-PL"/>
        </w:rPr>
      </w:pPr>
      <w:r>
        <w:rPr>
          <w:lang w:val="pl-PL"/>
        </w:rPr>
        <w:t>Bal Stulecia w CKK Jordanki połączony z wręczeniem statuetek laureatom plebiscytu „Współcz</w:t>
      </w:r>
      <w:r w:rsidR="00CA5B18">
        <w:rPr>
          <w:lang w:val="pl-PL"/>
        </w:rPr>
        <w:t xml:space="preserve">esny Torunianin 100-lecia” </w:t>
      </w:r>
    </w:p>
    <w:p w:rsidR="00CA5B18" w:rsidRPr="00CA5B18" w:rsidRDefault="00AE6BCB" w:rsidP="00912BD8">
      <w:pPr>
        <w:numPr>
          <w:ilvl w:val="0"/>
          <w:numId w:val="20"/>
        </w:numPr>
        <w:spacing w:line="240" w:lineRule="auto"/>
        <w:jc w:val="both"/>
        <w:rPr>
          <w:color w:val="000000"/>
          <w:lang w:val="pl-PL"/>
        </w:rPr>
      </w:pPr>
      <w:r>
        <w:rPr>
          <w:lang w:val="pl-PL"/>
        </w:rPr>
        <w:t xml:space="preserve">koncert dla mieszkańców w Arenie Toruń z udziałem gwiazd polskiej estrady </w:t>
      </w:r>
      <w:r w:rsidR="00C7100A">
        <w:rPr>
          <w:lang w:val="pl-PL"/>
        </w:rPr>
        <w:br/>
      </w:r>
      <w:r>
        <w:rPr>
          <w:lang w:val="pl-PL"/>
        </w:rPr>
        <w:t>i Toruńskiej Orkiestry Sym</w:t>
      </w:r>
      <w:r w:rsidR="00CA5B18">
        <w:rPr>
          <w:lang w:val="pl-PL"/>
        </w:rPr>
        <w:t>fonicznej,</w:t>
      </w:r>
    </w:p>
    <w:p w:rsidR="00CA5B18" w:rsidRPr="00CA5B18" w:rsidRDefault="00CA5B18" w:rsidP="00912BD8">
      <w:pPr>
        <w:numPr>
          <w:ilvl w:val="0"/>
          <w:numId w:val="20"/>
        </w:numPr>
        <w:spacing w:line="240" w:lineRule="auto"/>
        <w:jc w:val="both"/>
        <w:rPr>
          <w:color w:val="000000"/>
          <w:lang w:val="pl-PL"/>
        </w:rPr>
      </w:pPr>
      <w:r>
        <w:rPr>
          <w:lang w:val="pl-PL"/>
        </w:rPr>
        <w:t>wręczenie</w:t>
      </w:r>
      <w:r w:rsidR="00AE6BCB">
        <w:rPr>
          <w:lang w:val="pl-PL"/>
        </w:rPr>
        <w:t xml:space="preserve"> 39 medali pamiątkowych 100-lecia powrotu Torunia do wolne</w:t>
      </w:r>
      <w:r>
        <w:rPr>
          <w:lang w:val="pl-PL"/>
        </w:rPr>
        <w:t>j Polski,</w:t>
      </w:r>
    </w:p>
    <w:p w:rsidR="00CA5B18" w:rsidRPr="00CA5B18" w:rsidRDefault="00CA5B18" w:rsidP="00912BD8">
      <w:pPr>
        <w:numPr>
          <w:ilvl w:val="0"/>
          <w:numId w:val="20"/>
        </w:numPr>
        <w:spacing w:line="240" w:lineRule="auto"/>
        <w:jc w:val="both"/>
        <w:rPr>
          <w:color w:val="000000"/>
          <w:lang w:val="pl-PL"/>
        </w:rPr>
      </w:pPr>
      <w:r>
        <w:rPr>
          <w:lang w:val="pl-PL"/>
        </w:rPr>
        <w:t>odsłonięcie</w:t>
      </w:r>
      <w:r w:rsidR="00AE6BCB">
        <w:rPr>
          <w:lang w:val="pl-PL"/>
        </w:rPr>
        <w:t xml:space="preserve"> </w:t>
      </w:r>
      <w:r>
        <w:rPr>
          <w:lang w:val="pl-PL"/>
        </w:rPr>
        <w:t>w Parku Miejskim zrekonstruowanego</w:t>
      </w:r>
      <w:r w:rsidR="00AE6BCB">
        <w:rPr>
          <w:lang w:val="pl-PL"/>
        </w:rPr>
        <w:t xml:space="preserve"> pomnik</w:t>
      </w:r>
      <w:r>
        <w:rPr>
          <w:lang w:val="pl-PL"/>
        </w:rPr>
        <w:t>a</w:t>
      </w:r>
      <w:r w:rsidR="00AE6BCB">
        <w:rPr>
          <w:lang w:val="pl-PL"/>
        </w:rPr>
        <w:t xml:space="preserve"> Poległ</w:t>
      </w:r>
      <w:r>
        <w:rPr>
          <w:lang w:val="pl-PL"/>
        </w:rPr>
        <w:t>ych Żołnierzy Wojsk Balonowych,</w:t>
      </w:r>
    </w:p>
    <w:p w:rsidR="00CA5B18" w:rsidRPr="00CA5B18" w:rsidRDefault="00CA5B18" w:rsidP="00912BD8">
      <w:pPr>
        <w:numPr>
          <w:ilvl w:val="0"/>
          <w:numId w:val="20"/>
        </w:numPr>
        <w:spacing w:line="240" w:lineRule="auto"/>
        <w:jc w:val="both"/>
        <w:rPr>
          <w:color w:val="000000"/>
          <w:lang w:val="pl-PL"/>
        </w:rPr>
      </w:pPr>
      <w:r>
        <w:rPr>
          <w:lang w:val="pl-PL"/>
        </w:rPr>
        <w:t xml:space="preserve">nadanie </w:t>
      </w:r>
      <w:r w:rsidR="00AE6BCB">
        <w:rPr>
          <w:lang w:val="pl-PL"/>
        </w:rPr>
        <w:t>parkowi za pomnikiem Mar</w:t>
      </w:r>
      <w:r>
        <w:rPr>
          <w:lang w:val="pl-PL"/>
        </w:rPr>
        <w:t>szałka Józefa Piłsudskiego nazwy</w:t>
      </w:r>
      <w:r w:rsidR="00AE6BCB">
        <w:rPr>
          <w:lang w:val="pl-PL"/>
        </w:rPr>
        <w:t xml:space="preserve"> park 100-lecia Powrotu Torunia do Wolnej Polski, </w:t>
      </w:r>
    </w:p>
    <w:p w:rsidR="00CA5B18" w:rsidRPr="00CA5B18" w:rsidRDefault="00AE6BCB" w:rsidP="00912BD8">
      <w:pPr>
        <w:numPr>
          <w:ilvl w:val="0"/>
          <w:numId w:val="20"/>
        </w:numPr>
        <w:spacing w:line="240" w:lineRule="auto"/>
        <w:jc w:val="both"/>
        <w:rPr>
          <w:color w:val="000000"/>
          <w:lang w:val="pl-PL"/>
        </w:rPr>
      </w:pPr>
      <w:r>
        <w:rPr>
          <w:lang w:val="pl-PL"/>
        </w:rPr>
        <w:t xml:space="preserve">plebiscyty na „Toruńską Legendę Stulecia” i „Toruńskie Wydarzenie Stulecia”. </w:t>
      </w:r>
    </w:p>
    <w:p w:rsidR="00AE6BCB" w:rsidRDefault="00054DE1" w:rsidP="00CA5B18">
      <w:pPr>
        <w:spacing w:line="240" w:lineRule="auto"/>
        <w:jc w:val="both"/>
        <w:rPr>
          <w:color w:val="000000"/>
          <w:lang w:val="pl-PL"/>
        </w:rPr>
      </w:pPr>
      <w:r>
        <w:rPr>
          <w:lang w:val="pl-PL"/>
        </w:rPr>
        <w:t>Część działań, m.in.</w:t>
      </w:r>
      <w:r w:rsidR="00AE6BCB">
        <w:rPr>
          <w:lang w:val="pl-PL"/>
        </w:rPr>
        <w:t xml:space="preserve"> uroczyste otwarcie Muzeum Twierdzy Toruń, wręczenia kolejnych medali pamiątkowych 100-lecia czy nadanie Szkole Podstawowej nr 14 imienia Błękitnej Armii, ze względu na trwającą pandemię koronawirusa </w:t>
      </w:r>
      <w:r w:rsidR="00CA5B18">
        <w:rPr>
          <w:lang w:val="pl-PL"/>
        </w:rPr>
        <w:t xml:space="preserve">zaplanowano na </w:t>
      </w:r>
      <w:r w:rsidR="00AE6BCB">
        <w:rPr>
          <w:lang w:val="pl-PL"/>
        </w:rPr>
        <w:t>2021 r.</w:t>
      </w:r>
    </w:p>
    <w:p w:rsidR="00AE6BCB" w:rsidRDefault="00AE6BCB" w:rsidP="009C7C02">
      <w:pPr>
        <w:pStyle w:val="NoSpacing"/>
        <w:spacing w:line="240" w:lineRule="auto"/>
        <w:jc w:val="both"/>
        <w:rPr>
          <w:rFonts w:ascii="Times New Roman" w:eastAsia="Times New Roman" w:hAnsi="Times New Roman"/>
          <w:color w:val="000000"/>
          <w:sz w:val="24"/>
          <w:szCs w:val="24"/>
        </w:rPr>
      </w:pPr>
    </w:p>
    <w:p w:rsidR="00AE6BCB" w:rsidRPr="00C7100A" w:rsidRDefault="00AE6BCB" w:rsidP="009C7C02">
      <w:pPr>
        <w:pStyle w:val="Nagwek2"/>
        <w:spacing w:before="0" w:after="0" w:line="240" w:lineRule="auto"/>
        <w:rPr>
          <w:rFonts w:ascii="Times New Roman" w:hAnsi="Times New Roman" w:cs="Times New Roman"/>
          <w:sz w:val="24"/>
          <w:szCs w:val="24"/>
          <w:lang w:val="pl-PL"/>
        </w:rPr>
      </w:pPr>
      <w:bookmarkStart w:id="169" w:name="__RefHeading__32030_2082197896"/>
      <w:bookmarkStart w:id="170" w:name="_Toc69477738"/>
      <w:bookmarkStart w:id="171" w:name="_Toc69372286"/>
      <w:bookmarkEnd w:id="169"/>
      <w:r w:rsidRPr="00C7100A">
        <w:rPr>
          <w:rFonts w:ascii="Times New Roman" w:hAnsi="Times New Roman" w:cs="Times New Roman"/>
          <w:color w:val="0070C0"/>
          <w:sz w:val="24"/>
          <w:lang w:val="pl-PL"/>
        </w:rPr>
        <w:t>Współpraca z miastami partnerskimi</w:t>
      </w:r>
      <w:bookmarkEnd w:id="170"/>
      <w:bookmarkEnd w:id="171"/>
    </w:p>
    <w:p w:rsidR="003158DF" w:rsidRDefault="00AE6BCB" w:rsidP="003158DF">
      <w:pPr>
        <w:spacing w:line="240" w:lineRule="auto"/>
        <w:ind w:firstLine="709"/>
        <w:jc w:val="both"/>
        <w:rPr>
          <w:lang w:val="pl-PL"/>
        </w:rPr>
      </w:pPr>
      <w:r>
        <w:rPr>
          <w:lang w:val="pl-PL"/>
        </w:rPr>
        <w:t xml:space="preserve">Toruń współpracuje z dwunastoma miastami partnerskimi: Filadelfia (USA), Getynga (Niemcy), Hȁmeenlinna (Finlandia), Lejda (Holandia), Kaliningrad (Rosja), Czadca (Słowacja), Swindon (Anglia), Łuck (Ukraina), Novo mesto (Słowenia), Guilin (Chiny), Angers (Francja), Kowno (Litwa). </w:t>
      </w:r>
      <w:r w:rsidR="00054DE1">
        <w:rPr>
          <w:lang w:val="pl-PL"/>
        </w:rPr>
        <w:t>W 2020 r. w</w:t>
      </w:r>
      <w:r>
        <w:rPr>
          <w:lang w:val="pl-PL"/>
        </w:rPr>
        <w:t xml:space="preserve"> związku z </w:t>
      </w:r>
      <w:r w:rsidR="000008C0">
        <w:rPr>
          <w:lang w:val="pl-PL"/>
        </w:rPr>
        <w:t>pandemią</w:t>
      </w:r>
      <w:r>
        <w:rPr>
          <w:lang w:val="pl-PL"/>
        </w:rPr>
        <w:t xml:space="preserve"> koronowirusa oraz wprowadzonymi obostrzeniami w zakresie podróżowania odwołany został wyjazd oficjalnej delegacji miasta Torunia do Novego mesta </w:t>
      </w:r>
      <w:r w:rsidR="00054DE1">
        <w:rPr>
          <w:lang w:val="pl-PL"/>
        </w:rPr>
        <w:t>oraz</w:t>
      </w:r>
      <w:r>
        <w:rPr>
          <w:lang w:val="pl-PL"/>
        </w:rPr>
        <w:t xml:space="preserve"> wizyta toruńskiej delegacji w Getyndze </w:t>
      </w:r>
      <w:r w:rsidR="000008C0">
        <w:rPr>
          <w:lang w:val="pl-PL"/>
        </w:rPr>
        <w:br/>
      </w:r>
      <w:r>
        <w:rPr>
          <w:lang w:val="pl-PL"/>
        </w:rPr>
        <w:t xml:space="preserve">w związku z </w:t>
      </w:r>
      <w:r w:rsidR="00054DE1">
        <w:rPr>
          <w:lang w:val="pl-PL"/>
        </w:rPr>
        <w:t xml:space="preserve">uroczystością </w:t>
      </w:r>
      <w:r>
        <w:rPr>
          <w:lang w:val="pl-PL"/>
        </w:rPr>
        <w:t>przyznania Nagrody im. Samuela Bogumiła Lindego</w:t>
      </w:r>
      <w:r w:rsidR="000008C0">
        <w:rPr>
          <w:lang w:val="pl-PL"/>
        </w:rPr>
        <w:t>.</w:t>
      </w:r>
      <w:r>
        <w:rPr>
          <w:lang w:val="pl-PL"/>
        </w:rPr>
        <w:t xml:space="preserve"> Miasto Guilin przekazało Toruniowi materiały higieniczne niezbędne w walce z pandemią. Toruń </w:t>
      </w:r>
      <w:r w:rsidR="000008C0">
        <w:rPr>
          <w:lang w:val="pl-PL"/>
        </w:rPr>
        <w:br/>
      </w:r>
      <w:r>
        <w:rPr>
          <w:lang w:val="pl-PL"/>
        </w:rPr>
        <w:t xml:space="preserve">z miastami partnerskim pozostał pomimo sytuacji pandemicznej w stałych kontaktach </w:t>
      </w:r>
      <w:r w:rsidR="000008C0">
        <w:rPr>
          <w:lang w:val="pl-PL"/>
        </w:rPr>
        <w:br/>
      </w:r>
      <w:r>
        <w:rPr>
          <w:lang w:val="pl-PL"/>
        </w:rPr>
        <w:t xml:space="preserve">e-mailowych, a miasta prowadziły ze sobą korespondencję, wymieniając się informacjami dotyczącymi przebiegu pandemii oraz wspierając się nawzajem. </w:t>
      </w:r>
      <w:bookmarkStart w:id="172" w:name="_Toc69477739"/>
      <w:bookmarkStart w:id="173" w:name="_Toc69372287"/>
      <w:bookmarkStart w:id="174" w:name="__RefHeading__32032_2082197896"/>
      <w:bookmarkEnd w:id="174"/>
    </w:p>
    <w:p w:rsidR="009C25FB" w:rsidRDefault="000008C0" w:rsidP="003158DF">
      <w:pPr>
        <w:spacing w:line="240" w:lineRule="auto"/>
        <w:ind w:firstLine="709"/>
        <w:jc w:val="both"/>
        <w:rPr>
          <w:b/>
          <w:color w:val="0070C0"/>
          <w:lang w:val="pl-PL"/>
        </w:rPr>
      </w:pPr>
      <w:r>
        <w:rPr>
          <w:rFonts w:cs="Times New Roman"/>
          <w:b/>
          <w:color w:val="000000"/>
          <w:lang w:val="pl-PL"/>
        </w:rPr>
        <w:br/>
      </w:r>
    </w:p>
    <w:p w:rsidR="009C25FB" w:rsidRDefault="009C25FB" w:rsidP="009C25FB">
      <w:pPr>
        <w:spacing w:line="240" w:lineRule="auto"/>
        <w:jc w:val="both"/>
        <w:rPr>
          <w:b/>
          <w:color w:val="0070C0"/>
          <w:lang w:val="pl-PL"/>
        </w:rPr>
      </w:pPr>
    </w:p>
    <w:p w:rsidR="00AE6BCB" w:rsidRPr="003158DF" w:rsidRDefault="00F155F0" w:rsidP="009C25FB">
      <w:pPr>
        <w:spacing w:line="240" w:lineRule="auto"/>
        <w:jc w:val="both"/>
        <w:rPr>
          <w:b/>
          <w:color w:val="000000"/>
          <w:lang w:val="pl-PL"/>
        </w:rPr>
      </w:pPr>
      <w:r w:rsidRPr="003158DF">
        <w:rPr>
          <w:b/>
          <w:color w:val="0070C0"/>
          <w:lang w:val="pl-PL"/>
        </w:rPr>
        <w:lastRenderedPageBreak/>
        <w:t>XV</w:t>
      </w:r>
      <w:r w:rsidR="00C7100A" w:rsidRPr="003158DF">
        <w:rPr>
          <w:b/>
          <w:color w:val="0070C0"/>
          <w:lang w:val="pl-PL"/>
        </w:rPr>
        <w:t>I</w:t>
      </w:r>
      <w:r w:rsidRPr="003158DF">
        <w:rPr>
          <w:b/>
          <w:color w:val="0070C0"/>
          <w:lang w:val="pl-PL"/>
        </w:rPr>
        <w:t xml:space="preserve">. </w:t>
      </w:r>
      <w:r w:rsidR="00AE6BCB" w:rsidRPr="003158DF">
        <w:rPr>
          <w:b/>
          <w:color w:val="0070C0"/>
          <w:lang w:val="pl-PL"/>
        </w:rPr>
        <w:t>SPORT I REKREACJA</w:t>
      </w:r>
      <w:bookmarkEnd w:id="172"/>
      <w:bookmarkEnd w:id="173"/>
    </w:p>
    <w:p w:rsidR="00AE6BCB" w:rsidRDefault="00AE6BCB" w:rsidP="009C7C02">
      <w:pPr>
        <w:spacing w:line="240" w:lineRule="auto"/>
        <w:jc w:val="both"/>
        <w:rPr>
          <w:lang w:val="pl-PL"/>
        </w:rPr>
      </w:pPr>
    </w:p>
    <w:p w:rsidR="00AE6BCB" w:rsidRDefault="003158DF" w:rsidP="003158DF">
      <w:pPr>
        <w:pStyle w:val="NoSpacing"/>
        <w:tabs>
          <w:tab w:val="left" w:pos="993"/>
        </w:tabs>
        <w:spacing w:line="240" w:lineRule="auto"/>
        <w:jc w:val="both"/>
        <w:rPr>
          <w:rFonts w:ascii="Times New Roman" w:eastAsia="Times New Roman" w:hAnsi="Times New Roman"/>
          <w:sz w:val="24"/>
          <w:szCs w:val="24"/>
        </w:rPr>
      </w:pPr>
      <w:r>
        <w:rPr>
          <w:rFonts w:ascii="Times New Roman" w:hAnsi="Times New Roman"/>
          <w:sz w:val="24"/>
          <w:szCs w:val="24"/>
        </w:rPr>
        <w:tab/>
      </w:r>
      <w:r w:rsidR="00EC1DAF">
        <w:rPr>
          <w:rFonts w:ascii="Times New Roman" w:hAnsi="Times New Roman"/>
          <w:sz w:val="24"/>
          <w:szCs w:val="24"/>
        </w:rPr>
        <w:t>W 2020 r. p</w:t>
      </w:r>
      <w:r w:rsidR="00AE6BCB">
        <w:rPr>
          <w:rFonts w:ascii="Times New Roman" w:hAnsi="Times New Roman"/>
          <w:sz w:val="24"/>
          <w:szCs w:val="24"/>
        </w:rPr>
        <w:t xml:space="preserve">andemia koronawirusa miała negatywny wpływ na funkcjonowanie miejskich obiektów sportowych i toruńskich klubów. Z powodu ograniczeń związanych </w:t>
      </w:r>
      <w:r w:rsidR="00C7100A">
        <w:rPr>
          <w:rFonts w:ascii="Times New Roman" w:hAnsi="Times New Roman"/>
          <w:sz w:val="24"/>
          <w:szCs w:val="24"/>
        </w:rPr>
        <w:br/>
      </w:r>
      <w:r w:rsidR="00AE6BCB">
        <w:rPr>
          <w:rFonts w:ascii="Times New Roman" w:hAnsi="Times New Roman"/>
          <w:sz w:val="24"/>
          <w:szCs w:val="24"/>
        </w:rPr>
        <w:t>z epidemią czasowo zawieszona została organizacja i udział w imprezach sportowych, rozgrywkach i działalności szkolenio</w:t>
      </w:r>
      <w:r w:rsidR="00EC1DAF">
        <w:rPr>
          <w:rFonts w:ascii="Times New Roman" w:hAnsi="Times New Roman"/>
          <w:sz w:val="24"/>
          <w:szCs w:val="24"/>
        </w:rPr>
        <w:t xml:space="preserve">wej. Od </w:t>
      </w:r>
      <w:r w:rsidR="00AE6BCB">
        <w:rPr>
          <w:rFonts w:ascii="Times New Roman" w:hAnsi="Times New Roman"/>
          <w:sz w:val="24"/>
          <w:szCs w:val="24"/>
        </w:rPr>
        <w:t>marca</w:t>
      </w:r>
      <w:r w:rsidR="00EC1DAF">
        <w:rPr>
          <w:rFonts w:ascii="Times New Roman" w:hAnsi="Times New Roman"/>
          <w:sz w:val="24"/>
          <w:szCs w:val="24"/>
        </w:rPr>
        <w:t xml:space="preserve"> 2020 r.</w:t>
      </w:r>
      <w:r w:rsidR="00AE6BCB">
        <w:rPr>
          <w:rFonts w:ascii="Times New Roman" w:hAnsi="Times New Roman"/>
          <w:sz w:val="24"/>
          <w:szCs w:val="24"/>
        </w:rPr>
        <w:t xml:space="preserve"> zajęcia w klubach zostały zawieszone, a obiekty sportowe zamknięte. W tym okresie zajęcia treningowe kluby r</w:t>
      </w:r>
      <w:r w:rsidR="00EC1DAF">
        <w:rPr>
          <w:rFonts w:ascii="Times New Roman" w:hAnsi="Times New Roman"/>
          <w:sz w:val="24"/>
          <w:szCs w:val="24"/>
        </w:rPr>
        <w:t>ealizowały w formie on</w:t>
      </w:r>
      <w:r>
        <w:rPr>
          <w:rFonts w:ascii="Times New Roman" w:hAnsi="Times New Roman"/>
          <w:sz w:val="24"/>
          <w:szCs w:val="24"/>
        </w:rPr>
        <w:t>-</w:t>
      </w:r>
      <w:r w:rsidR="00EC1DAF">
        <w:rPr>
          <w:rFonts w:ascii="Times New Roman" w:hAnsi="Times New Roman"/>
          <w:sz w:val="24"/>
          <w:szCs w:val="24"/>
        </w:rPr>
        <w:t>line. Od</w:t>
      </w:r>
      <w:r w:rsidR="00AE6BCB">
        <w:rPr>
          <w:rFonts w:ascii="Times New Roman" w:hAnsi="Times New Roman"/>
          <w:sz w:val="24"/>
          <w:szCs w:val="24"/>
        </w:rPr>
        <w:t xml:space="preserve"> początku maja</w:t>
      </w:r>
      <w:r w:rsidR="00EC1DAF">
        <w:rPr>
          <w:rFonts w:ascii="Times New Roman" w:hAnsi="Times New Roman"/>
          <w:sz w:val="24"/>
          <w:szCs w:val="24"/>
        </w:rPr>
        <w:t xml:space="preserve"> 2020 r.</w:t>
      </w:r>
      <w:r w:rsidR="00AE6BCB">
        <w:rPr>
          <w:rFonts w:ascii="Times New Roman" w:hAnsi="Times New Roman"/>
          <w:sz w:val="24"/>
          <w:szCs w:val="24"/>
        </w:rPr>
        <w:t xml:space="preserve"> </w:t>
      </w:r>
      <w:r w:rsidR="00EC1DAF">
        <w:rPr>
          <w:rFonts w:ascii="Times New Roman" w:hAnsi="Times New Roman"/>
          <w:sz w:val="24"/>
          <w:szCs w:val="24"/>
        </w:rPr>
        <w:t>m</w:t>
      </w:r>
      <w:r w:rsidR="00AE6BCB">
        <w:rPr>
          <w:rFonts w:ascii="Times New Roman" w:eastAsia="Times New Roman" w:hAnsi="Times New Roman"/>
          <w:bCs/>
          <w:sz w:val="24"/>
          <w:szCs w:val="24"/>
        </w:rPr>
        <w:t xml:space="preserve">ożliwa była organizacja współzawodnictwa, zajęć i wydarzeń sportowych </w:t>
      </w:r>
      <w:r w:rsidR="00AE6BCB">
        <w:rPr>
          <w:rFonts w:ascii="Times New Roman" w:eastAsia="Times New Roman" w:hAnsi="Times New Roman"/>
          <w:sz w:val="24"/>
          <w:szCs w:val="24"/>
        </w:rPr>
        <w:t>dla sportu zawodowego, zawodników pobierających stypendium sportowe, zawodników będących członkami kadry narodowej lu</w:t>
      </w:r>
      <w:r>
        <w:rPr>
          <w:rFonts w:ascii="Times New Roman" w:eastAsia="Times New Roman" w:hAnsi="Times New Roman"/>
          <w:sz w:val="24"/>
          <w:szCs w:val="24"/>
        </w:rPr>
        <w:t>b reprezentacji olimpijskiej /</w:t>
      </w:r>
      <w:r w:rsidR="00AE6BCB">
        <w:rPr>
          <w:rFonts w:ascii="Times New Roman" w:eastAsia="Times New Roman" w:hAnsi="Times New Roman"/>
          <w:sz w:val="24"/>
          <w:szCs w:val="24"/>
        </w:rPr>
        <w:t xml:space="preserve"> reprezentacji paraolimpijskiej, uprawiających sport w ramach ligi zawodowej oraz dzieci i młodzieży uczestniczącej we współzawodnictwie sportowym prowadzonym przez odpowiedni polski związek sportowy. Działalność szkoleniowa </w:t>
      </w:r>
      <w:r w:rsidR="00C7100A">
        <w:rPr>
          <w:rFonts w:ascii="Times New Roman" w:eastAsia="Times New Roman" w:hAnsi="Times New Roman"/>
          <w:sz w:val="24"/>
          <w:szCs w:val="24"/>
        </w:rPr>
        <w:br/>
      </w:r>
      <w:r w:rsidR="00AE6BCB">
        <w:rPr>
          <w:rFonts w:ascii="Times New Roman" w:eastAsia="Times New Roman" w:hAnsi="Times New Roman"/>
          <w:sz w:val="24"/>
          <w:szCs w:val="24"/>
        </w:rPr>
        <w:t>i organizacja imprez odbywała się z zachowaniem odpowiednich zasad sanitarnych (dezynfekcja szatni, węzłów sanitarnych, urządzeń i sprzętu sportowego, dostępność środków do dezynfekcji rąk) oraz z ograniczoną liczbą lub bez publiczności.</w:t>
      </w:r>
    </w:p>
    <w:p w:rsidR="00AE6BCB" w:rsidRDefault="00AE6BCB" w:rsidP="009C7C02">
      <w:pPr>
        <w:pStyle w:val="NoSpacing"/>
        <w:tabs>
          <w:tab w:val="left" w:pos="993"/>
        </w:tabs>
        <w:spacing w:line="240" w:lineRule="auto"/>
        <w:ind w:firstLine="992"/>
        <w:jc w:val="both"/>
        <w:rPr>
          <w:rFonts w:ascii="Times New Roman" w:eastAsia="Times New Roman" w:hAnsi="Times New Roman"/>
          <w:sz w:val="24"/>
          <w:szCs w:val="24"/>
        </w:rPr>
      </w:pPr>
    </w:p>
    <w:p w:rsidR="00AE6BCB" w:rsidRPr="00C7100A" w:rsidRDefault="00AE6BCB" w:rsidP="009C7C02">
      <w:pPr>
        <w:pStyle w:val="Nagwek2"/>
        <w:spacing w:before="0" w:after="0" w:line="240" w:lineRule="auto"/>
        <w:rPr>
          <w:rFonts w:ascii="Times New Roman" w:hAnsi="Times New Roman" w:cs="Times New Roman"/>
          <w:sz w:val="24"/>
          <w:szCs w:val="24"/>
          <w:lang w:val="pl-PL"/>
        </w:rPr>
      </w:pPr>
      <w:bookmarkStart w:id="175" w:name="__RefHeading__32034_2082197896"/>
      <w:bookmarkStart w:id="176" w:name="_Toc69477740"/>
      <w:bookmarkStart w:id="177" w:name="_Toc69372288"/>
      <w:bookmarkEnd w:id="175"/>
      <w:r w:rsidRPr="00C7100A">
        <w:rPr>
          <w:rFonts w:ascii="Times New Roman" w:hAnsi="Times New Roman" w:cs="Times New Roman"/>
          <w:color w:val="0070C0"/>
          <w:sz w:val="24"/>
          <w:lang w:val="pl-PL"/>
        </w:rPr>
        <w:t>Miejska baza sportowa</w:t>
      </w:r>
      <w:bookmarkEnd w:id="176"/>
      <w:bookmarkEnd w:id="177"/>
    </w:p>
    <w:p w:rsidR="00EC1DAF" w:rsidRDefault="00AE6BCB" w:rsidP="009C7C02">
      <w:pPr>
        <w:spacing w:line="240" w:lineRule="auto"/>
        <w:ind w:firstLine="709"/>
        <w:jc w:val="both"/>
        <w:rPr>
          <w:lang w:val="pl-PL"/>
        </w:rPr>
      </w:pPr>
      <w:r>
        <w:rPr>
          <w:b/>
          <w:lang w:val="pl-PL"/>
        </w:rPr>
        <w:t>Miejski Ośrodek Sportu i Rekreacji</w:t>
      </w:r>
      <w:r>
        <w:rPr>
          <w:lang w:val="pl-PL"/>
        </w:rPr>
        <w:t xml:space="preserve"> zarządzał obiektami sportowo-rekreacyjnymi: lodowiskiem TOR-TOR i lodowiskami sezonowymi; stadionem żużlowym Motoarena; mini Aquaparkiem i basenami letnimi; halą sportową Olimpijczyk; halami tenisowymi; piłkarsko-lekkoatletycznym Stadionem Miejskim; ogólnodostępnymi, wielofunkcyjnymi boiskami sportowymi; 8 kompleksami Orlik; siłowniami zewnętrznymi oraz Przystanią Toruń. </w:t>
      </w:r>
    </w:p>
    <w:p w:rsidR="00AE6BCB" w:rsidRPr="008A489A" w:rsidRDefault="00AE6BCB" w:rsidP="008A489A">
      <w:pPr>
        <w:spacing w:line="240" w:lineRule="auto"/>
        <w:jc w:val="both"/>
        <w:rPr>
          <w:lang w:val="pl-PL"/>
        </w:rPr>
      </w:pPr>
      <w:r>
        <w:rPr>
          <w:lang w:val="pl-PL"/>
        </w:rPr>
        <w:t>W 2020 r. zmodernizowano: stadion miejski, lodowisko Tor-Tor, boisko do hok</w:t>
      </w:r>
      <w:r w:rsidR="000C3E94">
        <w:rPr>
          <w:lang w:val="pl-PL"/>
        </w:rPr>
        <w:t>eja na trawie, Motoarenę, (m.in. zmiana</w:t>
      </w:r>
      <w:r>
        <w:rPr>
          <w:lang w:val="pl-PL"/>
        </w:rPr>
        <w:t xml:space="preserve"> geometrii toru żużlowego</w:t>
      </w:r>
      <w:r w:rsidR="000C3E94">
        <w:rPr>
          <w:lang w:val="pl-PL"/>
        </w:rPr>
        <w:t>)</w:t>
      </w:r>
      <w:r>
        <w:rPr>
          <w:lang w:val="pl-PL"/>
        </w:rPr>
        <w:t xml:space="preserve">, przy hali tenisowej ul. Sz. Chełmińska </w:t>
      </w:r>
      <w:r w:rsidR="000C3E94">
        <w:rPr>
          <w:lang w:val="pl-PL"/>
        </w:rPr>
        <w:t>(</w:t>
      </w:r>
      <w:r>
        <w:rPr>
          <w:lang w:val="pl-PL"/>
        </w:rPr>
        <w:t>wykona</w:t>
      </w:r>
      <w:r w:rsidR="000C3E94">
        <w:rPr>
          <w:lang w:val="pl-PL"/>
        </w:rPr>
        <w:t xml:space="preserve">no drogę wewnętrzną z </w:t>
      </w:r>
      <w:r>
        <w:rPr>
          <w:lang w:val="pl-PL"/>
        </w:rPr>
        <w:t>kostki brukowej</w:t>
      </w:r>
      <w:r w:rsidR="000C3E94">
        <w:rPr>
          <w:lang w:val="pl-PL"/>
        </w:rPr>
        <w:t>)</w:t>
      </w:r>
      <w:r>
        <w:rPr>
          <w:lang w:val="pl-PL"/>
        </w:rPr>
        <w:t>. Zakończono największą inwestycję – modernizację krytej pływalni przy ul. Bażyńskich. Koń</w:t>
      </w:r>
      <w:r w:rsidR="00EC1DAF">
        <w:rPr>
          <w:lang w:val="pl-PL"/>
        </w:rPr>
        <w:t xml:space="preserve">cowy odbiór obiektu nastąpił </w:t>
      </w:r>
      <w:r w:rsidR="000C3E94">
        <w:rPr>
          <w:lang w:val="pl-PL"/>
        </w:rPr>
        <w:br/>
        <w:t xml:space="preserve">w listopadzie 2020 r. oraz </w:t>
      </w:r>
      <w:r w:rsidR="00EC1DAF">
        <w:rPr>
          <w:lang w:val="pl-PL"/>
        </w:rPr>
        <w:t>uzyskano</w:t>
      </w:r>
      <w:r>
        <w:rPr>
          <w:lang w:val="pl-PL"/>
        </w:rPr>
        <w:t xml:space="preserve"> pozwolenie na użytkowanie. To jeden </w:t>
      </w:r>
      <w:r w:rsidR="000C3E94">
        <w:rPr>
          <w:lang w:val="pl-PL"/>
        </w:rPr>
        <w:br/>
      </w:r>
      <w:r>
        <w:rPr>
          <w:lang w:val="pl-PL"/>
        </w:rPr>
        <w:t>z najnowocześniejszych obiektów pływackich w Polsce - jest trzykondygnacyjnym budynkiem o powierzchni 5 tys. m kw. Przed budynkiem powstał tor dla rolkarzy, zewnętrzna siłownia, plac zabaw dla małych i starszych dzieci, wodny plac zabaw z 12 urządzeniami oraz górki saneczkowe.</w:t>
      </w:r>
      <w:r w:rsidR="008A489A">
        <w:rPr>
          <w:lang w:val="pl-PL"/>
        </w:rPr>
        <w:t xml:space="preserve"> </w:t>
      </w:r>
      <w:r>
        <w:rPr>
          <w:lang w:val="pl-PL"/>
        </w:rPr>
        <w:t>Na ter</w:t>
      </w:r>
      <w:r w:rsidR="000C3E94">
        <w:rPr>
          <w:lang w:val="pl-PL"/>
        </w:rPr>
        <w:t>e</w:t>
      </w:r>
      <w:r>
        <w:rPr>
          <w:lang w:val="pl-PL"/>
        </w:rPr>
        <w:t>nie Campingu Tramp przy ul. Kujawskiej wybudowano zespół basenów l</w:t>
      </w:r>
      <w:r w:rsidR="008A489A">
        <w:rPr>
          <w:lang w:val="pl-PL"/>
        </w:rPr>
        <w:t>etnich z zapleczem sanitarno-</w:t>
      </w:r>
      <w:r>
        <w:rPr>
          <w:lang w:val="pl-PL"/>
        </w:rPr>
        <w:t>technicznym, obiektami sportowo-rekreacyjnym, który uzys</w:t>
      </w:r>
      <w:r w:rsidR="00EC1DAF">
        <w:rPr>
          <w:lang w:val="pl-PL"/>
        </w:rPr>
        <w:t>kał pozwolenie na użytkowanie w czerwcu 2020 r.</w:t>
      </w:r>
      <w:r w:rsidR="008A489A">
        <w:rPr>
          <w:lang w:val="pl-PL"/>
        </w:rPr>
        <w:t xml:space="preserve"> Na boisku piłkarskim</w:t>
      </w:r>
      <w:r>
        <w:rPr>
          <w:lang w:val="pl-PL"/>
        </w:rPr>
        <w:t xml:space="preserve"> Przy Skarpie zakończono montaż pneumatycznego zadaszenia, które będzie służyło piłkarzom </w:t>
      </w:r>
      <w:r w:rsidR="008A489A">
        <w:rPr>
          <w:lang w:val="pl-PL"/>
        </w:rPr>
        <w:br/>
      </w:r>
      <w:r>
        <w:rPr>
          <w:lang w:val="pl-PL"/>
        </w:rPr>
        <w:t xml:space="preserve">w okresie od 1 listopada do 31 marca. </w:t>
      </w:r>
    </w:p>
    <w:p w:rsidR="00AE6BCB" w:rsidRDefault="00AE6BCB" w:rsidP="009C7C02">
      <w:pPr>
        <w:spacing w:line="240" w:lineRule="auto"/>
        <w:ind w:firstLine="709"/>
        <w:jc w:val="both"/>
        <w:rPr>
          <w:lang w:val="pl-PL"/>
        </w:rPr>
      </w:pPr>
      <w:r>
        <w:rPr>
          <w:b/>
          <w:lang w:val="pl-PL"/>
        </w:rPr>
        <w:t>Toruńska Infrastruktura Sportowa sp. z o. o.</w:t>
      </w:r>
      <w:r>
        <w:rPr>
          <w:lang w:val="pl-PL"/>
        </w:rPr>
        <w:t xml:space="preserve"> jest administratorem wielofunkcyjnej hali sportowo-widowiskowej Arena Toruń oraz Międzynarodowego Centrum </w:t>
      </w:r>
      <w:r w:rsidR="00A739AB">
        <w:rPr>
          <w:lang w:val="pl-PL"/>
        </w:rPr>
        <w:t>Spotkań Młodzieży. H</w:t>
      </w:r>
      <w:r>
        <w:rPr>
          <w:lang w:val="pl-PL"/>
        </w:rPr>
        <w:t>ala jest miejscem treningów lokalnych drużyn sportowych i sportowców lekkoatletycznych. Stałymi rezydentami są: Polski Cukier Toruń, Miejski Klub Lekkoatletyczny Toruń, FC Toruń, Toruńska Amatorska Liga Koszykówki, Klub Karate Tradycyjnego Kumade, Lider Fit, Klub Wysokogórski i liczne osoby prywatne korzystające głównie z sali bocznej.</w:t>
      </w:r>
    </w:p>
    <w:p w:rsidR="00EC1DAF" w:rsidRDefault="00AE6BCB" w:rsidP="00EC1DAF">
      <w:pPr>
        <w:spacing w:line="240" w:lineRule="auto"/>
        <w:ind w:firstLine="709"/>
        <w:jc w:val="both"/>
        <w:rPr>
          <w:lang w:val="pl-PL"/>
        </w:rPr>
      </w:pPr>
      <w:r>
        <w:rPr>
          <w:lang w:val="pl-PL"/>
        </w:rPr>
        <w:t>Najważniejsz</w:t>
      </w:r>
      <w:r w:rsidR="00A739AB">
        <w:rPr>
          <w:lang w:val="pl-PL"/>
        </w:rPr>
        <w:t>e wydarzenia sportowe w 2020 r.</w:t>
      </w:r>
      <w:r>
        <w:rPr>
          <w:lang w:val="pl-PL"/>
        </w:rPr>
        <w:t xml:space="preserve">: II Ogólnopolski Halowy Mityng Lekkoatletyczny U-16 i U-14 pamięci Ireny Szewińskiej, VI Copernicus Cup Toruń 2020 </w:t>
      </w:r>
      <w:r w:rsidR="00A739AB">
        <w:rPr>
          <w:lang w:val="pl-PL"/>
        </w:rPr>
        <w:br/>
      </w:r>
      <w:r>
        <w:rPr>
          <w:lang w:val="pl-PL"/>
        </w:rPr>
        <w:t xml:space="preserve">(w cyklu IAAF World Indoor Tour), Halowe Mistrzostwa Polski w LA (U-20, U-18), XXIX Halowe Mistrzostwa Polski w Lekkiej Atletyce Masters, III Halowe Mistrzostwa Polski Lekarzy i I Halowe Mistrzostwa Polski Dziennikarzy, Halowe Mistrzostwa Świata w Lekkiej Atletyce VIRTUS Toruń 2020 dla osób z niepełnosprawnością intelektualną, 64. Halowe Mistrzostwa Polski Seniorów w Lekkiej Atletyce, Puchar Polski dzieci i młodzików w karate </w:t>
      </w:r>
      <w:r>
        <w:rPr>
          <w:lang w:val="pl-PL"/>
        </w:rPr>
        <w:lastRenderedPageBreak/>
        <w:t>tradycyjnym i fudokan oraz Międzywojewódzkie Mistrzostwa Młodzików, Ogólnopolski Finał „Lekkoatletyka dla Każdego”. Mecze ligowe bez udziału publiczności: kosz</w:t>
      </w:r>
      <w:r w:rsidR="00A739AB">
        <w:rPr>
          <w:lang w:val="pl-PL"/>
        </w:rPr>
        <w:t>ykówka mężczyzn Polski Cukier, futsal FC, koszykówka kobiet, hokej na trawie Pomorzanin</w:t>
      </w:r>
      <w:r>
        <w:rPr>
          <w:lang w:val="pl-PL"/>
        </w:rPr>
        <w:t xml:space="preserve">. </w:t>
      </w:r>
    </w:p>
    <w:p w:rsidR="00AE6BCB" w:rsidRDefault="00AE6BCB" w:rsidP="009C7C02">
      <w:pPr>
        <w:spacing w:line="240" w:lineRule="auto"/>
        <w:ind w:firstLine="709"/>
        <w:jc w:val="both"/>
        <w:rPr>
          <w:lang w:val="pl-PL"/>
        </w:rPr>
      </w:pPr>
      <w:r>
        <w:rPr>
          <w:lang w:val="pl-PL"/>
        </w:rPr>
        <w:t xml:space="preserve">Rok 2020 to również czas rozbudowy toruńskiej bazy sportowo–rekreacyjnej. Miejski Ośrodek Sportu i Rekreacji zrealizował 18 projektów w ramach budżetu partycypacyjnego. Wybudowano kolejne place zabaw i zieleni, parki rekreacji z grami planszowymi i boiskami sportowymi. W ramach przygotowywania nowych zadań inwestycyjnych, związanych </w:t>
      </w:r>
      <w:r w:rsidR="00C7100A">
        <w:rPr>
          <w:lang w:val="pl-PL"/>
        </w:rPr>
        <w:br/>
      </w:r>
      <w:r>
        <w:rPr>
          <w:lang w:val="pl-PL"/>
        </w:rPr>
        <w:t xml:space="preserve">z dalszym rozwojem infrastruktury sportowo-rekreacyjnej na terenie miasta zlecono opracowanie kompleksowej dokumentacji projektowej wielobranżowej adaptacji rakarni </w:t>
      </w:r>
      <w:r w:rsidR="00C7100A">
        <w:rPr>
          <w:lang w:val="pl-PL"/>
        </w:rPr>
        <w:br/>
      </w:r>
      <w:r>
        <w:rPr>
          <w:lang w:val="pl-PL"/>
        </w:rPr>
        <w:t>ul. Szosa Chełmińska 75 na cele biurowe i społeczne pn. „Ośrodek kultury i rekreacji Chełmińskie Przedmieście – Tu mieszkam”.</w:t>
      </w:r>
    </w:p>
    <w:p w:rsidR="00145DB4" w:rsidRDefault="00145DB4" w:rsidP="009C7C02">
      <w:pPr>
        <w:spacing w:line="240" w:lineRule="auto"/>
        <w:ind w:firstLine="709"/>
        <w:jc w:val="both"/>
        <w:rPr>
          <w:lang w:val="pl-PL"/>
        </w:rPr>
      </w:pPr>
    </w:p>
    <w:p w:rsidR="00AE6BCB" w:rsidRPr="00C7100A" w:rsidRDefault="00AE6BCB" w:rsidP="00A739AB">
      <w:pPr>
        <w:pStyle w:val="Nagwek2"/>
        <w:numPr>
          <w:ilvl w:val="0"/>
          <w:numId w:val="0"/>
        </w:numPr>
        <w:spacing w:before="0" w:after="0" w:line="240" w:lineRule="auto"/>
        <w:rPr>
          <w:rFonts w:ascii="Times New Roman" w:hAnsi="Times New Roman" w:cs="Times New Roman"/>
          <w:sz w:val="24"/>
          <w:szCs w:val="24"/>
          <w:lang w:val="pl-PL"/>
        </w:rPr>
      </w:pPr>
      <w:bookmarkStart w:id="178" w:name="__RefHeading__32036_2082197896"/>
      <w:bookmarkStart w:id="179" w:name="_Toc69477741"/>
      <w:bookmarkStart w:id="180" w:name="_Toc69372289"/>
      <w:bookmarkEnd w:id="178"/>
      <w:r w:rsidRPr="00C7100A">
        <w:rPr>
          <w:rFonts w:ascii="Times New Roman" w:hAnsi="Times New Roman" w:cs="Times New Roman"/>
          <w:color w:val="0070C0"/>
          <w:sz w:val="24"/>
          <w:lang w:val="pl-PL"/>
        </w:rPr>
        <w:t>Rozwój sportu</w:t>
      </w:r>
      <w:bookmarkEnd w:id="179"/>
      <w:bookmarkEnd w:id="180"/>
    </w:p>
    <w:p w:rsidR="00AE6BCB" w:rsidRDefault="00AE6BCB" w:rsidP="009C7C02">
      <w:pPr>
        <w:spacing w:line="240" w:lineRule="auto"/>
        <w:ind w:firstLine="709"/>
        <w:rPr>
          <w:lang w:val="pl-PL"/>
        </w:rPr>
      </w:pPr>
      <w:r>
        <w:rPr>
          <w:lang w:val="pl-PL"/>
        </w:rPr>
        <w:t xml:space="preserve">Podstawową formą wspierania sportu jest otwarty konkurs ofert na wykonanie zadań Gminy w zakresie rozwoju sportu. W 2020 r. konkursem objęte zostały zadania z zakresu: </w:t>
      </w:r>
    </w:p>
    <w:p w:rsidR="00AE6BCB" w:rsidRDefault="00AE6BCB" w:rsidP="00912BD8">
      <w:pPr>
        <w:numPr>
          <w:ilvl w:val="0"/>
          <w:numId w:val="46"/>
        </w:numPr>
        <w:spacing w:line="240" w:lineRule="auto"/>
        <w:rPr>
          <w:lang w:val="pl-PL"/>
        </w:rPr>
      </w:pPr>
      <w:r w:rsidRPr="00C7100A">
        <w:rPr>
          <w:lang w:val="pl-PL"/>
        </w:rPr>
        <w:t xml:space="preserve">rozwoju sportu dzieci i młodzieży uzdolnionej sportowo – dotacja przyznana dla 57 klubów sportowych na realizację 59 projektów, </w:t>
      </w:r>
    </w:p>
    <w:p w:rsidR="00AE6BCB" w:rsidRDefault="00AE6BCB" w:rsidP="00912BD8">
      <w:pPr>
        <w:numPr>
          <w:ilvl w:val="0"/>
          <w:numId w:val="46"/>
        </w:numPr>
        <w:spacing w:line="240" w:lineRule="auto"/>
        <w:rPr>
          <w:lang w:val="pl-PL"/>
        </w:rPr>
      </w:pPr>
      <w:r w:rsidRPr="00C7100A">
        <w:rPr>
          <w:lang w:val="pl-PL"/>
        </w:rPr>
        <w:t xml:space="preserve">rozwoju sportu na najwyższym poziomie w kategorii senior – przyznana dotacja dla 25 klubów sportowych na realizację 31 projektów, </w:t>
      </w:r>
    </w:p>
    <w:p w:rsidR="00AE6BCB" w:rsidRPr="00C7100A" w:rsidRDefault="00AE6BCB" w:rsidP="00912BD8">
      <w:pPr>
        <w:numPr>
          <w:ilvl w:val="0"/>
          <w:numId w:val="46"/>
        </w:numPr>
        <w:spacing w:line="240" w:lineRule="auto"/>
        <w:rPr>
          <w:lang w:val="pl-PL"/>
        </w:rPr>
      </w:pPr>
      <w:r w:rsidRPr="00C7100A">
        <w:rPr>
          <w:lang w:val="pl-PL"/>
        </w:rPr>
        <w:t xml:space="preserve">organizacji i udziału zawodników w międzynarodowych, ogólnopolskich wydarzeniach sportowych kreujących sportowy wizerunek miasta Torunia – dotacja przyznana dla 40 klubów sportowych na realizację 61 projektów. </w:t>
      </w:r>
    </w:p>
    <w:p w:rsidR="00AE6BCB" w:rsidRDefault="00AE6BCB" w:rsidP="002F2AE1">
      <w:pPr>
        <w:spacing w:line="240" w:lineRule="auto"/>
        <w:ind w:firstLine="426"/>
        <w:jc w:val="both"/>
        <w:rPr>
          <w:b/>
          <w:i/>
          <w:color w:val="FF0000"/>
          <w:lang w:val="pl-PL"/>
        </w:rPr>
      </w:pPr>
      <w:r>
        <w:rPr>
          <w:lang w:val="pl-PL"/>
        </w:rPr>
        <w:t xml:space="preserve">Pomimo stanu zagrożenia epidemicznego, przestrzegając wszelkich wytycznych przeciwepidemicznych, zorganizowano w Toruniu wiele prestiżowych imprez sportowych </w:t>
      </w:r>
      <w:r w:rsidR="00C7100A">
        <w:rPr>
          <w:lang w:val="pl-PL"/>
        </w:rPr>
        <w:br/>
      </w:r>
      <w:r>
        <w:rPr>
          <w:lang w:val="pl-PL"/>
        </w:rPr>
        <w:t>o zasięgu międzynarodowym i krajowym, w tym m.in.</w:t>
      </w:r>
      <w:r w:rsidR="00862437">
        <w:rPr>
          <w:lang w:val="pl-PL"/>
        </w:rPr>
        <w:t xml:space="preserve"> (poza w/w)</w:t>
      </w:r>
      <w:r>
        <w:rPr>
          <w:lang w:val="pl-PL"/>
        </w:rPr>
        <w:t>: Międzynarodowe Zawody w Łyżwiars</w:t>
      </w:r>
      <w:r w:rsidR="00862437">
        <w:rPr>
          <w:lang w:val="pl-PL"/>
        </w:rPr>
        <w:t>twie Figurowym Mentor Cup 2020</w:t>
      </w:r>
      <w:r>
        <w:rPr>
          <w:lang w:val="pl-PL"/>
        </w:rPr>
        <w:t xml:space="preserve">, Międzynarodowy Turniej w Hokeju na Lodzie Sponsors Cup 2020 oraz Christmas Cup 2020, Międzynarodowy Turniej w Boksie </w:t>
      </w:r>
      <w:r w:rsidR="002F2AE1">
        <w:rPr>
          <w:lang w:val="pl-PL"/>
        </w:rPr>
        <w:br/>
      </w:r>
      <w:r>
        <w:rPr>
          <w:lang w:val="pl-PL"/>
        </w:rPr>
        <w:t>im. Zygmunta Krygiera, Speedway Grand Prix (dwie rundy), Indywidualne Międzynarodowe Mistrzostwa Ekstraligi, Speedway Euro Championship 2020 (runda otwierająca cykl oraz runda finałowa), Memoriał im. Grzegorza Duneckiego w lekkiej atletyce, Memoriał Wojtka Michniewicza w koszykówce, Memoriał im. prof. Stanisława Łęgowskiego w koszykówce,</w:t>
      </w:r>
      <w:r w:rsidR="00862437">
        <w:rPr>
          <w:lang w:val="pl-PL"/>
        </w:rPr>
        <w:t xml:space="preserve"> Bella Plaża Gotyku Toruń 2020</w:t>
      </w:r>
      <w:r>
        <w:rPr>
          <w:lang w:val="pl-PL"/>
        </w:rPr>
        <w:t xml:space="preserve">, Mistrzostwa Polski Pit Bike SM 2020, Ogólnopolski Turniej Dzieci w Szermierce z okazji Święta Niepodległości, Drużynowe Mistrzostwa Polski </w:t>
      </w:r>
      <w:r w:rsidR="00C7100A">
        <w:rPr>
          <w:lang w:val="pl-PL"/>
        </w:rPr>
        <w:br/>
      </w:r>
      <w:r>
        <w:rPr>
          <w:lang w:val="pl-PL"/>
        </w:rPr>
        <w:t>i Indywidualny Puchar Polski Kadetów i Juniorów w Speedrowerze, Ogólnopolskie Zawody w Karate „Ronin Copernicus Cup”.</w:t>
      </w:r>
    </w:p>
    <w:p w:rsidR="00AE6BCB" w:rsidRPr="00B775D1" w:rsidRDefault="00145DB4" w:rsidP="00145DB4">
      <w:pPr>
        <w:pStyle w:val="Nagwek2"/>
        <w:numPr>
          <w:ilvl w:val="0"/>
          <w:numId w:val="0"/>
        </w:numPr>
        <w:spacing w:before="0" w:after="0" w:line="240" w:lineRule="auto"/>
        <w:rPr>
          <w:rFonts w:ascii="Times New Roman" w:hAnsi="Times New Roman" w:cs="Times New Roman"/>
          <w:sz w:val="24"/>
          <w:szCs w:val="24"/>
          <w:lang w:val="pl-PL"/>
        </w:rPr>
      </w:pPr>
      <w:bookmarkStart w:id="181" w:name="__RefHeading__32038_2082197896"/>
      <w:bookmarkStart w:id="182" w:name="_Toc69477742"/>
      <w:bookmarkStart w:id="183" w:name="_Toc69372290"/>
      <w:bookmarkEnd w:id="181"/>
      <w:r>
        <w:rPr>
          <w:rFonts w:ascii="Times New Roman" w:hAnsi="Times New Roman" w:cs="Times New Roman"/>
          <w:color w:val="0070C0"/>
          <w:sz w:val="24"/>
          <w:lang w:val="pl-PL"/>
        </w:rPr>
        <w:br/>
      </w:r>
      <w:r w:rsidR="00AE6BCB" w:rsidRPr="00B775D1">
        <w:rPr>
          <w:rFonts w:ascii="Times New Roman" w:hAnsi="Times New Roman" w:cs="Times New Roman"/>
          <w:color w:val="0070C0"/>
          <w:sz w:val="24"/>
          <w:lang w:val="pl-PL"/>
        </w:rPr>
        <w:t>Upowszechnianie kultury fizycznej i rekreacji</w:t>
      </w:r>
      <w:bookmarkEnd w:id="182"/>
      <w:bookmarkEnd w:id="183"/>
    </w:p>
    <w:p w:rsidR="00862437" w:rsidRDefault="00AE6BCB" w:rsidP="009C7C02">
      <w:pPr>
        <w:spacing w:line="240" w:lineRule="auto"/>
        <w:ind w:firstLine="709"/>
        <w:jc w:val="both"/>
        <w:rPr>
          <w:lang w:val="pl-PL"/>
        </w:rPr>
      </w:pPr>
      <w:r>
        <w:rPr>
          <w:lang w:val="pl-PL"/>
        </w:rPr>
        <w:t>Realizacja zadań publicznych z zakresu wspierania i upowszechniania kultury fizycznej i rekreacji odbywa się w formie otwartego konkursu ofert na wykonanie zadań publicznych Gminy. W 2020 r. w tym trybie Gmina wsparła finansowo 39 projektów realizowanych przez 27 stowarzyszeń k</w:t>
      </w:r>
      <w:r w:rsidR="00862437">
        <w:rPr>
          <w:lang w:val="pl-PL"/>
        </w:rPr>
        <w:t>ultury fizycznej</w:t>
      </w:r>
      <w:r>
        <w:rPr>
          <w:lang w:val="pl-PL"/>
        </w:rPr>
        <w:t xml:space="preserve">. </w:t>
      </w:r>
    </w:p>
    <w:p w:rsidR="00AE6BCB" w:rsidRDefault="00AE6BCB" w:rsidP="009C7C02">
      <w:pPr>
        <w:spacing w:line="240" w:lineRule="auto"/>
        <w:ind w:firstLine="709"/>
        <w:jc w:val="both"/>
        <w:rPr>
          <w:lang w:val="pl-PL"/>
        </w:rPr>
      </w:pPr>
      <w:r>
        <w:rPr>
          <w:lang w:val="pl-PL"/>
        </w:rPr>
        <w:t xml:space="preserve">Ważniejsze wydarzenia z zakresu kultury fizycznej i rekreacji, które odbyły się </w:t>
      </w:r>
      <w:r w:rsidR="00B775D1">
        <w:rPr>
          <w:lang w:val="pl-PL"/>
        </w:rPr>
        <w:br/>
      </w:r>
      <w:r>
        <w:rPr>
          <w:lang w:val="pl-PL"/>
        </w:rPr>
        <w:t xml:space="preserve">w Toruniu: Toruń na Rowery 2020, Nocna Dycha Kopernika, Run Toruń – Zwiedzaj </w:t>
      </w:r>
      <w:r w:rsidR="002F2AE1">
        <w:rPr>
          <w:lang w:val="pl-PL"/>
        </w:rPr>
        <w:br/>
      </w:r>
      <w:r>
        <w:rPr>
          <w:lang w:val="pl-PL"/>
        </w:rPr>
        <w:t>ze Zdrowiem!, Toruń Kocha Rolki, Wielka Koszykarska Feta, Rajdowe Samochodowe Mistrzostwa Torunia</w:t>
      </w:r>
      <w:r w:rsidR="00145DB4">
        <w:rPr>
          <w:lang w:val="pl-PL"/>
        </w:rPr>
        <w:t xml:space="preserve"> Mini-Max, Pilates pod chmurką</w:t>
      </w:r>
      <w:r>
        <w:rPr>
          <w:lang w:val="pl-PL"/>
        </w:rPr>
        <w:t>, Bezpieczne Białe Ferie na Sportowych Obiektach Torunia, Memoriał Henryka Pawłowskiego w Brydżu Sportowym, Młodzi Mistrzowie Szachów, 53. Toruński Rajd Samochodowy, Cross Barbarka, Aktywność fizyczna</w:t>
      </w:r>
      <w:r w:rsidR="00145DB4">
        <w:rPr>
          <w:lang w:val="pl-PL"/>
        </w:rPr>
        <w:t xml:space="preserve"> przez całe życie „Masz wybór”, </w:t>
      </w:r>
      <w:r>
        <w:rPr>
          <w:lang w:val="pl-PL"/>
        </w:rPr>
        <w:t xml:space="preserve">55. Długodystansowe Regaty na Wiśle, IX Toruńska Olimpiada Osób Niepełnosprawnych, Festiwal Biegów Świętych Mikołajów oraz poza </w:t>
      </w:r>
      <w:r>
        <w:rPr>
          <w:lang w:val="pl-PL"/>
        </w:rPr>
        <w:lastRenderedPageBreak/>
        <w:t>Toruniem – Rajd Żeglarski pn. Niepełnosprawni pływają po Bałtyku.</w:t>
      </w:r>
    </w:p>
    <w:p w:rsidR="00AE6BCB" w:rsidRDefault="00AE6BCB" w:rsidP="009C7C02">
      <w:pPr>
        <w:pStyle w:val="BodyText3"/>
        <w:spacing w:line="240" w:lineRule="auto"/>
        <w:ind w:firstLine="709"/>
        <w:jc w:val="both"/>
        <w:rPr>
          <w:szCs w:val="24"/>
          <w:lang w:val="pl-PL"/>
        </w:rPr>
      </w:pPr>
      <w:r>
        <w:rPr>
          <w:szCs w:val="24"/>
          <w:lang w:val="pl-PL"/>
        </w:rPr>
        <w:t xml:space="preserve">W Toruniu jest ponad 100 plenerowych miejsc służących aktywnemu wypoczynkowi mieszkańców: siłownie zewnętrzne, ścieżki rekreacyjne, ścieżki zdrowia, urządzenia do streetworkoutu i kompleksy New Age Fit. </w:t>
      </w:r>
    </w:p>
    <w:p w:rsidR="00224F6A" w:rsidRPr="00224F6A" w:rsidRDefault="00AE6BCB" w:rsidP="00224F6A">
      <w:pPr>
        <w:pStyle w:val="BodyText3"/>
        <w:spacing w:line="240" w:lineRule="auto"/>
        <w:ind w:firstLine="709"/>
        <w:jc w:val="both"/>
        <w:rPr>
          <w:color w:val="FF0000"/>
          <w:szCs w:val="24"/>
          <w:lang w:val="pl-PL"/>
        </w:rPr>
      </w:pPr>
      <w:r>
        <w:rPr>
          <w:szCs w:val="24"/>
          <w:lang w:val="pl-PL"/>
        </w:rPr>
        <w:t xml:space="preserve">W 2020 r. został wdrożony program wielopokoleniowej, sportowej aktywizacji </w:t>
      </w:r>
      <w:r w:rsidR="00B775D1">
        <w:rPr>
          <w:szCs w:val="24"/>
          <w:lang w:val="pl-PL"/>
        </w:rPr>
        <w:br/>
      </w:r>
      <w:r>
        <w:rPr>
          <w:szCs w:val="24"/>
          <w:lang w:val="pl-PL"/>
        </w:rPr>
        <w:t xml:space="preserve">i integracji mieszkańców realizowany na terenach i obiektach rekreacyjnych zarządzanych przez Miejski Ośrodek Sportu i Rekreacji. Program obejmował organizację m.in.: zajęć sportowo-rekreacyjnych na sześciu treningowych placach rekreacyjnych typu New Age Fit </w:t>
      </w:r>
      <w:r w:rsidR="002F2AE1">
        <w:rPr>
          <w:szCs w:val="24"/>
          <w:lang w:val="pl-PL"/>
        </w:rPr>
        <w:br/>
      </w:r>
      <w:r>
        <w:rPr>
          <w:szCs w:val="24"/>
          <w:lang w:val="pl-PL"/>
        </w:rPr>
        <w:t>do gimnastyki sportowej wyposażonych w kioski multimedialne, zajęć: szkoleniowych na trzech siłowniach zewnętrznych typu street workout, nauki jazdy na rolkach na sześciu płytach rolkowych, na placu sportowym typu pump track.</w:t>
      </w:r>
      <w:bookmarkStart w:id="184" w:name="__RefHeading__32040_2082197896"/>
      <w:bookmarkEnd w:id="184"/>
    </w:p>
    <w:p w:rsidR="00145DB4" w:rsidRDefault="00AE6BCB" w:rsidP="002F2AE1">
      <w:pPr>
        <w:pStyle w:val="Nagwek2"/>
        <w:numPr>
          <w:ilvl w:val="0"/>
          <w:numId w:val="0"/>
        </w:numPr>
        <w:spacing w:before="0" w:after="0" w:line="240" w:lineRule="auto"/>
        <w:rPr>
          <w:color w:val="0070C0"/>
          <w:sz w:val="24"/>
          <w:lang w:val="pl-PL"/>
        </w:rPr>
      </w:pPr>
      <w:r>
        <w:rPr>
          <w:color w:val="0070C0"/>
          <w:sz w:val="24"/>
          <w:lang w:val="pl-PL"/>
        </w:rPr>
        <w:t xml:space="preserve"> </w:t>
      </w:r>
      <w:bookmarkStart w:id="185" w:name="_Toc69477743"/>
      <w:bookmarkStart w:id="186" w:name="_Toc69372291"/>
    </w:p>
    <w:p w:rsidR="00AE6BCB" w:rsidRPr="00B775D1" w:rsidRDefault="00AE6BCB" w:rsidP="002F2AE1">
      <w:pPr>
        <w:pStyle w:val="Nagwek2"/>
        <w:numPr>
          <w:ilvl w:val="0"/>
          <w:numId w:val="0"/>
        </w:numPr>
        <w:spacing w:before="0" w:after="0" w:line="240" w:lineRule="auto"/>
        <w:rPr>
          <w:rFonts w:ascii="Times New Roman" w:hAnsi="Times New Roman" w:cs="Times New Roman"/>
          <w:lang w:val="pl-PL"/>
        </w:rPr>
      </w:pPr>
      <w:r w:rsidRPr="00B775D1">
        <w:rPr>
          <w:rFonts w:ascii="Times New Roman" w:hAnsi="Times New Roman" w:cs="Times New Roman"/>
          <w:color w:val="0070C0"/>
          <w:sz w:val="24"/>
          <w:lang w:val="pl-PL"/>
        </w:rPr>
        <w:t>Stypendia i nagrody sportowe</w:t>
      </w:r>
      <w:bookmarkEnd w:id="185"/>
      <w:bookmarkEnd w:id="186"/>
    </w:p>
    <w:p w:rsidR="00862437" w:rsidRDefault="00AE6BCB" w:rsidP="009C7C02">
      <w:pPr>
        <w:pStyle w:val="NormalWeb"/>
        <w:spacing w:before="0" w:after="0" w:line="240" w:lineRule="auto"/>
        <w:ind w:firstLine="709"/>
        <w:jc w:val="both"/>
        <w:rPr>
          <w:lang w:val="pl-PL"/>
        </w:rPr>
      </w:pPr>
      <w:r>
        <w:rPr>
          <w:lang w:val="pl-PL"/>
        </w:rPr>
        <w:t xml:space="preserve">W 2020 r. sportowcy reprezentowali Toruń na krajowych i międzynarodowych arenach, odnosząc wiele spektakularnych sukcesów. </w:t>
      </w:r>
      <w:r>
        <w:rPr>
          <w:rFonts w:eastAsia="Calibri"/>
          <w:lang w:val="pl-PL"/>
        </w:rPr>
        <w:t xml:space="preserve">Działając na podstawie uchwały Rady Miasta Torunia nr 307/19 Rady Miasta Torunia z dnia 19.12.2019 r. w sprawie </w:t>
      </w:r>
      <w:r w:rsidR="00862437">
        <w:rPr>
          <w:rFonts w:eastAsia="Calibri"/>
          <w:lang w:val="pl-PL"/>
        </w:rPr>
        <w:t xml:space="preserve">stypendiów sportowych (…) </w:t>
      </w:r>
      <w:r>
        <w:rPr>
          <w:rFonts w:eastAsia="Calibri"/>
          <w:lang w:val="pl-PL"/>
        </w:rPr>
        <w:t>dla osób fizycznych za osiągnięte wyniki sportowe</w:t>
      </w:r>
      <w:r w:rsidR="00862437">
        <w:rPr>
          <w:rFonts w:eastAsia="Calibri"/>
          <w:lang w:val="pl-PL"/>
        </w:rPr>
        <w:t>,</w:t>
      </w:r>
      <w:r>
        <w:rPr>
          <w:rFonts w:eastAsia="Calibri"/>
          <w:lang w:val="pl-PL"/>
        </w:rPr>
        <w:t xml:space="preserve"> </w:t>
      </w:r>
      <w:r w:rsidR="00862437">
        <w:rPr>
          <w:rFonts w:eastAsia="Calibri"/>
          <w:lang w:val="pl-PL"/>
        </w:rPr>
        <w:t>przyznane zostały</w:t>
      </w:r>
      <w:r>
        <w:rPr>
          <w:rFonts w:eastAsia="Calibri"/>
          <w:lang w:val="pl-PL"/>
        </w:rPr>
        <w:t xml:space="preserve"> </w:t>
      </w:r>
      <w:r w:rsidRPr="00504C61">
        <w:rPr>
          <w:rFonts w:eastAsia="Calibri"/>
          <w:b/>
          <w:lang w:val="pl-PL"/>
        </w:rPr>
        <w:t>stypendia dla zawodników i trenerów</w:t>
      </w:r>
      <w:r>
        <w:rPr>
          <w:rFonts w:eastAsia="Calibri"/>
          <w:lang w:val="pl-PL"/>
        </w:rPr>
        <w:t xml:space="preserve">, którzy w 2019 r. osiągnęli znaczące wyniki sportowe na arenach krajowych i międzynarodowych. </w:t>
      </w:r>
      <w:r>
        <w:rPr>
          <w:lang w:val="pl-PL"/>
        </w:rPr>
        <w:t xml:space="preserve">W 2020 r. stypendia sportowe przyznano </w:t>
      </w:r>
      <w:r w:rsidR="00AA3F99">
        <w:rPr>
          <w:lang w:val="pl-PL"/>
        </w:rPr>
        <w:br/>
      </w:r>
      <w:r>
        <w:rPr>
          <w:lang w:val="pl-PL"/>
        </w:rPr>
        <w:t xml:space="preserve">99 osobom. Wśród stypendystów było 69 zawodników, w tym: zawodnicy z kwalifikacjami olimpijskimi do Tokio 2021 – Katarzyna Zillmann, Mirosław Ziętarski w wioślarstwie </w:t>
      </w:r>
      <w:r w:rsidR="00B775D1">
        <w:rPr>
          <w:lang w:val="pl-PL"/>
        </w:rPr>
        <w:br/>
      </w:r>
      <w:r>
        <w:rPr>
          <w:lang w:val="pl-PL"/>
        </w:rPr>
        <w:t>i Jolanta Ogar w żeglarstwie, 30 seniorów, 12 młodzieżowców, 26 juniorów, 1 junior młodszy oraz 30 trenerów. Łącznie stypendia otrzymali zawodnicy w 10 dyscyplinach sportowych: wi</w:t>
      </w:r>
      <w:r w:rsidR="00AA3F99">
        <w:rPr>
          <w:lang w:val="pl-PL"/>
        </w:rPr>
        <w:t>oślarstwo, kolarstwo, szermierka, lekka atletyka</w:t>
      </w:r>
      <w:r>
        <w:rPr>
          <w:lang w:val="pl-PL"/>
        </w:rPr>
        <w:t xml:space="preserve">, tenis stołowy, judo, boks, żeglarstwo, wspinaczka sportowa, łyżwiarstwo figurowe. Stypendyści 2020 r. to przedstawiciele następujących toruńskich klubów sportowych: AZS UMK, TKST Budowlani, TKK Pacific, UKS Copernicus Toruń, MKLA Toruń, MKSW Pomorzanin, UKŻ Wiking, Toruński Klub Żeglarski, MKS Axel, Energa KTS Toruń, TKS Judo, Klub Wysokogórski. </w:t>
      </w:r>
    </w:p>
    <w:p w:rsidR="00AE6BCB" w:rsidRDefault="00AA3F99" w:rsidP="00862437">
      <w:pPr>
        <w:pStyle w:val="NormalWeb"/>
        <w:spacing w:before="0" w:after="0" w:line="240" w:lineRule="auto"/>
        <w:jc w:val="both"/>
        <w:rPr>
          <w:lang w:val="pl-PL"/>
        </w:rPr>
      </w:pPr>
      <w:r>
        <w:rPr>
          <w:lang w:val="pl-PL"/>
        </w:rPr>
        <w:t>Wysokość stypendium</w:t>
      </w:r>
      <w:r w:rsidR="00AE6BCB">
        <w:rPr>
          <w:lang w:val="pl-PL"/>
        </w:rPr>
        <w:t xml:space="preserve"> kształtowała się od 400 do 3</w:t>
      </w:r>
      <w:r w:rsidR="00504C61">
        <w:rPr>
          <w:lang w:val="pl-PL"/>
        </w:rPr>
        <w:t>.</w:t>
      </w:r>
      <w:r w:rsidR="00AE6BCB">
        <w:rPr>
          <w:lang w:val="pl-PL"/>
        </w:rPr>
        <w:t>000 zł</w:t>
      </w:r>
      <w:r>
        <w:rPr>
          <w:lang w:val="pl-PL"/>
        </w:rPr>
        <w:t>,</w:t>
      </w:r>
      <w:r w:rsidR="00AE6BCB">
        <w:rPr>
          <w:lang w:val="pl-PL"/>
        </w:rPr>
        <w:t xml:space="preserve"> w zależności od uzyskanego </w:t>
      </w:r>
      <w:r w:rsidR="00862437">
        <w:rPr>
          <w:lang w:val="pl-PL"/>
        </w:rPr>
        <w:t xml:space="preserve">wyniku sportowego i przyznawane było na okres 12 miesięcy. </w:t>
      </w:r>
      <w:r w:rsidR="00AE6BCB">
        <w:rPr>
          <w:lang w:val="pl-PL"/>
        </w:rPr>
        <w:t xml:space="preserve"> </w:t>
      </w:r>
    </w:p>
    <w:p w:rsidR="00AE6BCB" w:rsidRDefault="00504C61" w:rsidP="009C7C02">
      <w:pPr>
        <w:pStyle w:val="NormalWeb"/>
        <w:spacing w:before="0" w:after="0" w:line="240" w:lineRule="auto"/>
        <w:ind w:firstLine="709"/>
        <w:jc w:val="both"/>
        <w:rPr>
          <w:bCs/>
          <w:i/>
          <w:color w:val="FF0000"/>
          <w:lang w:val="pl-PL"/>
        </w:rPr>
      </w:pPr>
      <w:r>
        <w:rPr>
          <w:lang w:val="pl-PL"/>
        </w:rPr>
        <w:t>W 2020 r. działając na podstawie uchwały</w:t>
      </w:r>
      <w:r w:rsidR="00AE6BCB">
        <w:rPr>
          <w:lang w:val="pl-PL"/>
        </w:rPr>
        <w:t xml:space="preserve"> RMT nr 308/19 z dnia 19.12.2019 r. </w:t>
      </w:r>
      <w:r w:rsidR="00B775D1">
        <w:rPr>
          <w:lang w:val="pl-PL"/>
        </w:rPr>
        <w:br/>
      </w:r>
      <w:r w:rsidR="00AE6BCB">
        <w:rPr>
          <w:lang w:val="pl-PL"/>
        </w:rPr>
        <w:t>w sp</w:t>
      </w:r>
      <w:r>
        <w:rPr>
          <w:lang w:val="pl-PL"/>
        </w:rPr>
        <w:t xml:space="preserve">rawie (…) </w:t>
      </w:r>
      <w:r w:rsidR="00AE6BCB">
        <w:rPr>
          <w:b/>
          <w:lang w:val="pl-PL"/>
        </w:rPr>
        <w:t xml:space="preserve">nagród i wyróżnień za uzyskane wyniki sportowe i osiągnięcia </w:t>
      </w:r>
      <w:r w:rsidR="00B775D1">
        <w:rPr>
          <w:b/>
          <w:lang w:val="pl-PL"/>
        </w:rPr>
        <w:br/>
      </w:r>
      <w:r w:rsidR="00AE6BCB">
        <w:rPr>
          <w:b/>
          <w:lang w:val="pl-PL"/>
        </w:rPr>
        <w:t>w działalności sportowej</w:t>
      </w:r>
      <w:r>
        <w:rPr>
          <w:b/>
          <w:lang w:val="pl-PL"/>
        </w:rPr>
        <w:t>,</w:t>
      </w:r>
      <w:r>
        <w:rPr>
          <w:lang w:val="pl-PL"/>
        </w:rPr>
        <w:t xml:space="preserve"> przyznane zostały nagrody i wyróżnienia za</w:t>
      </w:r>
      <w:r w:rsidR="00AE6BCB">
        <w:rPr>
          <w:lang w:val="pl-PL"/>
        </w:rPr>
        <w:t xml:space="preserve"> osiągnięte wysokie wyniki sportowe w 2019 r. zawodnikom w kategorii juniorskiej, młodzieżowej, seniorskiej, masters zrzeszonym w toruńskich klubach sportowych oraz mieszkańcom Torunia, a także trenerom i działaczom sportowym w dziedzinie kultury fizycznej, którzy przyczynili się do osiągnięcia wysokiego wyniku s</w:t>
      </w:r>
      <w:r>
        <w:rPr>
          <w:lang w:val="pl-PL"/>
        </w:rPr>
        <w:t xml:space="preserve">portowego swoich podopiecznych. </w:t>
      </w:r>
      <w:r w:rsidR="00AE6BCB">
        <w:rPr>
          <w:lang w:val="pl-PL"/>
        </w:rPr>
        <w:t>Sportowe nagrody przyznano 226 osobom: 220 osobom z toruńskich klubów sportowych oraz 6 mieszkańcom Torunia, niereprezentujących toruńskich klubów sportowych w 26 dyscyplinach sportowych. Wśród 226 nagrodzonych jest 200 zawodników, w tym: 52 seniorów, 14 młodzieżowców, 80 juniorów/juniorów młodszych, 54 mastersów oraz 26 trenerów. Wysokość nagród kształtuje się od 400 do 5</w:t>
      </w:r>
      <w:r>
        <w:rPr>
          <w:lang w:val="pl-PL"/>
        </w:rPr>
        <w:t>.</w:t>
      </w:r>
      <w:r w:rsidR="00AE6BCB">
        <w:rPr>
          <w:lang w:val="pl-PL"/>
        </w:rPr>
        <w:t>000 zł</w:t>
      </w:r>
      <w:r w:rsidR="00AA3F99">
        <w:rPr>
          <w:lang w:val="pl-PL"/>
        </w:rPr>
        <w:t>,</w:t>
      </w:r>
      <w:r w:rsidR="00AE6BCB">
        <w:rPr>
          <w:lang w:val="pl-PL"/>
        </w:rPr>
        <w:t xml:space="preserve"> w zależności od uzyskanego przez zawodnika wyniku sportowego.</w:t>
      </w:r>
    </w:p>
    <w:p w:rsidR="00AE6BCB" w:rsidRPr="001E0AF9" w:rsidRDefault="00224F6A" w:rsidP="00224F6A">
      <w:pPr>
        <w:pStyle w:val="Nagwek2"/>
        <w:numPr>
          <w:ilvl w:val="0"/>
          <w:numId w:val="0"/>
        </w:numPr>
        <w:spacing w:before="0" w:after="0" w:line="240" w:lineRule="auto"/>
        <w:rPr>
          <w:rFonts w:ascii="Times New Roman" w:hAnsi="Times New Roman" w:cs="Times New Roman"/>
          <w:sz w:val="24"/>
          <w:szCs w:val="24"/>
          <w:lang w:val="pl-PL"/>
        </w:rPr>
      </w:pPr>
      <w:bookmarkStart w:id="187" w:name="__RefHeading__32042_2082197896"/>
      <w:bookmarkStart w:id="188" w:name="_Toc69477744"/>
      <w:bookmarkStart w:id="189" w:name="_Toc69372292"/>
      <w:bookmarkEnd w:id="187"/>
      <w:r>
        <w:rPr>
          <w:rFonts w:ascii="Times New Roman" w:hAnsi="Times New Roman"/>
          <w:b w:val="0"/>
          <w:iCs w:val="0"/>
          <w:color w:val="FF0000"/>
          <w:sz w:val="24"/>
          <w:szCs w:val="24"/>
          <w:lang w:val="pl-PL"/>
        </w:rPr>
        <w:br/>
      </w:r>
      <w:r w:rsidR="00AE6BCB" w:rsidRPr="001E0AF9">
        <w:rPr>
          <w:rFonts w:ascii="Times New Roman" w:hAnsi="Times New Roman" w:cs="Times New Roman"/>
          <w:color w:val="0070C0"/>
          <w:sz w:val="24"/>
          <w:lang w:val="pl-PL"/>
        </w:rPr>
        <w:t>Sport szkolny</w:t>
      </w:r>
      <w:bookmarkEnd w:id="188"/>
      <w:bookmarkEnd w:id="189"/>
    </w:p>
    <w:p w:rsidR="00AE6BCB" w:rsidRDefault="00504C61" w:rsidP="00504C61">
      <w:pPr>
        <w:spacing w:line="240" w:lineRule="auto"/>
        <w:ind w:firstLine="709"/>
        <w:jc w:val="both"/>
        <w:rPr>
          <w:lang w:val="pl-PL"/>
        </w:rPr>
      </w:pPr>
      <w:r>
        <w:rPr>
          <w:lang w:val="pl-PL"/>
        </w:rPr>
        <w:t>W I</w:t>
      </w:r>
      <w:r w:rsidR="00AE6BCB">
        <w:rPr>
          <w:lang w:val="pl-PL"/>
        </w:rPr>
        <w:t xml:space="preserve"> kwartale 2020 r. </w:t>
      </w:r>
      <w:r>
        <w:rPr>
          <w:lang w:val="pl-PL"/>
        </w:rPr>
        <w:t>zorganizowano</w:t>
      </w:r>
      <w:r w:rsidR="00AE6BCB">
        <w:rPr>
          <w:lang w:val="pl-PL"/>
        </w:rPr>
        <w:t xml:space="preserve"> zawody spo</w:t>
      </w:r>
      <w:r w:rsidR="00145DB4">
        <w:rPr>
          <w:lang w:val="pl-PL"/>
        </w:rPr>
        <w:t>rtowe na trzech poziomach rozgr</w:t>
      </w:r>
      <w:r w:rsidR="00AE6BCB">
        <w:rPr>
          <w:lang w:val="pl-PL"/>
        </w:rPr>
        <w:t>wek: Igrzysk Dzieci (uczniowie rocznik 2007 i młodsi), Igrzysk Młodzieży Szkolnej (uczniowie roczników 2005-2006), Licealiady (uczniowie dziennych szkół średnich r</w:t>
      </w:r>
      <w:r>
        <w:rPr>
          <w:lang w:val="pl-PL"/>
        </w:rPr>
        <w:t xml:space="preserve">ocznik 2000 i młodsi), </w:t>
      </w:r>
      <w:r w:rsidR="00AE6BCB">
        <w:rPr>
          <w:lang w:val="pl-PL"/>
        </w:rPr>
        <w:t xml:space="preserve">przeprowadzono i nadzorowano 120 szkolnych zawodów sportowych </w:t>
      </w:r>
      <w:r w:rsidR="001E0AF9">
        <w:rPr>
          <w:lang w:val="pl-PL"/>
        </w:rPr>
        <w:br/>
      </w:r>
      <w:r w:rsidR="00AE6BCB">
        <w:rPr>
          <w:lang w:val="pl-PL"/>
        </w:rPr>
        <w:t xml:space="preserve">w ramach współzawodnictwa szkół. </w:t>
      </w:r>
      <w:r>
        <w:rPr>
          <w:lang w:val="pl-PL"/>
        </w:rPr>
        <w:t xml:space="preserve">W czasie ferii zimowych dla dzieci zorganizowano m.in. </w:t>
      </w:r>
      <w:r w:rsidR="00AE6BCB">
        <w:rPr>
          <w:lang w:val="pl-PL"/>
        </w:rPr>
        <w:t xml:space="preserve"> zawody sportowe pn. „Ferie na start” z udziałem klubów sportowych i sportowymi </w:t>
      </w:r>
      <w:r w:rsidR="00AE6BCB">
        <w:rPr>
          <w:lang w:val="pl-PL"/>
        </w:rPr>
        <w:lastRenderedPageBreak/>
        <w:t xml:space="preserve">atrakcjami; dwie darmowe ślizgawki; bezpłatny wstęp na dwa lodowiska sezonowe; tańsze bilety na ślizgawki dla dzieci i młodzieży podczas całych ferii; kurs pływania dla 50 dzieci; tańsze bilety dla dzieci i młodzieży do mini Aquaparku; darmowe treningi: tenisa stołowego, gimnastyki, sztuk walki; zajęcia sportowe na toruńskich orlikach. Podczas ferii 2020 wprowadzono nowe treningi dla dzieci, tj. gimnastykę i sztuki walk. </w:t>
      </w:r>
    </w:p>
    <w:p w:rsidR="00504C61" w:rsidRDefault="00504C61" w:rsidP="001E0AF9">
      <w:pPr>
        <w:spacing w:line="240" w:lineRule="auto"/>
        <w:jc w:val="both"/>
        <w:rPr>
          <w:lang w:val="pl-PL"/>
        </w:rPr>
      </w:pPr>
      <w:r>
        <w:rPr>
          <w:rFonts w:cs="Calibri"/>
          <w:bCs/>
          <w:lang w:val="pl-PL"/>
        </w:rPr>
        <w:t>Od marca 2020 r.</w:t>
      </w:r>
      <w:r w:rsidR="00C052D2">
        <w:rPr>
          <w:rFonts w:cs="Calibri"/>
          <w:bCs/>
          <w:lang w:val="pl-PL"/>
        </w:rPr>
        <w:t>,</w:t>
      </w:r>
      <w:r w:rsidR="00224F6A">
        <w:rPr>
          <w:rFonts w:cs="Calibri"/>
          <w:bCs/>
          <w:lang w:val="pl-PL"/>
        </w:rPr>
        <w:t xml:space="preserve"> z</w:t>
      </w:r>
      <w:r w:rsidR="00C052D2">
        <w:rPr>
          <w:rFonts w:cs="Calibri"/>
          <w:bCs/>
          <w:lang w:val="pl-PL"/>
        </w:rPr>
        <w:t xml:space="preserve"> powodu ograniczeń wynikających z pandemii,</w:t>
      </w:r>
      <w:r>
        <w:rPr>
          <w:rFonts w:cs="Calibri"/>
          <w:bCs/>
          <w:lang w:val="pl-PL"/>
        </w:rPr>
        <w:t xml:space="preserve"> szkolne rozgrywki sportowe zostały zawieszone do końca roku kalendarzowego.</w:t>
      </w:r>
    </w:p>
    <w:p w:rsidR="00AE6BCB" w:rsidRDefault="00AE6BCB" w:rsidP="009C7C02">
      <w:pPr>
        <w:spacing w:line="240" w:lineRule="auto"/>
        <w:jc w:val="both"/>
        <w:rPr>
          <w:lang w:val="pl-PL"/>
        </w:rPr>
      </w:pPr>
    </w:p>
    <w:p w:rsidR="00AE6BCB" w:rsidRDefault="00F155F0" w:rsidP="00224F6A">
      <w:pPr>
        <w:pStyle w:val="Nagwek1"/>
        <w:numPr>
          <w:ilvl w:val="0"/>
          <w:numId w:val="0"/>
        </w:numPr>
        <w:spacing w:line="240" w:lineRule="auto"/>
        <w:rPr>
          <w:szCs w:val="24"/>
          <w:lang w:val="pl-PL"/>
        </w:rPr>
      </w:pPr>
      <w:bookmarkStart w:id="190" w:name="__RefHeading__32044_2082197896"/>
      <w:bookmarkStart w:id="191" w:name="_Toc69477745"/>
      <w:bookmarkStart w:id="192" w:name="_Toc69372293"/>
      <w:bookmarkEnd w:id="190"/>
      <w:r>
        <w:rPr>
          <w:color w:val="0070C0"/>
          <w:lang w:val="pl-PL"/>
        </w:rPr>
        <w:t>XVI</w:t>
      </w:r>
      <w:r w:rsidR="001E0AF9">
        <w:rPr>
          <w:color w:val="0070C0"/>
          <w:lang w:val="pl-PL"/>
        </w:rPr>
        <w:t>I</w:t>
      </w:r>
      <w:r>
        <w:rPr>
          <w:color w:val="0070C0"/>
          <w:lang w:val="pl-PL"/>
        </w:rPr>
        <w:t xml:space="preserve">. </w:t>
      </w:r>
      <w:r w:rsidR="00AE6BCB">
        <w:rPr>
          <w:color w:val="0070C0"/>
          <w:lang w:val="pl-PL"/>
        </w:rPr>
        <w:t>INFRASTRUKTURA TECHNICZNA</w:t>
      </w:r>
      <w:bookmarkEnd w:id="191"/>
      <w:bookmarkEnd w:id="192"/>
    </w:p>
    <w:p w:rsidR="00AE6BCB" w:rsidRPr="001E0AF9" w:rsidRDefault="00224F6A" w:rsidP="00224F6A">
      <w:pPr>
        <w:pStyle w:val="Nagwek2"/>
        <w:numPr>
          <w:ilvl w:val="0"/>
          <w:numId w:val="0"/>
        </w:numPr>
        <w:spacing w:before="0" w:after="0" w:line="240" w:lineRule="auto"/>
        <w:rPr>
          <w:rFonts w:ascii="Times New Roman" w:hAnsi="Times New Roman" w:cs="Times New Roman"/>
          <w:sz w:val="24"/>
          <w:szCs w:val="24"/>
          <w:lang w:val="pl-PL"/>
        </w:rPr>
      </w:pPr>
      <w:bookmarkStart w:id="193" w:name="__RefHeading__32046_2082197896"/>
      <w:bookmarkStart w:id="194" w:name="_Toc69477746"/>
      <w:bookmarkStart w:id="195" w:name="_Toc69372294"/>
      <w:bookmarkEnd w:id="193"/>
      <w:r>
        <w:rPr>
          <w:rFonts w:ascii="Times New Roman" w:hAnsi="Times New Roman"/>
          <w:b w:val="0"/>
          <w:bCs w:val="0"/>
          <w:i w:val="0"/>
          <w:iCs w:val="0"/>
          <w:sz w:val="24"/>
          <w:szCs w:val="24"/>
          <w:lang w:val="pl-PL"/>
        </w:rPr>
        <w:br/>
      </w:r>
      <w:r w:rsidR="00AE6BCB" w:rsidRPr="001E0AF9">
        <w:rPr>
          <w:rFonts w:ascii="Times New Roman" w:hAnsi="Times New Roman" w:cs="Times New Roman"/>
          <w:color w:val="0070C0"/>
          <w:sz w:val="24"/>
          <w:lang w:val="pl-PL"/>
        </w:rPr>
        <w:t>Infrastruktura drogowa</w:t>
      </w:r>
      <w:bookmarkEnd w:id="194"/>
      <w:bookmarkEnd w:id="195"/>
    </w:p>
    <w:p w:rsidR="00AE6BCB" w:rsidRPr="00145DB4" w:rsidRDefault="00AE6BCB" w:rsidP="00145DB4">
      <w:pPr>
        <w:spacing w:line="240" w:lineRule="auto"/>
        <w:ind w:firstLine="709"/>
        <w:jc w:val="both"/>
        <w:rPr>
          <w:lang w:val="pl-PL"/>
        </w:rPr>
      </w:pPr>
      <w:r>
        <w:rPr>
          <w:iCs/>
          <w:lang w:val="pl-PL"/>
        </w:rPr>
        <w:t xml:space="preserve">Układ drogowy miasta tworzy ponad 481,6 km dróg (mniej z powodu wyłączenia ulic ze Starówki), w tym zdecydowana większość (ponad 340 km) to drogi gminne, a w dalszej kolejności powiatowe, krajowe i wojewódzkie. Infrastruktura drogowa na koniec 2020 r. wynosiła: powyżej 40 km dróg krajowych, prawie 26 km dróg wojewódzkich, prawie 76 km dróg powiatowych, prawie 340 km dróg gminnych (w tym drogi utwardzone – ponad 415 km, co stanowi prawie 85%) oraz </w:t>
      </w:r>
      <w:r>
        <w:rPr>
          <w:lang w:val="pl-PL"/>
        </w:rPr>
        <w:t>ok. 140 km dróg rowerowych. Oświetlenie dróg i sygnalizacja świetlna (</w:t>
      </w:r>
      <w:r w:rsidR="004930E9">
        <w:rPr>
          <w:lang w:val="pl-PL"/>
        </w:rPr>
        <w:t>wg stanu na koniec 2020 r.): 23.</w:t>
      </w:r>
      <w:r>
        <w:rPr>
          <w:lang w:val="pl-PL"/>
        </w:rPr>
        <w:t xml:space="preserve">621 kompletów oświetlenia ulicznego oraz 132 sygnalizacji świetlnych. </w:t>
      </w:r>
      <w:r>
        <w:rPr>
          <w:iCs/>
          <w:lang w:val="pl-PL"/>
        </w:rPr>
        <w:t>W 2020 r. m.in.:</w:t>
      </w:r>
    </w:p>
    <w:p w:rsidR="00AE6BCB" w:rsidRPr="00C052D2" w:rsidRDefault="001E0AF9" w:rsidP="001E0AF9">
      <w:pPr>
        <w:pStyle w:val="ListParagraph"/>
        <w:spacing w:line="240" w:lineRule="auto"/>
        <w:ind w:left="0"/>
        <w:jc w:val="both"/>
        <w:rPr>
          <w:b/>
          <w:iCs/>
          <w:lang w:val="pl-PL"/>
        </w:rPr>
      </w:pPr>
      <w:r>
        <w:rPr>
          <w:iCs/>
          <w:lang w:val="pl-PL"/>
        </w:rPr>
        <w:t xml:space="preserve">1. </w:t>
      </w:r>
      <w:r w:rsidR="00AE6BCB">
        <w:rPr>
          <w:iCs/>
          <w:lang w:val="pl-PL"/>
        </w:rPr>
        <w:t>W ramach powiatowych inwestycji drogowych:</w:t>
      </w:r>
      <w:r w:rsidR="00AE6BCB">
        <w:rPr>
          <w:lang w:val="pl-PL"/>
        </w:rPr>
        <w:t xml:space="preserve"> rozbudowano DK91 w ciągu </w:t>
      </w:r>
      <w:r>
        <w:rPr>
          <w:lang w:val="pl-PL"/>
        </w:rPr>
        <w:br/>
      </w:r>
      <w:r w:rsidR="00AE6BCB">
        <w:rPr>
          <w:lang w:val="pl-PL"/>
        </w:rPr>
        <w:t xml:space="preserve">ul. Grudziądzkiej od ul. Polnej do Trasy Wschodniej wraz z przebudową skrzyżowania </w:t>
      </w:r>
      <w:r>
        <w:rPr>
          <w:lang w:val="pl-PL"/>
        </w:rPr>
        <w:br/>
      </w:r>
      <w:r w:rsidR="00AE6BCB">
        <w:rPr>
          <w:lang w:val="pl-PL"/>
        </w:rPr>
        <w:t xml:space="preserve">z ul. Celniczą, przebudowano ul. Przybyszewskiego i ul. Zagrodową, ustawiono ekrany dźwiękochłonne przy przedszkolu nr 3 ul. M. Skłodowskiej-Curie przy Trasie Średnicowej. Rozpoczęto </w:t>
      </w:r>
      <w:r w:rsidR="00AE6BCB" w:rsidRPr="00C052D2">
        <w:rPr>
          <w:b/>
          <w:lang w:val="pl-PL"/>
        </w:rPr>
        <w:t>rozbudowę mostu drogowego im. J. Piłsudskiego.</w:t>
      </w:r>
    </w:p>
    <w:p w:rsidR="00AE6BCB" w:rsidRDefault="001E0AF9" w:rsidP="001E0AF9">
      <w:pPr>
        <w:pStyle w:val="ListParagraph"/>
        <w:spacing w:line="240" w:lineRule="auto"/>
        <w:ind w:left="0"/>
        <w:jc w:val="both"/>
        <w:rPr>
          <w:iCs/>
          <w:lang w:val="pl-PL"/>
        </w:rPr>
      </w:pPr>
      <w:r>
        <w:rPr>
          <w:iCs/>
          <w:lang w:val="pl-PL"/>
        </w:rPr>
        <w:t xml:space="preserve">2. </w:t>
      </w:r>
      <w:r w:rsidR="00AE6BCB">
        <w:rPr>
          <w:iCs/>
          <w:lang w:val="pl-PL"/>
        </w:rPr>
        <w:t>W ramach „</w:t>
      </w:r>
      <w:r w:rsidR="00AE6BCB">
        <w:rPr>
          <w:b/>
          <w:bCs/>
          <w:iCs/>
          <w:lang w:val="pl-PL"/>
        </w:rPr>
        <w:t xml:space="preserve">Programu budowy dróg lokalnych” </w:t>
      </w:r>
      <w:r w:rsidR="00AE6BCB">
        <w:rPr>
          <w:iCs/>
          <w:lang w:val="pl-PL"/>
        </w:rPr>
        <w:t>prowadzono roboty budowlane na drogach i odcinkach dróg o łącznej długości ok. 3,4 km.</w:t>
      </w:r>
    </w:p>
    <w:p w:rsidR="00A95DEE" w:rsidRDefault="00A95DEE" w:rsidP="00A95DEE">
      <w:pPr>
        <w:pStyle w:val="ListParagraph"/>
        <w:spacing w:line="240" w:lineRule="auto"/>
        <w:ind w:left="0"/>
        <w:jc w:val="both"/>
        <w:rPr>
          <w:iCs/>
          <w:lang w:val="pl-PL"/>
        </w:rPr>
      </w:pPr>
      <w:r>
        <w:rPr>
          <w:iCs/>
          <w:lang w:val="pl-PL"/>
        </w:rPr>
        <w:t>3. W ramach innych zadań:</w:t>
      </w:r>
    </w:p>
    <w:p w:rsidR="00A95DEE" w:rsidRDefault="00A95DEE" w:rsidP="00A95DEE">
      <w:pPr>
        <w:pStyle w:val="ListParagraph"/>
        <w:numPr>
          <w:ilvl w:val="0"/>
          <w:numId w:val="21"/>
        </w:numPr>
        <w:spacing w:line="240" w:lineRule="auto"/>
        <w:jc w:val="both"/>
        <w:rPr>
          <w:iCs/>
          <w:lang w:val="pl-PL"/>
        </w:rPr>
      </w:pPr>
      <w:r w:rsidRPr="00C052D2">
        <w:rPr>
          <w:iCs/>
          <w:lang w:val="pl-PL"/>
        </w:rPr>
        <w:t>„Modernizacja dróg lokalnych i wewnętrznych” – zagospodarowano teren położony przy ul. Gagarina 34, wybudowano drogę wewnętrzną od ul. Żwirki i Wigury</w:t>
      </w:r>
      <w:r>
        <w:rPr>
          <w:iCs/>
          <w:lang w:val="pl-PL"/>
        </w:rPr>
        <w:t>,</w:t>
      </w:r>
    </w:p>
    <w:p w:rsidR="00A95DEE" w:rsidRDefault="00A95DEE" w:rsidP="00A95DEE">
      <w:pPr>
        <w:pStyle w:val="ListParagraph"/>
        <w:numPr>
          <w:ilvl w:val="0"/>
          <w:numId w:val="21"/>
        </w:numPr>
        <w:spacing w:line="240" w:lineRule="auto"/>
        <w:jc w:val="both"/>
        <w:rPr>
          <w:iCs/>
          <w:lang w:val="pl-PL"/>
        </w:rPr>
      </w:pPr>
      <w:r w:rsidRPr="00C052D2">
        <w:rPr>
          <w:iCs/>
          <w:lang w:val="pl-PL"/>
        </w:rPr>
        <w:t xml:space="preserve"> „Budowa parkingów, zatok autobusowych, chodników, tablic informacyjnych” – wybudowano 260 miejsc parkingowych, ułożono ok. 1,46 km chodników,</w:t>
      </w:r>
    </w:p>
    <w:p w:rsidR="00A95DEE" w:rsidRDefault="00A95DEE" w:rsidP="00A95DEE">
      <w:pPr>
        <w:pStyle w:val="ListParagraph"/>
        <w:numPr>
          <w:ilvl w:val="0"/>
          <w:numId w:val="21"/>
        </w:numPr>
        <w:spacing w:line="240" w:lineRule="auto"/>
        <w:jc w:val="both"/>
        <w:rPr>
          <w:iCs/>
          <w:lang w:val="pl-PL"/>
        </w:rPr>
      </w:pPr>
      <w:r w:rsidRPr="00C052D2">
        <w:rPr>
          <w:iCs/>
          <w:lang w:val="pl-PL"/>
        </w:rPr>
        <w:t>„Budowa oświetlenia ulic” – ustawiono 108 lamp oświetlenia ulicznego,</w:t>
      </w:r>
    </w:p>
    <w:p w:rsidR="00A95DEE" w:rsidRDefault="00A95DEE" w:rsidP="00A95DEE">
      <w:pPr>
        <w:pStyle w:val="ListParagraph"/>
        <w:numPr>
          <w:ilvl w:val="0"/>
          <w:numId w:val="21"/>
        </w:numPr>
        <w:spacing w:line="240" w:lineRule="auto"/>
        <w:jc w:val="both"/>
        <w:rPr>
          <w:iCs/>
          <w:lang w:val="pl-PL"/>
        </w:rPr>
      </w:pPr>
      <w:r w:rsidRPr="00C052D2">
        <w:rPr>
          <w:iCs/>
          <w:lang w:val="pl-PL"/>
        </w:rPr>
        <w:t>„Budowa ul. Płaskiej II etap” oraz pn. „Przebudowa ul. Długiej</w:t>
      </w:r>
      <w:r>
        <w:rPr>
          <w:iCs/>
          <w:lang w:val="pl-PL"/>
        </w:rPr>
        <w:t>” – zakończono roboty budowlane,</w:t>
      </w:r>
    </w:p>
    <w:p w:rsidR="00A95DEE" w:rsidRPr="00A535DA" w:rsidRDefault="00A95DEE" w:rsidP="00A95DEE">
      <w:pPr>
        <w:pStyle w:val="ListParagraph"/>
        <w:numPr>
          <w:ilvl w:val="0"/>
          <w:numId w:val="21"/>
        </w:numPr>
        <w:spacing w:line="240" w:lineRule="auto"/>
        <w:jc w:val="both"/>
        <w:rPr>
          <w:iCs/>
          <w:lang w:val="pl-PL"/>
        </w:rPr>
      </w:pPr>
      <w:r w:rsidRPr="00C052D2">
        <w:rPr>
          <w:iCs/>
          <w:lang w:val="pl-PL"/>
        </w:rPr>
        <w:t>„Uzbrojenie terenów inwestycyjnych Grębocin Nad Strugą" – wykonano roboty drogowe.</w:t>
      </w:r>
    </w:p>
    <w:p w:rsidR="00A95DEE" w:rsidRDefault="00A535DA" w:rsidP="00C57A47">
      <w:pPr>
        <w:pStyle w:val="ListParagraph"/>
        <w:spacing w:line="240" w:lineRule="auto"/>
        <w:ind w:left="0" w:firstLine="284"/>
        <w:jc w:val="both"/>
        <w:rPr>
          <w:iCs/>
          <w:lang w:val="pl-PL"/>
        </w:rPr>
      </w:pPr>
      <w:r>
        <w:rPr>
          <w:iCs/>
          <w:lang w:val="pl-PL"/>
        </w:rPr>
        <w:t xml:space="preserve">W ramach </w:t>
      </w:r>
      <w:r w:rsidRPr="00C052D2">
        <w:rPr>
          <w:iCs/>
          <w:lang w:val="pl-PL"/>
        </w:rPr>
        <w:t>„</w:t>
      </w:r>
      <w:r>
        <w:rPr>
          <w:b/>
          <w:iCs/>
          <w:lang w:val="pl-PL"/>
        </w:rPr>
        <w:t>Programu</w:t>
      </w:r>
      <w:r w:rsidRPr="00C052D2">
        <w:rPr>
          <w:b/>
          <w:iCs/>
          <w:lang w:val="pl-PL"/>
        </w:rPr>
        <w:t xml:space="preserve"> rozwoju komunikacji rowerowej </w:t>
      </w:r>
      <w:r>
        <w:rPr>
          <w:b/>
          <w:iCs/>
          <w:lang w:val="pl-PL"/>
        </w:rPr>
        <w:t>w</w:t>
      </w:r>
      <w:r w:rsidRPr="00C052D2">
        <w:rPr>
          <w:b/>
          <w:iCs/>
          <w:lang w:val="pl-PL"/>
        </w:rPr>
        <w:t xml:space="preserve"> Toruni</w:t>
      </w:r>
      <w:r>
        <w:rPr>
          <w:b/>
          <w:iCs/>
          <w:lang w:val="pl-PL"/>
        </w:rPr>
        <w:t>u</w:t>
      </w:r>
      <w:r w:rsidR="00A95DEE">
        <w:rPr>
          <w:iCs/>
          <w:lang w:val="pl-PL"/>
        </w:rPr>
        <w:t>” w 2020 r. zakończono budowę ok. 3,7 k</w:t>
      </w:r>
      <w:r>
        <w:rPr>
          <w:iCs/>
          <w:lang w:val="pl-PL"/>
        </w:rPr>
        <w:t>m infrastruktury rowerowej.</w:t>
      </w:r>
      <w:r w:rsidR="00A95DEE">
        <w:rPr>
          <w:iCs/>
          <w:lang w:val="pl-PL"/>
        </w:rPr>
        <w:t xml:space="preserve"> W roku sprawozdawczym działał także system roweru miejskiego</w:t>
      </w:r>
      <w:r w:rsidR="00C57A47">
        <w:rPr>
          <w:iCs/>
          <w:lang w:val="pl-PL"/>
        </w:rPr>
        <w:t xml:space="preserve"> (operator – firma BIKeU), w ramach którego </w:t>
      </w:r>
      <w:r w:rsidR="00A95DEE">
        <w:rPr>
          <w:iCs/>
          <w:lang w:val="pl-PL"/>
        </w:rPr>
        <w:t>funkcjonow</w:t>
      </w:r>
      <w:r w:rsidR="00C57A47">
        <w:rPr>
          <w:iCs/>
          <w:lang w:val="pl-PL"/>
        </w:rPr>
        <w:t xml:space="preserve">ały 44 stacje. Z udostępnionych 435 rowerów w 2020 r. skorzystało prawie 17 tys. użytkowników, dokonując prawie 163 tys. wypożyczeń. </w:t>
      </w:r>
    </w:p>
    <w:p w:rsidR="004930E9" w:rsidRDefault="004930E9" w:rsidP="004930E9">
      <w:pPr>
        <w:spacing w:line="240" w:lineRule="auto"/>
        <w:ind w:firstLine="709"/>
        <w:jc w:val="both"/>
        <w:rPr>
          <w:iCs/>
          <w:lang w:val="pl-PL"/>
        </w:rPr>
      </w:pPr>
      <w:r>
        <w:rPr>
          <w:iCs/>
          <w:lang w:val="pl-PL"/>
        </w:rPr>
        <w:t xml:space="preserve">Z roku na rok zwiększa się </w:t>
      </w:r>
      <w:r>
        <w:rPr>
          <w:b/>
          <w:iCs/>
          <w:lang w:val="pl-PL"/>
        </w:rPr>
        <w:t>ilość pojazdów poruszających się po toruńskich drogach</w:t>
      </w:r>
      <w:r>
        <w:rPr>
          <w:iCs/>
          <w:lang w:val="pl-PL"/>
        </w:rPr>
        <w:t xml:space="preserve">. Z naszej infrastruktury korzystają kierowcy przyjezdni, ale przede wszystkim sami torunianie: na koniec 2020 r. mieliśmy w Toruniu zarejestrowanych </w:t>
      </w:r>
      <w:r w:rsidRPr="001E0AF9">
        <w:rPr>
          <w:iCs/>
          <w:lang w:val="pl-PL"/>
        </w:rPr>
        <w:t>157.105 pojazdów</w:t>
      </w:r>
      <w:r>
        <w:rPr>
          <w:iCs/>
          <w:lang w:val="pl-PL"/>
        </w:rPr>
        <w:t xml:space="preserve"> (115 415 osobowych, 18.059 ciężarowych oraz 6.821 motocykli).</w:t>
      </w:r>
    </w:p>
    <w:p w:rsidR="009C25FB" w:rsidRDefault="009C25FB" w:rsidP="009C25FB">
      <w:pPr>
        <w:pStyle w:val="Nagwek2"/>
        <w:numPr>
          <w:ilvl w:val="0"/>
          <w:numId w:val="0"/>
        </w:numPr>
        <w:spacing w:before="0" w:after="0" w:line="240" w:lineRule="auto"/>
        <w:ind w:left="576" w:hanging="576"/>
        <w:rPr>
          <w:rFonts w:ascii="Times New Roman" w:hAnsi="Times New Roman"/>
          <w:b w:val="0"/>
          <w:bCs w:val="0"/>
          <w:i w:val="0"/>
          <w:iCs w:val="0"/>
          <w:sz w:val="24"/>
          <w:szCs w:val="24"/>
          <w:lang w:val="pl-PL"/>
        </w:rPr>
      </w:pPr>
      <w:bookmarkStart w:id="196" w:name="__RefHeading__32048_2082197896"/>
      <w:bookmarkStart w:id="197" w:name="_Toc69477747"/>
      <w:bookmarkStart w:id="198" w:name="_Toc69372295"/>
      <w:bookmarkEnd w:id="196"/>
    </w:p>
    <w:p w:rsidR="00AE6BCB" w:rsidRPr="00032FCE" w:rsidRDefault="00AE6BCB" w:rsidP="009C25FB">
      <w:pPr>
        <w:pStyle w:val="Nagwek2"/>
        <w:numPr>
          <w:ilvl w:val="0"/>
          <w:numId w:val="0"/>
        </w:numPr>
        <w:spacing w:before="0" w:after="0" w:line="240" w:lineRule="auto"/>
        <w:ind w:left="576" w:hanging="576"/>
        <w:rPr>
          <w:rFonts w:ascii="Times New Roman" w:hAnsi="Times New Roman" w:cs="Times New Roman"/>
          <w:sz w:val="24"/>
          <w:szCs w:val="24"/>
          <w:lang w:val="pl-PL"/>
        </w:rPr>
      </w:pPr>
      <w:r w:rsidRPr="00032FCE">
        <w:rPr>
          <w:rFonts w:ascii="Times New Roman" w:hAnsi="Times New Roman" w:cs="Times New Roman"/>
          <w:color w:val="0070C0"/>
          <w:sz w:val="24"/>
          <w:lang w:val="pl-PL"/>
        </w:rPr>
        <w:t>Bezpieczeństwo pieszych i rowerzystów</w:t>
      </w:r>
      <w:bookmarkEnd w:id="197"/>
      <w:bookmarkEnd w:id="198"/>
    </w:p>
    <w:p w:rsidR="00AE6BCB" w:rsidRDefault="00AE6BCB" w:rsidP="00145DB4">
      <w:pPr>
        <w:spacing w:line="240" w:lineRule="auto"/>
        <w:ind w:firstLine="357"/>
        <w:jc w:val="both"/>
        <w:rPr>
          <w:bCs/>
          <w:lang w:val="pl-PL"/>
        </w:rPr>
      </w:pPr>
      <w:r>
        <w:rPr>
          <w:lang w:val="pl-PL"/>
        </w:rPr>
        <w:t>W ramach „</w:t>
      </w:r>
      <w:r>
        <w:rPr>
          <w:b/>
          <w:lang w:val="pl-PL"/>
        </w:rPr>
        <w:t xml:space="preserve">Programu poprawy bezpieczeństwa na przejściach dla pieszych </w:t>
      </w:r>
      <w:r w:rsidR="00145DB4">
        <w:rPr>
          <w:b/>
          <w:lang w:val="pl-PL"/>
        </w:rPr>
        <w:br/>
      </w:r>
      <w:r>
        <w:rPr>
          <w:b/>
          <w:lang w:val="pl-PL"/>
        </w:rPr>
        <w:t>i przejazdach dla rowerzystów</w:t>
      </w:r>
      <w:r>
        <w:rPr>
          <w:lang w:val="pl-PL"/>
        </w:rPr>
        <w:t>” zrealizowano:</w:t>
      </w:r>
    </w:p>
    <w:p w:rsidR="00AE6BCB" w:rsidRDefault="00032FCE" w:rsidP="00912BD8">
      <w:pPr>
        <w:numPr>
          <w:ilvl w:val="0"/>
          <w:numId w:val="7"/>
        </w:numPr>
        <w:spacing w:line="240" w:lineRule="auto"/>
        <w:ind w:left="0" w:firstLine="357"/>
        <w:jc w:val="both"/>
        <w:rPr>
          <w:bCs/>
          <w:lang w:val="pl-PL"/>
        </w:rPr>
      </w:pPr>
      <w:r>
        <w:rPr>
          <w:bCs/>
          <w:lang w:val="pl-PL"/>
        </w:rPr>
        <w:lastRenderedPageBreak/>
        <w:t>d</w:t>
      </w:r>
      <w:r w:rsidR="00AE6BCB">
        <w:rPr>
          <w:bCs/>
          <w:lang w:val="pl-PL"/>
        </w:rPr>
        <w:t>oś</w:t>
      </w:r>
      <w:r w:rsidR="00C052D2">
        <w:rPr>
          <w:bCs/>
          <w:lang w:val="pl-PL"/>
        </w:rPr>
        <w:t xml:space="preserve">wietlenie przejść dla pieszych - </w:t>
      </w:r>
      <w:r w:rsidR="00AE6BCB">
        <w:rPr>
          <w:lang w:val="pl-PL"/>
        </w:rPr>
        <w:t>91 p</w:t>
      </w:r>
      <w:r w:rsidR="00AE6BCB">
        <w:rPr>
          <w:bCs/>
          <w:lang w:val="pl-PL"/>
        </w:rPr>
        <w:t>unków świetlnych</w:t>
      </w:r>
      <w:r w:rsidR="00AE6BCB">
        <w:rPr>
          <w:lang w:val="pl-PL"/>
        </w:rPr>
        <w:t xml:space="preserve"> w lokalizacjach</w:t>
      </w:r>
      <w:r w:rsidR="004930E9">
        <w:rPr>
          <w:lang w:val="pl-PL"/>
        </w:rPr>
        <w:t xml:space="preserve"> na ulicach</w:t>
      </w:r>
      <w:r w:rsidR="00AE6BCB">
        <w:rPr>
          <w:lang w:val="pl-PL"/>
        </w:rPr>
        <w:t>: Polna, Poznańska</w:t>
      </w:r>
      <w:r w:rsidR="00C052D2">
        <w:rPr>
          <w:lang w:val="pl-PL"/>
        </w:rPr>
        <w:t xml:space="preserve">, Ugory/Watzenrodego, Buszczyńskich, Niesiołowskiego, </w:t>
      </w:r>
      <w:r w:rsidR="00AE6BCB">
        <w:rPr>
          <w:lang w:val="pl-PL"/>
        </w:rPr>
        <w:t>Dziewuls</w:t>
      </w:r>
      <w:r w:rsidR="00C052D2">
        <w:rPr>
          <w:lang w:val="pl-PL"/>
        </w:rPr>
        <w:t>kiego /Niesiołowskiego</w:t>
      </w:r>
      <w:r w:rsidR="00AE6BCB">
        <w:rPr>
          <w:lang w:val="pl-PL"/>
        </w:rPr>
        <w:t>, Dziew</w:t>
      </w:r>
      <w:r w:rsidR="00C052D2">
        <w:rPr>
          <w:lang w:val="pl-PL"/>
        </w:rPr>
        <w:t>ulskiego/Mańkowskiego</w:t>
      </w:r>
      <w:r w:rsidR="00AE6BCB">
        <w:rPr>
          <w:lang w:val="pl-PL"/>
        </w:rPr>
        <w:t>, D</w:t>
      </w:r>
      <w:r>
        <w:rPr>
          <w:lang w:val="pl-PL"/>
        </w:rPr>
        <w:t>ziewulskiego</w:t>
      </w:r>
      <w:r w:rsidR="00C052D2">
        <w:rPr>
          <w:lang w:val="pl-PL"/>
        </w:rPr>
        <w:t>/Jamontta</w:t>
      </w:r>
      <w:r w:rsidR="00AE6BCB">
        <w:rPr>
          <w:lang w:val="pl-PL"/>
        </w:rPr>
        <w:t xml:space="preserve">, </w:t>
      </w:r>
      <w:r w:rsidR="00C052D2">
        <w:rPr>
          <w:lang w:val="pl-PL"/>
        </w:rPr>
        <w:t>pl. Pokoju Toruńskiego, Łódzka/</w:t>
      </w:r>
      <w:r w:rsidR="00AE6BCB">
        <w:rPr>
          <w:lang w:val="pl-PL"/>
        </w:rPr>
        <w:t>Ha</w:t>
      </w:r>
      <w:r w:rsidR="00C052D2">
        <w:rPr>
          <w:lang w:val="pl-PL"/>
        </w:rPr>
        <w:t xml:space="preserve">llera, Łódzka, Storczykowa, Kozacka, Wielki Rów, </w:t>
      </w:r>
      <w:r w:rsidR="00AE6BCB">
        <w:rPr>
          <w:lang w:val="pl-PL"/>
        </w:rPr>
        <w:t>Legionów, Skłodowskiej-Curie</w:t>
      </w:r>
      <w:r w:rsidR="00C052D2">
        <w:rPr>
          <w:lang w:val="pl-PL"/>
        </w:rPr>
        <w:t>, Sczanieckiego/</w:t>
      </w:r>
      <w:r w:rsidR="00AE6BCB">
        <w:rPr>
          <w:lang w:val="pl-PL"/>
        </w:rPr>
        <w:t xml:space="preserve">Trasa </w:t>
      </w:r>
      <w:r w:rsidR="00C052D2">
        <w:rPr>
          <w:lang w:val="pl-PL"/>
        </w:rPr>
        <w:t>Prezydenta Raczkiewicza, Wschodnia/Żwirowa, Konstytucji 3 Maja/Ślaskiego, św. Katarzyny/Warszawska</w:t>
      </w:r>
      <w:r>
        <w:rPr>
          <w:lang w:val="pl-PL"/>
        </w:rPr>
        <w:t>,</w:t>
      </w:r>
    </w:p>
    <w:p w:rsidR="00AE6BCB" w:rsidRDefault="00032FCE" w:rsidP="00912BD8">
      <w:pPr>
        <w:numPr>
          <w:ilvl w:val="0"/>
          <w:numId w:val="7"/>
        </w:numPr>
        <w:spacing w:line="240" w:lineRule="auto"/>
        <w:ind w:left="0" w:firstLine="357"/>
        <w:jc w:val="both"/>
        <w:rPr>
          <w:lang w:val="pl-PL"/>
        </w:rPr>
      </w:pPr>
      <w:r>
        <w:rPr>
          <w:bCs/>
          <w:lang w:val="pl-PL"/>
        </w:rPr>
        <w:t>budowę</w:t>
      </w:r>
      <w:r w:rsidR="00AE6BCB">
        <w:rPr>
          <w:bCs/>
          <w:lang w:val="pl-PL"/>
        </w:rPr>
        <w:t xml:space="preserve"> sygnalizacji świetlnej na przejściu dla pies</w:t>
      </w:r>
      <w:r>
        <w:rPr>
          <w:bCs/>
          <w:lang w:val="pl-PL"/>
        </w:rPr>
        <w:t>zych na ul. Bema przy Tor-Torze,</w:t>
      </w:r>
    </w:p>
    <w:p w:rsidR="00AE6BCB" w:rsidRDefault="00032FCE" w:rsidP="00912BD8">
      <w:pPr>
        <w:numPr>
          <w:ilvl w:val="0"/>
          <w:numId w:val="7"/>
        </w:numPr>
        <w:spacing w:line="240" w:lineRule="auto"/>
        <w:ind w:left="0" w:firstLine="357"/>
        <w:jc w:val="both"/>
        <w:rPr>
          <w:lang w:val="pl-PL"/>
        </w:rPr>
      </w:pPr>
      <w:r>
        <w:rPr>
          <w:lang w:val="pl-PL"/>
        </w:rPr>
        <w:t>budowę</w:t>
      </w:r>
      <w:r w:rsidR="00AE6BCB">
        <w:rPr>
          <w:lang w:val="pl-PL"/>
        </w:rPr>
        <w:t xml:space="preserve"> przyłączy do fotoradarów. </w:t>
      </w:r>
    </w:p>
    <w:p w:rsidR="00AE6BCB" w:rsidRDefault="00032FCE" w:rsidP="00912BD8">
      <w:pPr>
        <w:numPr>
          <w:ilvl w:val="0"/>
          <w:numId w:val="7"/>
        </w:numPr>
        <w:spacing w:line="240" w:lineRule="auto"/>
        <w:ind w:left="0" w:firstLine="357"/>
        <w:jc w:val="both"/>
        <w:rPr>
          <w:lang w:val="pl-PL"/>
        </w:rPr>
      </w:pPr>
      <w:r>
        <w:rPr>
          <w:lang w:val="pl-PL"/>
        </w:rPr>
        <w:t>przebudowę</w:t>
      </w:r>
      <w:r w:rsidR="00AE6BCB">
        <w:rPr>
          <w:lang w:val="pl-PL"/>
        </w:rPr>
        <w:t xml:space="preserve"> skrzyżowania </w:t>
      </w:r>
      <w:r w:rsidR="004930E9">
        <w:rPr>
          <w:lang w:val="pl-PL"/>
        </w:rPr>
        <w:t xml:space="preserve">ul. </w:t>
      </w:r>
      <w:r>
        <w:rPr>
          <w:lang w:val="pl-PL"/>
        </w:rPr>
        <w:t>Żwirki i Wigury/</w:t>
      </w:r>
      <w:r w:rsidR="004930E9">
        <w:rPr>
          <w:lang w:val="pl-PL"/>
        </w:rPr>
        <w:t>ul.</w:t>
      </w:r>
      <w:r>
        <w:rPr>
          <w:lang w:val="pl-PL"/>
        </w:rPr>
        <w:t>Legionów,</w:t>
      </w:r>
    </w:p>
    <w:p w:rsidR="00AE6BCB" w:rsidRDefault="00032FCE" w:rsidP="00912BD8">
      <w:pPr>
        <w:numPr>
          <w:ilvl w:val="0"/>
          <w:numId w:val="7"/>
        </w:numPr>
        <w:spacing w:line="240" w:lineRule="auto"/>
        <w:ind w:left="0" w:firstLine="357"/>
        <w:jc w:val="both"/>
        <w:rPr>
          <w:iCs/>
          <w:lang w:val="pl-PL"/>
        </w:rPr>
      </w:pPr>
      <w:r>
        <w:rPr>
          <w:lang w:val="pl-PL"/>
        </w:rPr>
        <w:t>budowę</w:t>
      </w:r>
      <w:r w:rsidR="00AE6BCB">
        <w:rPr>
          <w:lang w:val="pl-PL"/>
        </w:rPr>
        <w:t xml:space="preserve"> </w:t>
      </w:r>
      <w:r w:rsidR="00224F6A">
        <w:rPr>
          <w:lang w:val="pl-PL"/>
        </w:rPr>
        <w:t xml:space="preserve">6 </w:t>
      </w:r>
      <w:r w:rsidR="00AE6BCB">
        <w:rPr>
          <w:lang w:val="pl-PL"/>
        </w:rPr>
        <w:t>wyn</w:t>
      </w:r>
      <w:r w:rsidR="004930E9">
        <w:rPr>
          <w:lang w:val="pl-PL"/>
        </w:rPr>
        <w:t>i</w:t>
      </w:r>
      <w:r w:rsidR="00224F6A">
        <w:rPr>
          <w:lang w:val="pl-PL"/>
        </w:rPr>
        <w:t xml:space="preserve">esionych przejść dla pieszych - </w:t>
      </w:r>
      <w:r w:rsidR="00AE6BCB">
        <w:rPr>
          <w:lang w:val="pl-PL"/>
        </w:rPr>
        <w:t>w lokalizacjach</w:t>
      </w:r>
      <w:r w:rsidR="004930E9">
        <w:rPr>
          <w:lang w:val="pl-PL"/>
        </w:rPr>
        <w:t xml:space="preserve"> na ulicach</w:t>
      </w:r>
      <w:r w:rsidR="00AE6BCB">
        <w:rPr>
          <w:lang w:val="pl-PL"/>
        </w:rPr>
        <w:t>: Mickiewicza</w:t>
      </w:r>
      <w:r w:rsidR="004930E9">
        <w:rPr>
          <w:lang w:val="pl-PL"/>
        </w:rPr>
        <w:t>, Wojska Polskiego, Kozacka, Storczykowa.</w:t>
      </w:r>
    </w:p>
    <w:p w:rsidR="00AE6BCB" w:rsidRPr="00032FCE" w:rsidRDefault="009C25FB" w:rsidP="00A95DEE">
      <w:pPr>
        <w:pStyle w:val="Nagwek2"/>
        <w:numPr>
          <w:ilvl w:val="0"/>
          <w:numId w:val="0"/>
        </w:numPr>
        <w:spacing w:before="0" w:after="0" w:line="240" w:lineRule="auto"/>
        <w:rPr>
          <w:rFonts w:ascii="Times New Roman" w:hAnsi="Times New Roman" w:cs="Times New Roman"/>
          <w:sz w:val="24"/>
          <w:szCs w:val="24"/>
          <w:lang w:val="pl-PL"/>
        </w:rPr>
      </w:pPr>
      <w:bookmarkStart w:id="199" w:name="__RefHeading__32050_2082197896"/>
      <w:bookmarkStart w:id="200" w:name="_Toc69477748"/>
      <w:bookmarkStart w:id="201" w:name="_Toc69372296"/>
      <w:bookmarkEnd w:id="199"/>
      <w:r>
        <w:rPr>
          <w:rFonts w:ascii="Times New Roman" w:hAnsi="Times New Roman" w:cs="Times New Roman"/>
          <w:color w:val="0070C0"/>
          <w:sz w:val="24"/>
          <w:lang w:val="pl-PL"/>
        </w:rPr>
        <w:br/>
      </w:r>
      <w:r w:rsidR="00AE6BCB" w:rsidRPr="00032FCE">
        <w:rPr>
          <w:rFonts w:ascii="Times New Roman" w:hAnsi="Times New Roman" w:cs="Times New Roman"/>
          <w:color w:val="0070C0"/>
          <w:sz w:val="24"/>
          <w:lang w:val="pl-PL"/>
        </w:rPr>
        <w:t>Gospodarka odpadami</w:t>
      </w:r>
      <w:bookmarkEnd w:id="200"/>
      <w:bookmarkEnd w:id="201"/>
    </w:p>
    <w:p w:rsidR="00AE6BCB" w:rsidRDefault="00AE6BCB" w:rsidP="009C7C02">
      <w:pPr>
        <w:spacing w:line="240" w:lineRule="auto"/>
        <w:ind w:firstLine="709"/>
        <w:jc w:val="both"/>
        <w:rPr>
          <w:lang w:val="pl-PL"/>
        </w:rPr>
      </w:pPr>
      <w:r>
        <w:rPr>
          <w:lang w:val="pl-PL"/>
        </w:rPr>
        <w:t>W 2020 r. za odbiór i zagospodarowanie odpadów oraz utrzymanie czystości jezdni, chodników i parkingów komunalnych odpowiadało Miejskie Przedsiębiorstwo Oczyszczania sp. z o.o. w Toruniu. Odpady pochodzące z terenu GMT były przez MPO zagospodarowane na terenie Zakładu Unieszkodliwiania Odpadów Komunalnych, przy ul. Kociewskiej 37/53. Odpady komunalne pochodzące z Torunia przekazywane były również do bydgoskiej spalarni, czyli Zakładu Termicznego Przekształcania Odpadów Komunalnych. W 2</w:t>
      </w:r>
      <w:r w:rsidR="004930E9">
        <w:rPr>
          <w:lang w:val="pl-PL"/>
        </w:rPr>
        <w:t>020 r. odebrano z terenu GMT 85.998,044 Mg odpadów, w tym 64.</w:t>
      </w:r>
      <w:r>
        <w:rPr>
          <w:lang w:val="pl-PL"/>
        </w:rPr>
        <w:t>546,976 Mg z nieruchomości zamieszkany</w:t>
      </w:r>
      <w:r w:rsidR="004930E9">
        <w:rPr>
          <w:lang w:val="pl-PL"/>
        </w:rPr>
        <w:t>ch, zaś 20.</w:t>
      </w:r>
      <w:r>
        <w:rPr>
          <w:lang w:val="pl-PL"/>
        </w:rPr>
        <w:t>406,308 Mg z nieruchomości ni</w:t>
      </w:r>
      <w:r w:rsidR="004930E9">
        <w:rPr>
          <w:lang w:val="pl-PL"/>
        </w:rPr>
        <w:t>ezamieszkanych. Łączna ilość 85.</w:t>
      </w:r>
      <w:r>
        <w:rPr>
          <w:lang w:val="pl-PL"/>
        </w:rPr>
        <w:t>998,044 Mg odebranych</w:t>
      </w:r>
      <w:r w:rsidR="004930E9">
        <w:rPr>
          <w:lang w:val="pl-PL"/>
        </w:rPr>
        <w:t xml:space="preserve"> z terenu GMT jest składową: 52.</w:t>
      </w:r>
      <w:r>
        <w:rPr>
          <w:lang w:val="pl-PL"/>
        </w:rPr>
        <w:t>665,650 Mg o</w:t>
      </w:r>
      <w:r w:rsidR="004930E9">
        <w:rPr>
          <w:lang w:val="pl-PL"/>
        </w:rPr>
        <w:t>dpadów niesegregowanych oraz 33.</w:t>
      </w:r>
      <w:r>
        <w:rPr>
          <w:lang w:val="pl-PL"/>
        </w:rPr>
        <w:t xml:space="preserve">332,394 Mg odpadów zebranych w sposób selektywny. </w:t>
      </w:r>
    </w:p>
    <w:p w:rsidR="00AE6BCB" w:rsidRDefault="008A7F62" w:rsidP="009C7C02">
      <w:pPr>
        <w:spacing w:line="240" w:lineRule="auto"/>
        <w:ind w:firstLine="709"/>
        <w:jc w:val="both"/>
        <w:rPr>
          <w:lang w:val="pl-PL"/>
        </w:rPr>
      </w:pPr>
      <w:r>
        <w:rPr>
          <w:lang w:val="pl-PL"/>
        </w:rPr>
        <w:t>MPO</w:t>
      </w:r>
      <w:r w:rsidR="00AE6BCB">
        <w:rPr>
          <w:lang w:val="pl-PL"/>
        </w:rPr>
        <w:t xml:space="preserve"> zakończyło </w:t>
      </w:r>
      <w:r>
        <w:rPr>
          <w:lang w:val="pl-PL"/>
        </w:rPr>
        <w:t xml:space="preserve">w 2020 r. </w:t>
      </w:r>
      <w:r w:rsidR="00AE6BCB">
        <w:rPr>
          <w:lang w:val="pl-PL"/>
        </w:rPr>
        <w:t xml:space="preserve">realizację inwestycji </w:t>
      </w:r>
      <w:r w:rsidR="00AE6BCB">
        <w:rPr>
          <w:iCs/>
          <w:lang w:val="pl-PL"/>
        </w:rPr>
        <w:t>„Rozbudowa Zakładu Unieszkodliwiania Odpadów Komunalnych w Toruniu”</w:t>
      </w:r>
      <w:r w:rsidR="00AE6BCB">
        <w:rPr>
          <w:lang w:val="pl-PL"/>
        </w:rPr>
        <w:t xml:space="preserve">. Projekt współfinansowany był </w:t>
      </w:r>
      <w:r w:rsidR="00032FCE">
        <w:rPr>
          <w:lang w:val="pl-PL"/>
        </w:rPr>
        <w:br/>
      </w:r>
      <w:r w:rsidR="00AE6BCB">
        <w:rPr>
          <w:lang w:val="pl-PL"/>
        </w:rPr>
        <w:t>z Programu Operacyjnego Infrast</w:t>
      </w:r>
      <w:r>
        <w:rPr>
          <w:lang w:val="pl-PL"/>
        </w:rPr>
        <w:t>ruktura i Środowisko 2014–2020,</w:t>
      </w:r>
      <w:r w:rsidR="00411FD5">
        <w:rPr>
          <w:lang w:val="pl-PL"/>
        </w:rPr>
        <w:t xml:space="preserve"> koszt całkowity to ponad 14.900</w:t>
      </w:r>
      <w:r>
        <w:rPr>
          <w:lang w:val="pl-PL"/>
        </w:rPr>
        <w:t xml:space="preserve"> tys.</w:t>
      </w:r>
      <w:r w:rsidR="00AE6BCB">
        <w:rPr>
          <w:lang w:val="pl-PL"/>
        </w:rPr>
        <w:t xml:space="preserve"> zł, </w:t>
      </w:r>
      <w:r>
        <w:rPr>
          <w:lang w:val="pl-PL"/>
        </w:rPr>
        <w:t>w tym kwota dofinansowania – ponad  8.240 tys.</w:t>
      </w:r>
      <w:r w:rsidR="00AE6BCB">
        <w:rPr>
          <w:lang w:val="pl-PL"/>
        </w:rPr>
        <w:t xml:space="preserve"> zł. Projekt realizowany był od września 2018 r. do czerwca 2020 r. i obejmował 14 zadań. Najważniejsze z nich to: modernizacja linii sortowniczej, budowa zespołu wag wraz z budynkiem administracyjno-socjalnym, dostawa i montaż myjni do kół i podwozi, dostawa ładowarki teleskopowej </w:t>
      </w:r>
      <w:r w:rsidR="00032FCE">
        <w:rPr>
          <w:lang w:val="pl-PL"/>
        </w:rPr>
        <w:br/>
      </w:r>
      <w:r w:rsidR="00AE6BCB">
        <w:rPr>
          <w:lang w:val="pl-PL"/>
        </w:rPr>
        <w:t>z osprzętem oraz kampania edukacyjna.</w:t>
      </w:r>
    </w:p>
    <w:p w:rsidR="006C6E7F" w:rsidRDefault="006C6E7F" w:rsidP="009C7C02">
      <w:pPr>
        <w:spacing w:line="240" w:lineRule="auto"/>
        <w:ind w:firstLine="709"/>
        <w:jc w:val="both"/>
        <w:rPr>
          <w:lang w:val="pl-PL"/>
        </w:rPr>
      </w:pPr>
      <w:r>
        <w:rPr>
          <w:lang w:val="pl-PL"/>
        </w:rPr>
        <w:t>Gmina</w:t>
      </w:r>
      <w:r w:rsidR="00AE6BCB">
        <w:rPr>
          <w:lang w:val="pl-PL"/>
        </w:rPr>
        <w:t xml:space="preserve"> zintensyfikowała działania zmierzające do wprowadzenia systemu segregacji odpadów, który od 2021 </w:t>
      </w:r>
      <w:r>
        <w:rPr>
          <w:lang w:val="pl-PL"/>
        </w:rPr>
        <w:t xml:space="preserve">r. </w:t>
      </w:r>
      <w:r w:rsidR="00AE6BCB">
        <w:rPr>
          <w:lang w:val="pl-PL"/>
        </w:rPr>
        <w:t xml:space="preserve">obowiązywać będzie wszystkich mieszkańców Torunia. </w:t>
      </w:r>
      <w:r>
        <w:rPr>
          <w:lang w:val="pl-PL"/>
        </w:rPr>
        <w:t xml:space="preserve">W 2020 r. były to działania przygotowujące </w:t>
      </w:r>
      <w:r w:rsidR="00AE6BCB">
        <w:rPr>
          <w:lang w:val="pl-PL"/>
        </w:rPr>
        <w:t xml:space="preserve">do </w:t>
      </w:r>
      <w:r>
        <w:rPr>
          <w:lang w:val="pl-PL"/>
        </w:rPr>
        <w:t xml:space="preserve">spełnienia </w:t>
      </w:r>
      <w:r w:rsidR="00AE6BCB">
        <w:rPr>
          <w:lang w:val="pl-PL"/>
        </w:rPr>
        <w:t>nowych, ogólnopolskich standardów, które wymagają sortowania odpadów na 5 frakcji</w:t>
      </w:r>
      <w:r w:rsidR="00411FD5">
        <w:rPr>
          <w:lang w:val="pl-PL"/>
        </w:rPr>
        <w:t xml:space="preserve">. </w:t>
      </w:r>
      <w:r w:rsidR="00AE6BCB">
        <w:rPr>
          <w:lang w:val="pl-PL"/>
        </w:rPr>
        <w:t>Zapewnienie warunków do prowadzenia selektywnej zbiórki odpadów komunalnych wymaga wyposażenia w pojemniki na terenie 1</w:t>
      </w:r>
      <w:r>
        <w:rPr>
          <w:lang w:val="pl-PL"/>
        </w:rPr>
        <w:t>.</w:t>
      </w:r>
      <w:r w:rsidR="00AE6BCB">
        <w:rPr>
          <w:lang w:val="pl-PL"/>
        </w:rPr>
        <w:t>500 nieruchomo</w:t>
      </w:r>
      <w:r>
        <w:rPr>
          <w:lang w:val="pl-PL"/>
        </w:rPr>
        <w:t xml:space="preserve">ści zamieszkanych. </w:t>
      </w:r>
    </w:p>
    <w:p w:rsidR="00AE6BCB" w:rsidRDefault="00AE6BCB" w:rsidP="009C7C02">
      <w:pPr>
        <w:spacing w:line="240" w:lineRule="auto"/>
        <w:ind w:firstLine="709"/>
        <w:jc w:val="both"/>
        <w:rPr>
          <w:b/>
          <w:i/>
          <w:lang w:val="pl-PL"/>
        </w:rPr>
      </w:pPr>
      <w:r>
        <w:rPr>
          <w:lang w:val="pl-PL"/>
        </w:rPr>
        <w:t xml:space="preserve">W 2020 r. na terenie Gminy można było skorzystać z usług dwóch punktów selektywnego zbierania odpadów komunalnych (PSZOK), które zlokalizowane są przy </w:t>
      </w:r>
      <w:r w:rsidR="00032FCE">
        <w:rPr>
          <w:lang w:val="pl-PL"/>
        </w:rPr>
        <w:br/>
      </w:r>
      <w:r>
        <w:rPr>
          <w:lang w:val="pl-PL"/>
        </w:rPr>
        <w:t>ul. Kociewskiej 35 oraz przy ul. Dwernickiego 15–15A. Mieszkańcy w 2020 r. łącznie dostarczyli do punktów PSZOK 5</w:t>
      </w:r>
      <w:r w:rsidR="006C6E7F">
        <w:rPr>
          <w:lang w:val="pl-PL"/>
        </w:rPr>
        <w:t>.</w:t>
      </w:r>
      <w:r>
        <w:rPr>
          <w:lang w:val="pl-PL"/>
        </w:rPr>
        <w:t xml:space="preserve">987,702 Mg odpadów. </w:t>
      </w:r>
    </w:p>
    <w:p w:rsidR="00AE6BCB" w:rsidRDefault="00AE6BCB" w:rsidP="009C7C02">
      <w:pPr>
        <w:pStyle w:val="NormalWeb"/>
        <w:spacing w:before="0" w:after="0" w:line="240" w:lineRule="auto"/>
        <w:jc w:val="both"/>
        <w:rPr>
          <w:b/>
          <w:i/>
          <w:lang w:val="pl-PL"/>
        </w:rPr>
      </w:pPr>
    </w:p>
    <w:p w:rsidR="00AE6BCB" w:rsidRPr="00D9134D" w:rsidRDefault="00AE6BCB" w:rsidP="009C7C02">
      <w:pPr>
        <w:pStyle w:val="Nagwek2"/>
        <w:spacing w:before="0" w:after="0" w:line="240" w:lineRule="auto"/>
        <w:rPr>
          <w:rFonts w:ascii="Times New Roman" w:hAnsi="Times New Roman" w:cs="Times New Roman"/>
          <w:sz w:val="24"/>
          <w:szCs w:val="24"/>
          <w:lang w:val="pl-PL"/>
        </w:rPr>
      </w:pPr>
      <w:bookmarkStart w:id="202" w:name="__RefHeading__32052_2082197896"/>
      <w:bookmarkStart w:id="203" w:name="_Toc69477749"/>
      <w:bookmarkStart w:id="204" w:name="_Toc69372297"/>
      <w:bookmarkEnd w:id="202"/>
      <w:r w:rsidRPr="00D9134D">
        <w:rPr>
          <w:rFonts w:ascii="Times New Roman" w:hAnsi="Times New Roman" w:cs="Times New Roman"/>
          <w:color w:val="0070C0"/>
          <w:sz w:val="24"/>
          <w:lang w:val="pl-PL"/>
        </w:rPr>
        <w:t>Sieć wodociągowa i kanalizacyjna</w:t>
      </w:r>
      <w:bookmarkEnd w:id="203"/>
      <w:bookmarkEnd w:id="204"/>
    </w:p>
    <w:p w:rsidR="00AE6BCB" w:rsidRDefault="00AE6BCB" w:rsidP="009C7C02">
      <w:pPr>
        <w:spacing w:line="240" w:lineRule="auto"/>
        <w:ind w:firstLine="709"/>
        <w:jc w:val="both"/>
        <w:rPr>
          <w:lang w:val="pl-PL"/>
        </w:rPr>
      </w:pPr>
      <w:r>
        <w:rPr>
          <w:lang w:val="pl-PL"/>
        </w:rPr>
        <w:t xml:space="preserve">Zadanie utrzymania i eksploatacji miejskiej sieci wodociągowej i kanalizacyjnej, zaopatrzenia mieszkańców Gminy w wodę oraz usuwania i oczyszczania ścieków komunalnych realizowane było w 2020 r. przez spółkę miejską Toruńskie Wodociągi </w:t>
      </w:r>
      <w:r w:rsidR="00A535DA">
        <w:rPr>
          <w:lang w:val="pl-PL"/>
        </w:rPr>
        <w:br/>
      </w:r>
      <w:r>
        <w:rPr>
          <w:lang w:val="pl-PL"/>
        </w:rPr>
        <w:t xml:space="preserve">Sp. z o.o. W roku sprawozdawczym Spółka kontynuowała realizację projektu, współfinansowanego ze środków Unii Europejskiej pn. „Gospodarka wodno-ściekowa na terenie aglomeracji Toruń – III etap”. Miejska infrastruktura sieci wodociągowej </w:t>
      </w:r>
      <w:r w:rsidR="00D9134D">
        <w:rPr>
          <w:lang w:val="pl-PL"/>
        </w:rPr>
        <w:br/>
      </w:r>
      <w:r>
        <w:rPr>
          <w:lang w:val="pl-PL"/>
        </w:rPr>
        <w:t xml:space="preserve">i kanalizacyjnej (wg stanu na koniec 2020 r.) obejmowała: 632,08 km wodociągu, 110,37 km </w:t>
      </w:r>
      <w:r>
        <w:rPr>
          <w:lang w:val="pl-PL"/>
        </w:rPr>
        <w:lastRenderedPageBreak/>
        <w:t>przyłączy wodociągowych, 497,40 km kanalizacji sanitarnej, 332,03 km kanalizacji deszczowej, 124,53 km kanalizacji ogólnospławnej.</w:t>
      </w:r>
    </w:p>
    <w:p w:rsidR="00AE6BCB" w:rsidRDefault="00AE6BCB" w:rsidP="009C7C02">
      <w:pPr>
        <w:pStyle w:val="NoSpacing"/>
        <w:spacing w:line="240" w:lineRule="auto"/>
        <w:jc w:val="both"/>
        <w:rPr>
          <w:rFonts w:ascii="Times New Roman" w:hAnsi="Times New Roman"/>
          <w:sz w:val="24"/>
          <w:szCs w:val="24"/>
        </w:rPr>
      </w:pPr>
    </w:p>
    <w:p w:rsidR="00AE6BCB" w:rsidRPr="00D9134D" w:rsidRDefault="00AE6BCB" w:rsidP="009C7C02">
      <w:pPr>
        <w:pStyle w:val="Nagwek2"/>
        <w:spacing w:before="0" w:after="0" w:line="240" w:lineRule="auto"/>
        <w:rPr>
          <w:rFonts w:ascii="Times New Roman" w:hAnsi="Times New Roman" w:cs="Times New Roman"/>
          <w:sz w:val="24"/>
          <w:szCs w:val="24"/>
          <w:lang w:val="pl-PL"/>
        </w:rPr>
      </w:pPr>
      <w:bookmarkStart w:id="205" w:name="__RefHeading__32054_2082197896"/>
      <w:bookmarkStart w:id="206" w:name="_Toc69477750"/>
      <w:bookmarkStart w:id="207" w:name="_Toc69372298"/>
      <w:bookmarkEnd w:id="205"/>
      <w:r w:rsidRPr="00D9134D">
        <w:rPr>
          <w:rFonts w:ascii="Times New Roman" w:hAnsi="Times New Roman" w:cs="Times New Roman"/>
          <w:color w:val="0070C0"/>
          <w:sz w:val="24"/>
          <w:lang w:val="pl-PL"/>
        </w:rPr>
        <w:t>Transport publiczny</w:t>
      </w:r>
      <w:bookmarkEnd w:id="206"/>
      <w:bookmarkEnd w:id="207"/>
    </w:p>
    <w:p w:rsidR="00AE6BCB" w:rsidRDefault="00AE6BCB" w:rsidP="009C7C02">
      <w:pPr>
        <w:spacing w:line="240" w:lineRule="auto"/>
        <w:ind w:firstLine="709"/>
        <w:jc w:val="both"/>
        <w:rPr>
          <w:lang w:val="pl-PL"/>
        </w:rPr>
      </w:pPr>
      <w:r>
        <w:rPr>
          <w:lang w:val="pl-PL"/>
        </w:rPr>
        <w:t xml:space="preserve">Organizatorem publicznego transportu zbiorowego na terenie Torunia jest Gmina Miasta Toruń, natomiast obsługa przewozowa mieszkańców realizowana jest przez Miejski Zakład Komunikacji w Toruniu sp. z o.o., której właścicielem jest miasto. </w:t>
      </w:r>
    </w:p>
    <w:p w:rsidR="00AE6BCB" w:rsidRDefault="00AE6BCB" w:rsidP="009C7C02">
      <w:pPr>
        <w:spacing w:line="240" w:lineRule="auto"/>
        <w:ind w:firstLine="709"/>
        <w:jc w:val="both"/>
        <w:rPr>
          <w:lang w:val="pl-PL"/>
        </w:rPr>
      </w:pPr>
      <w:r>
        <w:rPr>
          <w:lang w:val="pl-PL"/>
        </w:rPr>
        <w:t xml:space="preserve">Sieć połączeń publicznego transportu zbiorowego tworzą: linie tramwajowe dzienne </w:t>
      </w:r>
      <w:r w:rsidR="00D9134D">
        <w:rPr>
          <w:lang w:val="pl-PL"/>
        </w:rPr>
        <w:br/>
      </w:r>
      <w:r>
        <w:rPr>
          <w:lang w:val="pl-PL"/>
        </w:rPr>
        <w:t xml:space="preserve">i nocne oraz linie autobusowe dzienne i nocne. Komunikacją miejską organizowaną przez Gminę Miasta Toruń objęte były również połączenia do miejscowości: Rozgarty (gmina Zławieś Wielka), Gronowo, Lubicz, Krobia i Złotoria (gmina Lubicz) oraz Szembekowo, Osiek i Obrowo (gmina Obrowo). </w:t>
      </w:r>
    </w:p>
    <w:p w:rsidR="00AE6BCB" w:rsidRDefault="00AE6BCB" w:rsidP="009C7C02">
      <w:pPr>
        <w:spacing w:line="240" w:lineRule="auto"/>
        <w:ind w:firstLine="709"/>
        <w:jc w:val="both"/>
        <w:rPr>
          <w:lang w:val="pl-PL"/>
        </w:rPr>
      </w:pPr>
      <w:r>
        <w:rPr>
          <w:lang w:val="pl-PL"/>
        </w:rPr>
        <w:t>Stan taboru na koniec 2020 r. wynosił</w:t>
      </w:r>
      <w:r w:rsidR="006C6E7F">
        <w:rPr>
          <w:lang w:val="pl-PL"/>
        </w:rPr>
        <w:t>:</w:t>
      </w:r>
      <w:r>
        <w:rPr>
          <w:lang w:val="pl-PL"/>
        </w:rPr>
        <w:t xml:space="preserve"> 152 autobusy oraz 62 wagony tramwajowe. Część pojazdów wyposażona była w dodatkowe urządzenia, ułatwiające podróż pasażerom, np. biletomaty, ładowarki USB, klimatyzację. Podróżni mogli także skorzystać z sieci WiFi.</w:t>
      </w:r>
    </w:p>
    <w:p w:rsidR="00AE6BCB" w:rsidRDefault="00AE6BCB" w:rsidP="009C7C02">
      <w:pPr>
        <w:spacing w:line="240" w:lineRule="auto"/>
        <w:ind w:firstLine="709"/>
        <w:jc w:val="both"/>
        <w:rPr>
          <w:lang w:val="pl-PL"/>
        </w:rPr>
      </w:pPr>
      <w:r>
        <w:rPr>
          <w:lang w:val="pl-PL"/>
        </w:rPr>
        <w:t xml:space="preserve">W 2020 r. kontynuowano realizację uchwalonego w 2013 r., </w:t>
      </w:r>
      <w:r>
        <w:rPr>
          <w:bCs/>
          <w:lang w:val="pl-PL"/>
        </w:rPr>
        <w:t>„</w:t>
      </w:r>
      <w:r>
        <w:rPr>
          <w:b/>
          <w:bCs/>
          <w:lang w:val="pl-PL"/>
        </w:rPr>
        <w:t>Planu zrównoważonego rozwoju publicznego transportu zbiorowego dla miasta Torunia na lata 2013–2035</w:t>
      </w:r>
      <w:r>
        <w:rPr>
          <w:bCs/>
          <w:lang w:val="pl-PL"/>
        </w:rPr>
        <w:t>”.</w:t>
      </w:r>
      <w:r>
        <w:rPr>
          <w:b/>
          <w:bCs/>
          <w:lang w:val="pl-PL"/>
        </w:rPr>
        <w:t xml:space="preserve"> </w:t>
      </w:r>
      <w:r>
        <w:rPr>
          <w:lang w:val="pl-PL"/>
        </w:rPr>
        <w:t xml:space="preserve">Zgodnie z jego założeniami realizowano m.in: </w:t>
      </w:r>
    </w:p>
    <w:p w:rsidR="00AE6BCB" w:rsidRDefault="00AE6BCB" w:rsidP="00912BD8">
      <w:pPr>
        <w:numPr>
          <w:ilvl w:val="0"/>
          <w:numId w:val="22"/>
        </w:numPr>
        <w:spacing w:line="240" w:lineRule="auto"/>
        <w:jc w:val="both"/>
        <w:rPr>
          <w:lang w:val="pl-PL"/>
        </w:rPr>
      </w:pPr>
      <w:r w:rsidRPr="006C6E7F">
        <w:rPr>
          <w:lang w:val="pl-PL"/>
        </w:rPr>
        <w:t xml:space="preserve">zwiększenie liczby kursów wykonywanych pojazdami niskopodłogowymi, </w:t>
      </w:r>
    </w:p>
    <w:p w:rsidR="00AE6BCB" w:rsidRDefault="00AE6BCB" w:rsidP="00912BD8">
      <w:pPr>
        <w:numPr>
          <w:ilvl w:val="0"/>
          <w:numId w:val="22"/>
        </w:numPr>
        <w:spacing w:line="240" w:lineRule="auto"/>
        <w:jc w:val="both"/>
        <w:rPr>
          <w:lang w:val="pl-PL"/>
        </w:rPr>
      </w:pPr>
      <w:r w:rsidRPr="006C6E7F">
        <w:rPr>
          <w:lang w:val="pl-PL"/>
        </w:rPr>
        <w:t>zmian</w:t>
      </w:r>
      <w:r w:rsidR="006C6E7F">
        <w:rPr>
          <w:lang w:val="pl-PL"/>
        </w:rPr>
        <w:t>y</w:t>
      </w:r>
      <w:r w:rsidRPr="006C6E7F">
        <w:rPr>
          <w:lang w:val="pl-PL"/>
        </w:rPr>
        <w:t xml:space="preserve"> w kursowaniu linii autobusowych, wdrażając „częstotliwości modułowe” dla poszczególnych pór dnia (poza szczytem) i typów dni (dni nauki szkolnej, ferie, soboty, niedziele i święta), </w:t>
      </w:r>
    </w:p>
    <w:p w:rsidR="00AE6BCB" w:rsidRDefault="00AE6BCB" w:rsidP="00912BD8">
      <w:pPr>
        <w:numPr>
          <w:ilvl w:val="0"/>
          <w:numId w:val="22"/>
        </w:numPr>
        <w:spacing w:line="240" w:lineRule="auto"/>
        <w:jc w:val="both"/>
        <w:rPr>
          <w:lang w:val="pl-PL"/>
        </w:rPr>
      </w:pPr>
      <w:r w:rsidRPr="006C6E7F">
        <w:rPr>
          <w:lang w:val="pl-PL"/>
        </w:rPr>
        <w:t>zmian</w:t>
      </w:r>
      <w:r w:rsidR="006C6E7F">
        <w:rPr>
          <w:lang w:val="pl-PL"/>
        </w:rPr>
        <w:t>y</w:t>
      </w:r>
      <w:r w:rsidRPr="006C6E7F">
        <w:rPr>
          <w:lang w:val="pl-PL"/>
        </w:rPr>
        <w:t xml:space="preserve"> w trasach przejazdu linii autobusowych na terenie miasta zwiększające dostępność komunikacyjną dla mieszkańców miasta oraz w kursowaniu linii podmiejskich z gmin, </w:t>
      </w:r>
      <w:r w:rsidR="00D9134D">
        <w:rPr>
          <w:lang w:val="pl-PL"/>
        </w:rPr>
        <w:br/>
      </w:r>
      <w:r w:rsidRPr="006C6E7F">
        <w:rPr>
          <w:lang w:val="pl-PL"/>
        </w:rPr>
        <w:t>z którymi podpisane zostały porozumienia,</w:t>
      </w:r>
    </w:p>
    <w:p w:rsidR="00AE6BCB" w:rsidRPr="006C6E7F" w:rsidRDefault="00AE6BCB" w:rsidP="00912BD8">
      <w:pPr>
        <w:numPr>
          <w:ilvl w:val="0"/>
          <w:numId w:val="22"/>
        </w:numPr>
        <w:spacing w:line="240" w:lineRule="auto"/>
        <w:jc w:val="both"/>
        <w:rPr>
          <w:lang w:val="pl-PL"/>
        </w:rPr>
      </w:pPr>
      <w:r w:rsidRPr="006C6E7F">
        <w:rPr>
          <w:lang w:val="pl-PL"/>
        </w:rPr>
        <w:t xml:space="preserve">inwestycje infrastrukturalne: </w:t>
      </w:r>
    </w:p>
    <w:p w:rsidR="00AE6BCB" w:rsidRDefault="00AE6BCB" w:rsidP="00912BD8">
      <w:pPr>
        <w:pStyle w:val="ListParagraph"/>
        <w:numPr>
          <w:ilvl w:val="0"/>
          <w:numId w:val="15"/>
        </w:numPr>
        <w:spacing w:line="240" w:lineRule="auto"/>
        <w:ind w:left="0" w:firstLine="357"/>
        <w:jc w:val="both"/>
        <w:rPr>
          <w:lang w:val="pl-PL"/>
        </w:rPr>
      </w:pPr>
      <w:r>
        <w:rPr>
          <w:lang w:val="pl-PL"/>
        </w:rPr>
        <w:t>w ramach projektu „</w:t>
      </w:r>
      <w:r>
        <w:rPr>
          <w:b/>
          <w:lang w:val="pl-PL"/>
        </w:rPr>
        <w:t xml:space="preserve">Przebudowa układu torowo-drogowego w ul. Wały gen. Sikorskiego i al. św. Jana Pawła II wraz z budową pasa tramwajowo-autobusowego </w:t>
      </w:r>
      <w:r w:rsidR="00D9134D">
        <w:rPr>
          <w:b/>
          <w:lang w:val="pl-PL"/>
        </w:rPr>
        <w:br/>
      </w:r>
      <w:r>
        <w:rPr>
          <w:b/>
          <w:lang w:val="pl-PL"/>
        </w:rPr>
        <w:t>w Toruniu BiT–City II</w:t>
      </w:r>
      <w:r>
        <w:rPr>
          <w:lang w:val="pl-PL"/>
        </w:rPr>
        <w:t>” realizowano budową pasa tramwajowo-autobusowego w ul. Wały gen. Sikorskiego, przebudowę al. św. Jana Pawła II wraz z budową nowego odcinka linii tramwajowej oraz węzła tramwajowo-autobusowego przy pl. Rapackiego (zakończenie zadania 2021 r.),</w:t>
      </w:r>
    </w:p>
    <w:p w:rsidR="00AE6BCB" w:rsidRDefault="00AE6BCB" w:rsidP="00912BD8">
      <w:pPr>
        <w:pStyle w:val="ListParagraph"/>
        <w:numPr>
          <w:ilvl w:val="0"/>
          <w:numId w:val="15"/>
        </w:numPr>
        <w:spacing w:line="240" w:lineRule="auto"/>
        <w:ind w:left="0" w:firstLine="357"/>
        <w:jc w:val="both"/>
        <w:rPr>
          <w:lang w:val="pl-PL"/>
        </w:rPr>
      </w:pPr>
      <w:r>
        <w:rPr>
          <w:lang w:val="pl-PL"/>
        </w:rPr>
        <w:t>w ramach projektu „</w:t>
      </w:r>
      <w:r>
        <w:rPr>
          <w:b/>
          <w:lang w:val="pl-PL"/>
        </w:rPr>
        <w:t>Poprawa funkcjonowania komunikacji miejskiej w Toruniu BiT–City II</w:t>
      </w:r>
      <w:r>
        <w:rPr>
          <w:lang w:val="pl-PL"/>
        </w:rPr>
        <w:t>” rozpoczęto modernizację torowiska tramwajowego w ul. Kraszewskiego oraz wzdłuż ul. Szosa Lubicka,</w:t>
      </w:r>
    </w:p>
    <w:p w:rsidR="00AE6BCB" w:rsidRDefault="00AE6BCB" w:rsidP="00912BD8">
      <w:pPr>
        <w:pStyle w:val="ListParagraph"/>
        <w:numPr>
          <w:ilvl w:val="0"/>
          <w:numId w:val="15"/>
        </w:numPr>
        <w:spacing w:line="240" w:lineRule="auto"/>
        <w:ind w:left="0" w:firstLine="357"/>
        <w:jc w:val="both"/>
        <w:rPr>
          <w:lang w:val="pl-PL"/>
        </w:rPr>
      </w:pPr>
      <w:r>
        <w:rPr>
          <w:lang w:val="pl-PL"/>
        </w:rPr>
        <w:t>w ramach projektu „</w:t>
      </w:r>
      <w:r>
        <w:rPr>
          <w:b/>
          <w:lang w:val="pl-PL"/>
        </w:rPr>
        <w:t>Poprawa funkcjonowania komunikacji miejskiej w Toruniu BiT–City II</w:t>
      </w:r>
      <w:r>
        <w:rPr>
          <w:lang w:val="pl-PL"/>
        </w:rPr>
        <w:t>” ogłoszono postępowanie przetargowe na wybór wykonawcy dla zadania „Budowa linii tramwajowej do os. Jar (zakończenie zadania w 2023 r.),</w:t>
      </w:r>
    </w:p>
    <w:p w:rsidR="00AE6BCB" w:rsidRDefault="00AE6BCB" w:rsidP="00912BD8">
      <w:pPr>
        <w:pStyle w:val="ListParagraph"/>
        <w:numPr>
          <w:ilvl w:val="0"/>
          <w:numId w:val="15"/>
        </w:numPr>
        <w:spacing w:line="240" w:lineRule="auto"/>
        <w:ind w:left="0" w:firstLine="357"/>
        <w:jc w:val="both"/>
        <w:rPr>
          <w:lang w:val="pl-PL"/>
        </w:rPr>
      </w:pPr>
      <w:r>
        <w:rPr>
          <w:lang w:val="pl-PL"/>
        </w:rPr>
        <w:t>kontynuowano realizację projektu „</w:t>
      </w:r>
      <w:r>
        <w:rPr>
          <w:b/>
          <w:lang w:val="pl-PL"/>
        </w:rPr>
        <w:t>Poprawa infrastruktury przystanków autobusowych w Toruniu poprzez budowę systemu informacji pasażerskiej w czasie rzeczywistym oraz modernizację przystanków</w:t>
      </w:r>
      <w:r>
        <w:rPr>
          <w:lang w:val="pl-PL"/>
        </w:rPr>
        <w:t>”, w ramach którego wybudowane zostaną tablice informacji pasażerskiej na przystankach au</w:t>
      </w:r>
      <w:r w:rsidR="00D9134D">
        <w:rPr>
          <w:lang w:val="pl-PL"/>
        </w:rPr>
        <w:t>tobusowych (zakończenie</w:t>
      </w:r>
      <w:r>
        <w:rPr>
          <w:lang w:val="pl-PL"/>
        </w:rPr>
        <w:t xml:space="preserve"> w 2021 r.). </w:t>
      </w:r>
    </w:p>
    <w:p w:rsidR="006C6E7F" w:rsidRDefault="00AE6BCB" w:rsidP="009C7C02">
      <w:pPr>
        <w:spacing w:line="240" w:lineRule="auto"/>
        <w:ind w:firstLine="709"/>
        <w:jc w:val="both"/>
        <w:rPr>
          <w:lang w:val="pl-PL"/>
        </w:rPr>
      </w:pPr>
      <w:r>
        <w:rPr>
          <w:lang w:val="pl-PL"/>
        </w:rPr>
        <w:t xml:space="preserve">Pandemia wirusa SARS-CoV-2 spowodowała wiele zmian w funkcjonowaniu komunikacji miejskiej. Wraz z ogłoszeniem </w:t>
      </w:r>
      <w:r w:rsidR="006C6E7F">
        <w:rPr>
          <w:lang w:val="pl-PL"/>
        </w:rPr>
        <w:t>w marcu 2020 r.</w:t>
      </w:r>
      <w:r>
        <w:rPr>
          <w:lang w:val="pl-PL"/>
        </w:rPr>
        <w:t xml:space="preserve"> stanu epidemii i związanych </w:t>
      </w:r>
      <w:r w:rsidR="00D9134D">
        <w:rPr>
          <w:lang w:val="pl-PL"/>
        </w:rPr>
        <w:br/>
      </w:r>
      <w:r>
        <w:rPr>
          <w:lang w:val="pl-PL"/>
        </w:rPr>
        <w:t>z n</w:t>
      </w:r>
      <w:r w:rsidR="006C6E7F">
        <w:rPr>
          <w:lang w:val="pl-PL"/>
        </w:rPr>
        <w:t>im ograniczeń (</w:t>
      </w:r>
      <w:r>
        <w:rPr>
          <w:lang w:val="pl-PL"/>
        </w:rPr>
        <w:t>w tym dotyczących: działalności firm, mobilności osób, zamknięcia szkół, przedszkoli, żłobków oraz dopuszczalnej liczby pa</w:t>
      </w:r>
      <w:r w:rsidR="006C6E7F">
        <w:rPr>
          <w:lang w:val="pl-PL"/>
        </w:rPr>
        <w:t>sażerów w komunikacji miejskiej)</w:t>
      </w:r>
      <w:r>
        <w:rPr>
          <w:lang w:val="pl-PL"/>
        </w:rPr>
        <w:t xml:space="preserve"> wprowadzonych zostało szereg działań dostosowuj</w:t>
      </w:r>
      <w:r w:rsidR="00D9134D">
        <w:rPr>
          <w:lang w:val="pl-PL"/>
        </w:rPr>
        <w:t xml:space="preserve">ących funkcjonowanie transportu </w:t>
      </w:r>
      <w:r>
        <w:rPr>
          <w:lang w:val="pl-PL"/>
        </w:rPr>
        <w:t>zbiorow</w:t>
      </w:r>
      <w:r w:rsidR="006C6E7F">
        <w:rPr>
          <w:lang w:val="pl-PL"/>
        </w:rPr>
        <w:t>ego do aktualnej sytuacji:</w:t>
      </w:r>
    </w:p>
    <w:p w:rsidR="006C6E7F" w:rsidRDefault="006C6E7F" w:rsidP="00912BD8">
      <w:pPr>
        <w:numPr>
          <w:ilvl w:val="0"/>
          <w:numId w:val="23"/>
        </w:numPr>
        <w:spacing w:line="240" w:lineRule="auto"/>
        <w:jc w:val="both"/>
        <w:rPr>
          <w:lang w:val="pl-PL"/>
        </w:rPr>
      </w:pPr>
      <w:r>
        <w:rPr>
          <w:lang w:val="pl-PL"/>
        </w:rPr>
        <w:t>o</w:t>
      </w:r>
      <w:r w:rsidR="00AE6BCB">
        <w:rPr>
          <w:lang w:val="pl-PL"/>
        </w:rPr>
        <w:t xml:space="preserve">graniczono kursowanie środków transportu miejskiego w godzinach </w:t>
      </w:r>
      <w:r w:rsidR="00AE6BCB">
        <w:rPr>
          <w:lang w:val="pl-PL"/>
        </w:rPr>
        <w:lastRenderedPageBreak/>
        <w:t>m</w:t>
      </w:r>
      <w:r>
        <w:rPr>
          <w:lang w:val="pl-PL"/>
        </w:rPr>
        <w:t>iędzyszczytowych i wieczornych,</w:t>
      </w:r>
    </w:p>
    <w:p w:rsidR="006C6E7F" w:rsidRDefault="006C6E7F" w:rsidP="00912BD8">
      <w:pPr>
        <w:numPr>
          <w:ilvl w:val="0"/>
          <w:numId w:val="23"/>
        </w:numPr>
        <w:spacing w:line="240" w:lineRule="auto"/>
        <w:jc w:val="both"/>
        <w:rPr>
          <w:lang w:val="pl-PL"/>
        </w:rPr>
      </w:pPr>
      <w:r>
        <w:rPr>
          <w:lang w:val="pl-PL"/>
        </w:rPr>
        <w:t>w</w:t>
      </w:r>
      <w:r w:rsidR="00AE6BCB">
        <w:rPr>
          <w:lang w:val="pl-PL"/>
        </w:rPr>
        <w:t>prowadzono rozkłady fery</w:t>
      </w:r>
      <w:r>
        <w:rPr>
          <w:lang w:val="pl-PL"/>
        </w:rPr>
        <w:t>jne i zawieszono kursy szkolne,</w:t>
      </w:r>
    </w:p>
    <w:p w:rsidR="00AE6BCB" w:rsidRDefault="00411FD5" w:rsidP="00912BD8">
      <w:pPr>
        <w:numPr>
          <w:ilvl w:val="0"/>
          <w:numId w:val="23"/>
        </w:numPr>
        <w:spacing w:line="240" w:lineRule="auto"/>
        <w:jc w:val="both"/>
        <w:rPr>
          <w:lang w:val="pl-PL"/>
        </w:rPr>
      </w:pPr>
      <w:r>
        <w:rPr>
          <w:lang w:val="pl-PL"/>
        </w:rPr>
        <w:t xml:space="preserve">wprowadzono dodatkowe, </w:t>
      </w:r>
      <w:r w:rsidR="00AE6BCB">
        <w:rPr>
          <w:lang w:val="pl-PL"/>
        </w:rPr>
        <w:t>dublujące kursy autobusów na trasach dowożących praco</w:t>
      </w:r>
      <w:r>
        <w:rPr>
          <w:lang w:val="pl-PL"/>
        </w:rPr>
        <w:t>wników firm do pracy i z pracy,</w:t>
      </w:r>
    </w:p>
    <w:p w:rsidR="006C6E7F" w:rsidRDefault="006C6E7F" w:rsidP="00912BD8">
      <w:pPr>
        <w:numPr>
          <w:ilvl w:val="0"/>
          <w:numId w:val="23"/>
        </w:numPr>
        <w:spacing w:line="240" w:lineRule="auto"/>
        <w:jc w:val="both"/>
        <w:rPr>
          <w:lang w:val="pl-PL"/>
        </w:rPr>
      </w:pPr>
      <w:r>
        <w:rPr>
          <w:lang w:val="pl-PL"/>
        </w:rPr>
        <w:t xml:space="preserve">dostosowano pojazdy i przystanki </w:t>
      </w:r>
      <w:r w:rsidR="00432686">
        <w:rPr>
          <w:lang w:val="pl-PL"/>
        </w:rPr>
        <w:t xml:space="preserve">oraz organizację przewozów </w:t>
      </w:r>
      <w:r>
        <w:rPr>
          <w:lang w:val="pl-PL"/>
        </w:rPr>
        <w:t xml:space="preserve">do zasad reżimu sanitarnego (w tym: </w:t>
      </w:r>
      <w:r w:rsidR="00432686">
        <w:rPr>
          <w:lang w:val="pl-PL"/>
        </w:rPr>
        <w:t xml:space="preserve">limity pasażerów i ich kontrolę, </w:t>
      </w:r>
      <w:r>
        <w:rPr>
          <w:lang w:val="pl-PL"/>
        </w:rPr>
        <w:t>czasowe zamknięcie biletomatów, odkażanie pojazd</w:t>
      </w:r>
      <w:r w:rsidR="00432686">
        <w:rPr>
          <w:lang w:val="pl-PL"/>
        </w:rPr>
        <w:t>ów i przystanków).</w:t>
      </w:r>
    </w:p>
    <w:p w:rsidR="00AE6BCB" w:rsidRDefault="00432686" w:rsidP="00D9134D">
      <w:pPr>
        <w:spacing w:line="240" w:lineRule="auto"/>
        <w:jc w:val="both"/>
        <w:rPr>
          <w:lang w:val="pl-PL"/>
        </w:rPr>
      </w:pPr>
      <w:r>
        <w:rPr>
          <w:lang w:val="pl-PL"/>
        </w:rPr>
        <w:t xml:space="preserve">W 2020 </w:t>
      </w:r>
      <w:r w:rsidR="00411FD5">
        <w:rPr>
          <w:lang w:val="pl-PL"/>
        </w:rPr>
        <w:t>r. nastąpił znaczny spadek liczb</w:t>
      </w:r>
      <w:r>
        <w:rPr>
          <w:lang w:val="pl-PL"/>
        </w:rPr>
        <w:t xml:space="preserve">y przewożonych pasażerów, która wyniosła 36 mln (w latach poprzednich – ok. 54 mln). Skutkowało to spadkiem z wpływów z biletów - </w:t>
      </w:r>
      <w:r w:rsidR="00D9134D">
        <w:rPr>
          <w:lang w:val="pl-PL"/>
        </w:rPr>
        <w:br/>
      </w:r>
      <w:r w:rsidR="00AE6BCB">
        <w:rPr>
          <w:lang w:val="pl-PL"/>
        </w:rPr>
        <w:t>z p</w:t>
      </w:r>
      <w:r>
        <w:rPr>
          <w:lang w:val="pl-PL"/>
        </w:rPr>
        <w:t xml:space="preserve">lanowanych 36 mln zł do </w:t>
      </w:r>
      <w:r w:rsidR="00AE6BCB">
        <w:rPr>
          <w:lang w:val="pl-PL"/>
        </w:rPr>
        <w:t xml:space="preserve">25,17 mln zł. </w:t>
      </w:r>
    </w:p>
    <w:p w:rsidR="00AE6BCB" w:rsidRDefault="00AE6BCB" w:rsidP="009C7C02">
      <w:pPr>
        <w:pStyle w:val="NoSpacing"/>
        <w:spacing w:line="240" w:lineRule="auto"/>
        <w:jc w:val="both"/>
        <w:rPr>
          <w:rFonts w:ascii="Times New Roman" w:hAnsi="Times New Roman"/>
          <w:sz w:val="24"/>
          <w:szCs w:val="24"/>
        </w:rPr>
      </w:pPr>
    </w:p>
    <w:p w:rsidR="00AE6BCB" w:rsidRPr="00A535DA" w:rsidRDefault="00AE6BCB" w:rsidP="009C7C02">
      <w:pPr>
        <w:pStyle w:val="Nagwek2"/>
        <w:spacing w:before="0" w:after="0" w:line="240" w:lineRule="auto"/>
        <w:rPr>
          <w:rFonts w:ascii="Times New Roman" w:hAnsi="Times New Roman" w:cs="Times New Roman"/>
          <w:color w:val="0070C0"/>
          <w:sz w:val="24"/>
          <w:lang w:val="pl-PL"/>
        </w:rPr>
      </w:pPr>
      <w:bookmarkStart w:id="208" w:name="__RefHeading__32056_2082197896"/>
      <w:bookmarkStart w:id="209" w:name="_Toc69477751"/>
      <w:bookmarkStart w:id="210" w:name="_Toc69372299"/>
      <w:bookmarkEnd w:id="208"/>
      <w:r w:rsidRPr="00A535DA">
        <w:rPr>
          <w:rFonts w:ascii="Times New Roman" w:hAnsi="Times New Roman" w:cs="Times New Roman"/>
          <w:color w:val="0070C0"/>
          <w:sz w:val="24"/>
          <w:lang w:val="pl-PL"/>
        </w:rPr>
        <w:t>Informatyzacja</w:t>
      </w:r>
      <w:bookmarkEnd w:id="209"/>
      <w:bookmarkEnd w:id="210"/>
    </w:p>
    <w:p w:rsidR="00432686" w:rsidRPr="001C2F10" w:rsidRDefault="00432686" w:rsidP="00432686">
      <w:pPr>
        <w:pStyle w:val="Tekstpodstawowy"/>
        <w:spacing w:after="0"/>
        <w:rPr>
          <w:rFonts w:ascii="Times New Roman" w:hAnsi="Times New Roman" w:cs="Times New Roman"/>
          <w:sz w:val="24"/>
          <w:szCs w:val="24"/>
        </w:rPr>
      </w:pPr>
      <w:r w:rsidRPr="001C2F10">
        <w:rPr>
          <w:rFonts w:ascii="Times New Roman" w:hAnsi="Times New Roman" w:cs="Times New Roman"/>
          <w:sz w:val="24"/>
          <w:szCs w:val="24"/>
        </w:rPr>
        <w:t>W 2020 r.</w:t>
      </w:r>
      <w:r w:rsidR="00A535DA">
        <w:rPr>
          <w:rFonts w:ascii="Times New Roman" w:hAnsi="Times New Roman" w:cs="Times New Roman"/>
          <w:sz w:val="24"/>
          <w:szCs w:val="24"/>
        </w:rPr>
        <w:t xml:space="preserve"> m.in.</w:t>
      </w:r>
      <w:r w:rsidRPr="001C2F10">
        <w:rPr>
          <w:rFonts w:ascii="Times New Roman" w:hAnsi="Times New Roman" w:cs="Times New Roman"/>
          <w:sz w:val="24"/>
          <w:szCs w:val="24"/>
        </w:rPr>
        <w:t>:</w:t>
      </w:r>
    </w:p>
    <w:p w:rsidR="00AE6BCB" w:rsidRDefault="001C2F10" w:rsidP="00912BD8">
      <w:pPr>
        <w:pStyle w:val="Tekstpodstawowy"/>
        <w:numPr>
          <w:ilvl w:val="0"/>
          <w:numId w:val="24"/>
        </w:numPr>
        <w:spacing w:after="0" w:line="240" w:lineRule="auto"/>
        <w:jc w:val="both"/>
        <w:rPr>
          <w:rFonts w:ascii="Times New Roman" w:hAnsi="Times New Roman" w:cs="Times New Roman"/>
          <w:sz w:val="24"/>
          <w:szCs w:val="24"/>
        </w:rPr>
      </w:pPr>
      <w:r w:rsidRPr="001C2F10">
        <w:rPr>
          <w:rFonts w:ascii="Times New Roman" w:hAnsi="Times New Roman" w:cs="Times New Roman"/>
          <w:sz w:val="24"/>
          <w:szCs w:val="24"/>
        </w:rPr>
        <w:t>r</w:t>
      </w:r>
      <w:r w:rsidR="00AE6BCB" w:rsidRPr="001C2F10">
        <w:rPr>
          <w:rFonts w:ascii="Times New Roman" w:hAnsi="Times New Roman" w:cs="Times New Roman"/>
          <w:sz w:val="24"/>
          <w:szCs w:val="24"/>
        </w:rPr>
        <w:t xml:space="preserve">ozpoczęto </w:t>
      </w:r>
      <w:r w:rsidR="002B6F9F">
        <w:rPr>
          <w:rFonts w:ascii="Times New Roman" w:hAnsi="Times New Roman" w:cs="Times New Roman"/>
          <w:sz w:val="24"/>
          <w:szCs w:val="24"/>
        </w:rPr>
        <w:t>realizację</w:t>
      </w:r>
      <w:r w:rsidR="00AE6BCB" w:rsidRPr="001C2F10">
        <w:rPr>
          <w:rFonts w:ascii="Times New Roman" w:hAnsi="Times New Roman" w:cs="Times New Roman"/>
          <w:sz w:val="24"/>
          <w:szCs w:val="24"/>
        </w:rPr>
        <w:t xml:space="preserve"> zadania pn. „</w:t>
      </w:r>
      <w:r w:rsidR="00AE6BCB" w:rsidRPr="001C2F10">
        <w:rPr>
          <w:rFonts w:ascii="Times New Roman" w:hAnsi="Times New Roman" w:cs="Times New Roman"/>
          <w:b/>
          <w:sz w:val="24"/>
          <w:szCs w:val="24"/>
        </w:rPr>
        <w:t>Budowa przyłączy światłowodowych do szkół GMT</w:t>
      </w:r>
      <w:r w:rsidR="002B6F9F">
        <w:rPr>
          <w:rFonts w:ascii="Times New Roman" w:hAnsi="Times New Roman" w:cs="Times New Roman"/>
          <w:sz w:val="24"/>
          <w:szCs w:val="24"/>
        </w:rPr>
        <w:t xml:space="preserve">”, która </w:t>
      </w:r>
      <w:r w:rsidR="00432686" w:rsidRPr="001C2F10">
        <w:rPr>
          <w:rFonts w:ascii="Times New Roman" w:hAnsi="Times New Roman" w:cs="Times New Roman"/>
          <w:sz w:val="24"/>
          <w:szCs w:val="24"/>
        </w:rPr>
        <w:t xml:space="preserve">obejmowała budowę odcinków kanalizacji kablowej umożliwiającej podłączenie do istniejącej sieci światłowodowej 27 </w:t>
      </w:r>
      <w:r w:rsidR="002B6F9F">
        <w:rPr>
          <w:rFonts w:ascii="Times New Roman" w:hAnsi="Times New Roman" w:cs="Times New Roman"/>
          <w:sz w:val="24"/>
          <w:szCs w:val="24"/>
        </w:rPr>
        <w:t xml:space="preserve">lokalizacji </w:t>
      </w:r>
      <w:r w:rsidR="00AE6BCB" w:rsidRPr="001C2F10">
        <w:rPr>
          <w:rFonts w:ascii="Times New Roman" w:hAnsi="Times New Roman" w:cs="Times New Roman"/>
          <w:sz w:val="24"/>
          <w:szCs w:val="24"/>
        </w:rPr>
        <w:t xml:space="preserve">jednostek publicznych </w:t>
      </w:r>
      <w:r w:rsidR="002B6F9F">
        <w:rPr>
          <w:rFonts w:ascii="Times New Roman" w:hAnsi="Times New Roman" w:cs="Times New Roman"/>
          <w:sz w:val="24"/>
          <w:szCs w:val="24"/>
        </w:rPr>
        <w:br/>
      </w:r>
      <w:r>
        <w:rPr>
          <w:rFonts w:ascii="Times New Roman" w:hAnsi="Times New Roman" w:cs="Times New Roman"/>
          <w:sz w:val="24"/>
          <w:szCs w:val="24"/>
        </w:rPr>
        <w:t>na obszarze Torunia,</w:t>
      </w:r>
    </w:p>
    <w:p w:rsidR="00A535DA" w:rsidRDefault="001C2F10" w:rsidP="00912BD8">
      <w:pPr>
        <w:pStyle w:val="Tekstpodstawowy"/>
        <w:numPr>
          <w:ilvl w:val="0"/>
          <w:numId w:val="24"/>
        </w:numPr>
        <w:spacing w:after="0" w:line="240" w:lineRule="auto"/>
        <w:jc w:val="both"/>
        <w:rPr>
          <w:rFonts w:ascii="Times New Roman" w:hAnsi="Times New Roman" w:cs="Times New Roman"/>
          <w:sz w:val="24"/>
          <w:szCs w:val="24"/>
        </w:rPr>
      </w:pPr>
      <w:r w:rsidRPr="00A535DA">
        <w:rPr>
          <w:rFonts w:ascii="Times New Roman" w:hAnsi="Times New Roman" w:cs="Times New Roman"/>
          <w:sz w:val="24"/>
          <w:szCs w:val="24"/>
        </w:rPr>
        <w:t>w</w:t>
      </w:r>
      <w:r w:rsidR="00AE6BCB" w:rsidRPr="00A535DA">
        <w:rPr>
          <w:rFonts w:ascii="Times New Roman" w:hAnsi="Times New Roman" w:cs="Times New Roman"/>
          <w:sz w:val="24"/>
          <w:szCs w:val="24"/>
        </w:rPr>
        <w:t xml:space="preserve"> ramach inicjatywy </w:t>
      </w:r>
      <w:r w:rsidR="00AE6BCB" w:rsidRPr="00A535DA">
        <w:rPr>
          <w:rFonts w:ascii="Times New Roman" w:hAnsi="Times New Roman" w:cs="Times New Roman"/>
          <w:b/>
          <w:sz w:val="24"/>
          <w:szCs w:val="24"/>
        </w:rPr>
        <w:t>WiFi4EU</w:t>
      </w:r>
      <w:r w:rsidR="002B6F9F">
        <w:rPr>
          <w:rFonts w:ascii="Times New Roman" w:hAnsi="Times New Roman" w:cs="Times New Roman"/>
          <w:sz w:val="24"/>
          <w:szCs w:val="24"/>
        </w:rPr>
        <w:t xml:space="preserve"> (</w:t>
      </w:r>
      <w:r w:rsidR="00AE6BCB" w:rsidRPr="00A535DA">
        <w:rPr>
          <w:rFonts w:ascii="Times New Roman" w:hAnsi="Times New Roman" w:cs="Times New Roman"/>
          <w:sz w:val="24"/>
          <w:szCs w:val="24"/>
        </w:rPr>
        <w:t>zapewnienie obywatelom i turystom dostępu do wysokiej jakości internetu w całej UE</w:t>
      </w:r>
      <w:r w:rsidR="002B6F9F">
        <w:rPr>
          <w:rFonts w:ascii="Times New Roman" w:hAnsi="Times New Roman" w:cs="Times New Roman"/>
          <w:sz w:val="24"/>
          <w:szCs w:val="24"/>
        </w:rPr>
        <w:t>,</w:t>
      </w:r>
      <w:r w:rsidR="00AE6BCB" w:rsidRPr="00A535DA">
        <w:rPr>
          <w:rFonts w:ascii="Times New Roman" w:hAnsi="Times New Roman" w:cs="Times New Roman"/>
          <w:sz w:val="24"/>
          <w:szCs w:val="24"/>
        </w:rPr>
        <w:t xml:space="preserve"> </w:t>
      </w:r>
      <w:r w:rsidR="002B6F9F">
        <w:rPr>
          <w:rFonts w:ascii="Times New Roman" w:hAnsi="Times New Roman" w:cs="Times New Roman"/>
          <w:sz w:val="24"/>
          <w:szCs w:val="24"/>
        </w:rPr>
        <w:t>po</w:t>
      </w:r>
      <w:r w:rsidR="00AE6BCB" w:rsidRPr="00A535DA">
        <w:rPr>
          <w:rFonts w:ascii="Times New Roman" w:hAnsi="Times New Roman" w:cs="Times New Roman"/>
          <w:sz w:val="24"/>
          <w:szCs w:val="24"/>
        </w:rPr>
        <w:t>przez bezpłatne WiFi w miejscach publicznych, takich jak parki, place, urzęd</w:t>
      </w:r>
      <w:r w:rsidR="002B6F9F">
        <w:rPr>
          <w:rFonts w:ascii="Times New Roman" w:hAnsi="Times New Roman" w:cs="Times New Roman"/>
          <w:sz w:val="24"/>
          <w:szCs w:val="24"/>
        </w:rPr>
        <w:t>y, biblioteki i ośrodki zdrowia)</w:t>
      </w:r>
      <w:r w:rsidR="00AE6BCB" w:rsidRPr="00A535DA">
        <w:rPr>
          <w:rFonts w:ascii="Times New Roman" w:hAnsi="Times New Roman" w:cs="Times New Roman"/>
          <w:sz w:val="24"/>
          <w:szCs w:val="24"/>
        </w:rPr>
        <w:t xml:space="preserve"> zrealizowano instalację sieci WiFi w obiekcie hali sportowo-widowiskowej Arena </w:t>
      </w:r>
      <w:r w:rsidRPr="00A535DA">
        <w:rPr>
          <w:rFonts w:ascii="Times New Roman" w:hAnsi="Times New Roman" w:cs="Times New Roman"/>
          <w:sz w:val="24"/>
          <w:szCs w:val="24"/>
        </w:rPr>
        <w:t>Toruń</w:t>
      </w:r>
      <w:r w:rsidR="00A535DA">
        <w:rPr>
          <w:rFonts w:ascii="Times New Roman" w:hAnsi="Times New Roman" w:cs="Times New Roman"/>
          <w:sz w:val="24"/>
          <w:szCs w:val="24"/>
        </w:rPr>
        <w:t>,</w:t>
      </w:r>
    </w:p>
    <w:p w:rsidR="00AE6BCB" w:rsidRPr="00A535DA" w:rsidRDefault="001C2F10" w:rsidP="00912BD8">
      <w:pPr>
        <w:pStyle w:val="Tekstpodstawowy"/>
        <w:numPr>
          <w:ilvl w:val="0"/>
          <w:numId w:val="24"/>
        </w:numPr>
        <w:spacing w:after="0" w:line="240" w:lineRule="auto"/>
        <w:jc w:val="both"/>
        <w:rPr>
          <w:rFonts w:ascii="Times New Roman" w:hAnsi="Times New Roman" w:cs="Times New Roman"/>
          <w:sz w:val="24"/>
          <w:szCs w:val="24"/>
        </w:rPr>
      </w:pPr>
      <w:r w:rsidRPr="00A535DA">
        <w:rPr>
          <w:rFonts w:ascii="Times New Roman" w:hAnsi="Times New Roman" w:cs="Times New Roman"/>
          <w:sz w:val="24"/>
          <w:szCs w:val="24"/>
        </w:rPr>
        <w:t>r</w:t>
      </w:r>
      <w:r w:rsidR="00AE6BCB" w:rsidRPr="00A535DA">
        <w:rPr>
          <w:rFonts w:ascii="Times New Roman" w:hAnsi="Times New Roman" w:cs="Times New Roman"/>
          <w:sz w:val="24"/>
          <w:szCs w:val="24"/>
        </w:rPr>
        <w:t xml:space="preserve">ozbudowano </w:t>
      </w:r>
      <w:r w:rsidR="00AE6BCB" w:rsidRPr="00A535DA">
        <w:rPr>
          <w:rFonts w:ascii="Times New Roman" w:hAnsi="Times New Roman" w:cs="Times New Roman"/>
          <w:b/>
          <w:sz w:val="24"/>
          <w:szCs w:val="24"/>
        </w:rPr>
        <w:t>system kolejkowy</w:t>
      </w:r>
      <w:r w:rsidR="00AE6BCB" w:rsidRPr="00A535DA">
        <w:rPr>
          <w:rFonts w:ascii="Times New Roman" w:hAnsi="Times New Roman" w:cs="Times New Roman"/>
          <w:sz w:val="24"/>
          <w:szCs w:val="24"/>
        </w:rPr>
        <w:t xml:space="preserve"> umożliwiający zdalne umawianie wizyt w Urzędzie Miasta Torunia. Modernizacja systemu pozwoliła na uruchomienie internetowego systemu rezerwacji wizyt w UMT oraz T</w:t>
      </w:r>
      <w:r w:rsidR="00432686" w:rsidRPr="00A535DA">
        <w:rPr>
          <w:rFonts w:ascii="Times New Roman" w:hAnsi="Times New Roman" w:cs="Times New Roman"/>
          <w:sz w:val="24"/>
          <w:szCs w:val="24"/>
        </w:rPr>
        <w:t xml:space="preserve">oruńskim </w:t>
      </w:r>
      <w:r w:rsidR="00AE6BCB" w:rsidRPr="00A535DA">
        <w:rPr>
          <w:rFonts w:ascii="Times New Roman" w:hAnsi="Times New Roman" w:cs="Times New Roman"/>
          <w:sz w:val="24"/>
          <w:szCs w:val="24"/>
        </w:rPr>
        <w:t>C</w:t>
      </w:r>
      <w:r w:rsidR="00432686" w:rsidRPr="00A535DA">
        <w:rPr>
          <w:rFonts w:ascii="Times New Roman" w:hAnsi="Times New Roman" w:cs="Times New Roman"/>
          <w:sz w:val="24"/>
          <w:szCs w:val="24"/>
        </w:rPr>
        <w:t xml:space="preserve">entrum </w:t>
      </w:r>
      <w:r w:rsidR="00AE6BCB" w:rsidRPr="00A535DA">
        <w:rPr>
          <w:rFonts w:ascii="Times New Roman" w:hAnsi="Times New Roman" w:cs="Times New Roman"/>
          <w:sz w:val="24"/>
          <w:szCs w:val="24"/>
        </w:rPr>
        <w:t>Ś</w:t>
      </w:r>
      <w:r w:rsidR="00432686" w:rsidRPr="00A535DA">
        <w:rPr>
          <w:rFonts w:ascii="Times New Roman" w:hAnsi="Times New Roman" w:cs="Times New Roman"/>
          <w:sz w:val="24"/>
          <w:szCs w:val="24"/>
        </w:rPr>
        <w:t xml:space="preserve">wiadczeń </w:t>
      </w:r>
      <w:r w:rsidR="00AE6BCB" w:rsidRPr="00A535DA">
        <w:rPr>
          <w:rFonts w:ascii="Times New Roman" w:hAnsi="Times New Roman" w:cs="Times New Roman"/>
          <w:sz w:val="24"/>
          <w:szCs w:val="24"/>
        </w:rPr>
        <w:t>R</w:t>
      </w:r>
      <w:r w:rsidR="00432686" w:rsidRPr="00A535DA">
        <w:rPr>
          <w:rFonts w:ascii="Times New Roman" w:hAnsi="Times New Roman" w:cs="Times New Roman"/>
          <w:sz w:val="24"/>
          <w:szCs w:val="24"/>
        </w:rPr>
        <w:t>odzinie</w:t>
      </w:r>
      <w:r w:rsidR="00AE6BCB" w:rsidRPr="00A535DA">
        <w:rPr>
          <w:rFonts w:ascii="Times New Roman" w:hAnsi="Times New Roman" w:cs="Times New Roman"/>
          <w:sz w:val="24"/>
          <w:szCs w:val="24"/>
        </w:rPr>
        <w:t xml:space="preserve">, </w:t>
      </w:r>
      <w:r w:rsidR="00A535DA">
        <w:rPr>
          <w:rFonts w:ascii="Times New Roman" w:hAnsi="Times New Roman" w:cs="Times New Roman"/>
          <w:sz w:val="24"/>
          <w:szCs w:val="24"/>
        </w:rPr>
        <w:br/>
      </w:r>
      <w:r w:rsidR="00AE6BCB" w:rsidRPr="00A535DA">
        <w:rPr>
          <w:rFonts w:ascii="Times New Roman" w:hAnsi="Times New Roman" w:cs="Times New Roman"/>
          <w:sz w:val="24"/>
          <w:szCs w:val="24"/>
        </w:rPr>
        <w:t>co w okresie pandemii umożliwiało</w:t>
      </w:r>
      <w:r w:rsidRPr="00A535DA">
        <w:rPr>
          <w:rFonts w:ascii="Times New Roman" w:hAnsi="Times New Roman" w:cs="Times New Roman"/>
          <w:sz w:val="24"/>
          <w:szCs w:val="24"/>
        </w:rPr>
        <w:t xml:space="preserve"> organizację przepływu klientów,</w:t>
      </w:r>
    </w:p>
    <w:p w:rsidR="00AE6BCB" w:rsidRPr="001C2F10" w:rsidRDefault="001C2F10" w:rsidP="00912BD8">
      <w:pPr>
        <w:pStyle w:val="Tekstpodstawowy"/>
        <w:numPr>
          <w:ilvl w:val="0"/>
          <w:numId w:val="24"/>
        </w:numPr>
        <w:spacing w:after="0" w:line="240" w:lineRule="auto"/>
        <w:jc w:val="both"/>
        <w:rPr>
          <w:rFonts w:ascii="Times New Roman" w:hAnsi="Times New Roman" w:cs="Times New Roman"/>
          <w:sz w:val="24"/>
          <w:szCs w:val="24"/>
        </w:rPr>
      </w:pPr>
      <w:r w:rsidRPr="001C2F10">
        <w:rPr>
          <w:rFonts w:ascii="Times New Roman" w:hAnsi="Times New Roman" w:cs="Times New Roman"/>
          <w:sz w:val="24"/>
          <w:szCs w:val="24"/>
        </w:rPr>
        <w:t>z</w:t>
      </w:r>
      <w:r w:rsidR="00432686" w:rsidRPr="001C2F10">
        <w:rPr>
          <w:rFonts w:ascii="Times New Roman" w:hAnsi="Times New Roman" w:cs="Times New Roman"/>
          <w:sz w:val="24"/>
          <w:szCs w:val="24"/>
        </w:rPr>
        <w:t>większono</w:t>
      </w:r>
      <w:r w:rsidR="00AE6BCB" w:rsidRPr="001C2F10">
        <w:rPr>
          <w:rFonts w:ascii="Times New Roman" w:hAnsi="Times New Roman" w:cs="Times New Roman"/>
          <w:sz w:val="24"/>
          <w:szCs w:val="24"/>
        </w:rPr>
        <w:t xml:space="preserve"> </w:t>
      </w:r>
      <w:r w:rsidR="00432686" w:rsidRPr="001C2F10">
        <w:rPr>
          <w:rFonts w:ascii="Times New Roman" w:hAnsi="Times New Roman" w:cs="Times New Roman"/>
          <w:b/>
          <w:sz w:val="24"/>
          <w:szCs w:val="24"/>
        </w:rPr>
        <w:t>katalog</w:t>
      </w:r>
      <w:r w:rsidR="00AE6BCB" w:rsidRPr="001C2F10">
        <w:rPr>
          <w:rFonts w:ascii="Times New Roman" w:hAnsi="Times New Roman" w:cs="Times New Roman"/>
          <w:b/>
          <w:sz w:val="24"/>
          <w:szCs w:val="24"/>
        </w:rPr>
        <w:t xml:space="preserve"> e-usług</w:t>
      </w:r>
      <w:r w:rsidR="00AE6BCB" w:rsidRPr="001C2F10">
        <w:rPr>
          <w:rFonts w:ascii="Times New Roman" w:hAnsi="Times New Roman" w:cs="Times New Roman"/>
          <w:sz w:val="24"/>
          <w:szCs w:val="24"/>
        </w:rPr>
        <w:t xml:space="preserve"> umożliwiających załatwiania spraw</w:t>
      </w:r>
      <w:r w:rsidRPr="001C2F10">
        <w:rPr>
          <w:rFonts w:ascii="Times New Roman" w:hAnsi="Times New Roman" w:cs="Times New Roman"/>
          <w:sz w:val="24"/>
          <w:szCs w:val="24"/>
        </w:rPr>
        <w:t xml:space="preserve"> urzędowych za pomocą Internetu,</w:t>
      </w:r>
    </w:p>
    <w:p w:rsidR="001C2F10" w:rsidRPr="00A535DA" w:rsidRDefault="001C2F10" w:rsidP="00912BD8">
      <w:pPr>
        <w:pStyle w:val="Tekstpodstawowy"/>
        <w:numPr>
          <w:ilvl w:val="0"/>
          <w:numId w:val="24"/>
        </w:numPr>
        <w:spacing w:after="0" w:line="240" w:lineRule="auto"/>
        <w:jc w:val="both"/>
        <w:rPr>
          <w:rFonts w:ascii="Times New Roman" w:hAnsi="Times New Roman" w:cs="Times New Roman"/>
          <w:sz w:val="24"/>
          <w:szCs w:val="24"/>
        </w:rPr>
      </w:pPr>
      <w:r w:rsidRPr="001C2F10">
        <w:rPr>
          <w:rFonts w:ascii="Times New Roman" w:hAnsi="Times New Roman" w:cs="Times New Roman"/>
          <w:sz w:val="24"/>
          <w:szCs w:val="24"/>
        </w:rPr>
        <w:t xml:space="preserve">wdrożono usługę </w:t>
      </w:r>
      <w:r w:rsidRPr="001C2F10">
        <w:rPr>
          <w:rFonts w:ascii="Times New Roman" w:hAnsi="Times New Roman" w:cs="Times New Roman"/>
          <w:b/>
          <w:sz w:val="24"/>
          <w:szCs w:val="24"/>
        </w:rPr>
        <w:t>„Czatuj z urzędnikiem”</w:t>
      </w:r>
      <w:r w:rsidRPr="001C2F10">
        <w:rPr>
          <w:rFonts w:ascii="Times New Roman" w:hAnsi="Times New Roman" w:cs="Times New Roman"/>
          <w:sz w:val="24"/>
          <w:szCs w:val="24"/>
        </w:rPr>
        <w:t xml:space="preserve">. W pierwszym, pilotażowym etapie wdrażania tej usługi za pomocą komunikatora tekstowego – czyli czatu – można uzyskać informacje i pomoc dotyczącą: praw jazdy, </w:t>
      </w:r>
      <w:r w:rsidRPr="00A535DA">
        <w:rPr>
          <w:rFonts w:ascii="Times New Roman" w:hAnsi="Times New Roman" w:cs="Times New Roman"/>
          <w:sz w:val="24"/>
          <w:szCs w:val="24"/>
        </w:rPr>
        <w:t>dowodów osobistych, spraw meldunkowych,</w:t>
      </w:r>
    </w:p>
    <w:p w:rsidR="00AE6BCB" w:rsidRPr="001C2F10" w:rsidRDefault="001C2F10" w:rsidP="00912BD8">
      <w:pPr>
        <w:pStyle w:val="Tekstpodstawowy"/>
        <w:numPr>
          <w:ilvl w:val="0"/>
          <w:numId w:val="24"/>
        </w:numPr>
        <w:spacing w:after="0" w:line="240" w:lineRule="auto"/>
        <w:jc w:val="both"/>
        <w:rPr>
          <w:rFonts w:ascii="Times New Roman" w:hAnsi="Times New Roman" w:cs="Times New Roman"/>
          <w:sz w:val="24"/>
          <w:szCs w:val="24"/>
        </w:rPr>
      </w:pPr>
      <w:r w:rsidRPr="001C2F10">
        <w:rPr>
          <w:rFonts w:ascii="Times New Roman" w:hAnsi="Times New Roman" w:cs="Times New Roman"/>
          <w:sz w:val="24"/>
          <w:szCs w:val="24"/>
        </w:rPr>
        <w:t>r</w:t>
      </w:r>
      <w:r w:rsidR="00AE6BCB" w:rsidRPr="001C2F10">
        <w:rPr>
          <w:rFonts w:ascii="Times New Roman" w:hAnsi="Times New Roman" w:cs="Times New Roman"/>
          <w:sz w:val="24"/>
          <w:szCs w:val="24"/>
        </w:rPr>
        <w:t xml:space="preserve">ozpoczęto </w:t>
      </w:r>
      <w:r w:rsidR="00AE6BCB" w:rsidRPr="001C2F10">
        <w:rPr>
          <w:rFonts w:ascii="Times New Roman" w:hAnsi="Times New Roman" w:cs="Times New Roman"/>
          <w:b/>
          <w:sz w:val="24"/>
          <w:szCs w:val="24"/>
        </w:rPr>
        <w:t>wdrożenie nowego systemu BIP</w:t>
      </w:r>
      <w:r w:rsidR="00AE6BCB" w:rsidRPr="001C2F10">
        <w:rPr>
          <w:rFonts w:ascii="Times New Roman" w:hAnsi="Times New Roman" w:cs="Times New Roman"/>
          <w:sz w:val="24"/>
          <w:szCs w:val="24"/>
        </w:rPr>
        <w:t>.</w:t>
      </w:r>
    </w:p>
    <w:p w:rsidR="00AE6BCB" w:rsidRDefault="00AE6BCB" w:rsidP="009C7C02">
      <w:pPr>
        <w:pStyle w:val="NoSpacing"/>
        <w:spacing w:line="240" w:lineRule="auto"/>
        <w:jc w:val="both"/>
        <w:rPr>
          <w:rFonts w:ascii="Times New Roman" w:hAnsi="Times New Roman"/>
          <w:sz w:val="24"/>
          <w:szCs w:val="24"/>
        </w:rPr>
      </w:pPr>
    </w:p>
    <w:p w:rsidR="00AE6BCB" w:rsidRDefault="00F155F0" w:rsidP="00F155F0">
      <w:pPr>
        <w:pStyle w:val="Nagwek1"/>
        <w:numPr>
          <w:ilvl w:val="0"/>
          <w:numId w:val="0"/>
        </w:numPr>
        <w:spacing w:line="240" w:lineRule="auto"/>
        <w:ind w:left="432" w:hanging="432"/>
        <w:rPr>
          <w:bCs/>
          <w:color w:val="0070C0"/>
          <w:sz w:val="28"/>
          <w:szCs w:val="28"/>
          <w:lang w:val="pl-PL"/>
        </w:rPr>
      </w:pPr>
      <w:bookmarkStart w:id="211" w:name="__RefHeading__32058_2082197896"/>
      <w:bookmarkStart w:id="212" w:name="_Toc69477752"/>
      <w:bookmarkStart w:id="213" w:name="_Toc69372300"/>
      <w:bookmarkEnd w:id="211"/>
      <w:r>
        <w:rPr>
          <w:color w:val="0070C0"/>
          <w:lang w:val="pl-PL"/>
        </w:rPr>
        <w:t>XVII</w:t>
      </w:r>
      <w:r w:rsidR="00A535DA">
        <w:rPr>
          <w:color w:val="0070C0"/>
          <w:lang w:val="pl-PL"/>
        </w:rPr>
        <w:t>I</w:t>
      </w:r>
      <w:r>
        <w:rPr>
          <w:color w:val="0070C0"/>
          <w:lang w:val="pl-PL"/>
        </w:rPr>
        <w:t xml:space="preserve">. </w:t>
      </w:r>
      <w:r w:rsidR="00AE6BCB">
        <w:rPr>
          <w:color w:val="0070C0"/>
          <w:lang w:val="pl-PL"/>
        </w:rPr>
        <w:t>REWITALIZACJA I ROZWÓJ MIASTA</w:t>
      </w:r>
      <w:bookmarkEnd w:id="212"/>
      <w:bookmarkEnd w:id="213"/>
    </w:p>
    <w:p w:rsidR="00AE6BCB" w:rsidRPr="00A535DA" w:rsidRDefault="00EB15ED" w:rsidP="00EB15ED">
      <w:pPr>
        <w:pStyle w:val="Nagwek2"/>
        <w:numPr>
          <w:ilvl w:val="0"/>
          <w:numId w:val="0"/>
        </w:numPr>
        <w:spacing w:before="0" w:after="0" w:line="240" w:lineRule="auto"/>
        <w:rPr>
          <w:rFonts w:ascii="Times New Roman" w:hAnsi="Times New Roman" w:cs="Times New Roman"/>
          <w:sz w:val="24"/>
          <w:szCs w:val="24"/>
          <w:lang w:val="pl-PL"/>
        </w:rPr>
      </w:pPr>
      <w:bookmarkStart w:id="214" w:name="__RefHeading__32060_2082197896"/>
      <w:bookmarkStart w:id="215" w:name="_Toc69477753"/>
      <w:bookmarkStart w:id="216" w:name="_Toc69372301"/>
      <w:bookmarkEnd w:id="214"/>
      <w:r>
        <w:rPr>
          <w:rFonts w:ascii="Times New Roman" w:eastAsia="Calibri" w:hAnsi="Times New Roman" w:cs="Times New Roman"/>
          <w:i w:val="0"/>
          <w:iCs w:val="0"/>
          <w:color w:val="0070C0"/>
          <w:lang w:val="pl-PL"/>
        </w:rPr>
        <w:br/>
      </w:r>
      <w:r w:rsidR="00AE6BCB" w:rsidRPr="00A535DA">
        <w:rPr>
          <w:rFonts w:ascii="Times New Roman" w:hAnsi="Times New Roman" w:cs="Times New Roman"/>
          <w:color w:val="0070C0"/>
          <w:sz w:val="24"/>
          <w:lang w:val="pl-PL"/>
        </w:rPr>
        <w:t>Program rewitalizacji</w:t>
      </w:r>
      <w:bookmarkEnd w:id="215"/>
      <w:bookmarkEnd w:id="216"/>
    </w:p>
    <w:p w:rsidR="001E1F12" w:rsidRDefault="001E1F12" w:rsidP="009C7C02">
      <w:pPr>
        <w:pStyle w:val="NoSpacing"/>
        <w:spacing w:line="240" w:lineRule="auto"/>
        <w:ind w:firstLine="709"/>
        <w:jc w:val="both"/>
        <w:rPr>
          <w:rFonts w:ascii="Times New Roman" w:hAnsi="Times New Roman"/>
          <w:sz w:val="24"/>
          <w:szCs w:val="24"/>
        </w:rPr>
      </w:pPr>
      <w:r>
        <w:rPr>
          <w:rFonts w:ascii="Times New Roman" w:hAnsi="Times New Roman"/>
          <w:sz w:val="24"/>
          <w:szCs w:val="24"/>
        </w:rPr>
        <w:t xml:space="preserve">W 2020 r. kontynuowano realizację </w:t>
      </w:r>
      <w:r w:rsidR="00AE6BCB">
        <w:rPr>
          <w:rFonts w:ascii="Times New Roman" w:hAnsi="Times New Roman"/>
          <w:b/>
          <w:sz w:val="24"/>
          <w:szCs w:val="24"/>
        </w:rPr>
        <w:t>„Program</w:t>
      </w:r>
      <w:r>
        <w:rPr>
          <w:rFonts w:ascii="Times New Roman" w:hAnsi="Times New Roman"/>
          <w:b/>
          <w:sz w:val="24"/>
          <w:szCs w:val="24"/>
        </w:rPr>
        <w:t>u</w:t>
      </w:r>
      <w:r w:rsidR="00AE6BCB">
        <w:rPr>
          <w:rFonts w:ascii="Times New Roman" w:hAnsi="Times New Roman"/>
          <w:b/>
          <w:sz w:val="24"/>
          <w:szCs w:val="24"/>
        </w:rPr>
        <w:t xml:space="preserve"> rewitalizacji Torunia do roku 2023” (GPR)</w:t>
      </w:r>
      <w:r w:rsidR="00AE6BCB">
        <w:rPr>
          <w:rFonts w:ascii="Times New Roman" w:hAnsi="Times New Roman"/>
          <w:sz w:val="24"/>
          <w:szCs w:val="24"/>
        </w:rPr>
        <w:t>, w którym ujęto przedsięwzięcia i projekty mające na celu</w:t>
      </w:r>
      <w:r>
        <w:rPr>
          <w:rFonts w:ascii="Times New Roman" w:hAnsi="Times New Roman"/>
          <w:sz w:val="24"/>
          <w:szCs w:val="24"/>
        </w:rPr>
        <w:t xml:space="preserve"> wyprowadzenie </w:t>
      </w:r>
      <w:r w:rsidR="00EB15ED">
        <w:rPr>
          <w:rFonts w:ascii="Times New Roman" w:hAnsi="Times New Roman"/>
          <w:sz w:val="24"/>
          <w:szCs w:val="24"/>
        </w:rPr>
        <w:br/>
      </w:r>
      <w:r>
        <w:rPr>
          <w:rFonts w:ascii="Times New Roman" w:hAnsi="Times New Roman"/>
          <w:sz w:val="24"/>
          <w:szCs w:val="24"/>
        </w:rPr>
        <w:t xml:space="preserve">z kryzysu terenów zdegradowanych. </w:t>
      </w:r>
      <w:r w:rsidR="00AE6BCB">
        <w:rPr>
          <w:rFonts w:ascii="Times New Roman" w:hAnsi="Times New Roman"/>
          <w:sz w:val="24"/>
          <w:szCs w:val="24"/>
        </w:rPr>
        <w:t xml:space="preserve"> Określony dla Torunia obszar rewitalizacji podzielony jest na trzy podobszary: Bydgoskie Przedmieście, Podgórz i Stare Miasto. Środki na realizację zadań wpisanych do GPR pochodzą z Unii Europejskiej w ramach ZIT Regionalnego Programu Operacyjnego Województwa Kujawsko-Pomorskiego na lata 2014–2020. Dla Torunia przewidziano alokację w wysokości ok. 28 mln zł. Realizatorami poszczególnych projektów są: Gmina, wspólnoty mieszkaniowe, spółdzielnia mieszkaniowa, organizacje pozarządowe, jednostki podległe gminie (m.in. szkoły, Miejski Ośrodek Pomocy Rodzinie, Ogród Zoobotaniczny). </w:t>
      </w:r>
    </w:p>
    <w:p w:rsidR="001E1F12" w:rsidRDefault="00AE6BCB" w:rsidP="00EB15ED">
      <w:pPr>
        <w:pStyle w:val="NoSpacing"/>
        <w:spacing w:line="240" w:lineRule="auto"/>
        <w:jc w:val="both"/>
        <w:rPr>
          <w:rFonts w:ascii="Times New Roman" w:hAnsi="Times New Roman"/>
          <w:sz w:val="24"/>
          <w:szCs w:val="24"/>
        </w:rPr>
      </w:pPr>
      <w:r>
        <w:rPr>
          <w:rFonts w:ascii="Times New Roman" w:hAnsi="Times New Roman"/>
          <w:sz w:val="24"/>
          <w:szCs w:val="24"/>
        </w:rPr>
        <w:t>W 2020 r.</w:t>
      </w:r>
      <w:r w:rsidR="001E1F12">
        <w:rPr>
          <w:rFonts w:ascii="Times New Roman" w:hAnsi="Times New Roman"/>
          <w:sz w:val="24"/>
          <w:szCs w:val="24"/>
        </w:rPr>
        <w:t>:</w:t>
      </w:r>
    </w:p>
    <w:p w:rsidR="001E1F12" w:rsidRDefault="00E7368E" w:rsidP="00912BD8">
      <w:pPr>
        <w:pStyle w:val="NoSpacing"/>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podpisano umowy dotacyjne </w:t>
      </w:r>
      <w:r w:rsidR="00AE6BCB">
        <w:rPr>
          <w:rFonts w:ascii="Times New Roman" w:hAnsi="Times New Roman"/>
          <w:sz w:val="24"/>
          <w:szCs w:val="24"/>
        </w:rPr>
        <w:t>dla 8 projektów społecznych (spośród 34 wpisanych do progr</w:t>
      </w:r>
      <w:r>
        <w:rPr>
          <w:rFonts w:ascii="Times New Roman" w:hAnsi="Times New Roman"/>
          <w:sz w:val="24"/>
          <w:szCs w:val="24"/>
        </w:rPr>
        <w:t>amu),</w:t>
      </w:r>
    </w:p>
    <w:p w:rsidR="001E1F12" w:rsidRDefault="001E1F12" w:rsidP="00912BD8">
      <w:pPr>
        <w:pStyle w:val="NoSpacing"/>
        <w:numPr>
          <w:ilvl w:val="0"/>
          <w:numId w:val="24"/>
        </w:numPr>
        <w:spacing w:line="240" w:lineRule="auto"/>
        <w:jc w:val="both"/>
        <w:rPr>
          <w:rFonts w:ascii="Times New Roman" w:hAnsi="Times New Roman"/>
          <w:sz w:val="24"/>
          <w:szCs w:val="24"/>
        </w:rPr>
      </w:pPr>
      <w:r>
        <w:rPr>
          <w:rFonts w:ascii="Times New Roman" w:hAnsi="Times New Roman"/>
          <w:sz w:val="24"/>
          <w:szCs w:val="24"/>
        </w:rPr>
        <w:t>rozpoczęto lub kontynuowano 15 inicjatyw,</w:t>
      </w:r>
    </w:p>
    <w:p w:rsidR="001E1F12" w:rsidRDefault="00AE6BCB" w:rsidP="00912BD8">
      <w:pPr>
        <w:pStyle w:val="NoSpacing"/>
        <w:numPr>
          <w:ilvl w:val="0"/>
          <w:numId w:val="24"/>
        </w:numPr>
        <w:spacing w:line="240" w:lineRule="auto"/>
        <w:jc w:val="both"/>
        <w:rPr>
          <w:rFonts w:ascii="Times New Roman" w:hAnsi="Times New Roman"/>
          <w:sz w:val="24"/>
          <w:szCs w:val="24"/>
        </w:rPr>
      </w:pPr>
      <w:r>
        <w:rPr>
          <w:rFonts w:ascii="Times New Roman" w:hAnsi="Times New Roman"/>
          <w:sz w:val="24"/>
          <w:szCs w:val="24"/>
        </w:rPr>
        <w:lastRenderedPageBreak/>
        <w:t>złożono ostatnie 16 wniosków aplikacyjnych dla projektów infr</w:t>
      </w:r>
      <w:r w:rsidR="00EB15ED">
        <w:rPr>
          <w:rFonts w:ascii="Times New Roman" w:hAnsi="Times New Roman"/>
          <w:sz w:val="24"/>
          <w:szCs w:val="24"/>
        </w:rPr>
        <w:t>astrukturalnych (d</w:t>
      </w:r>
      <w:r>
        <w:rPr>
          <w:rFonts w:ascii="Times New Roman" w:hAnsi="Times New Roman"/>
          <w:sz w:val="24"/>
          <w:szCs w:val="24"/>
        </w:rPr>
        <w:t xml:space="preserve">la </w:t>
      </w:r>
      <w:r w:rsidR="00EB15ED">
        <w:rPr>
          <w:rFonts w:ascii="Times New Roman" w:hAnsi="Times New Roman"/>
          <w:sz w:val="24"/>
          <w:szCs w:val="24"/>
        </w:rPr>
        <w:br/>
      </w:r>
      <w:r>
        <w:rPr>
          <w:rFonts w:ascii="Times New Roman" w:hAnsi="Times New Roman"/>
          <w:sz w:val="24"/>
          <w:szCs w:val="24"/>
        </w:rPr>
        <w:t>9 z nich po</w:t>
      </w:r>
      <w:r w:rsidR="00EB15ED">
        <w:rPr>
          <w:rFonts w:ascii="Times New Roman" w:hAnsi="Times New Roman"/>
          <w:sz w:val="24"/>
          <w:szCs w:val="24"/>
        </w:rPr>
        <w:t>dpisano umowy o dofinansowanie),</w:t>
      </w:r>
    </w:p>
    <w:p w:rsidR="001E1F12" w:rsidRDefault="001E1F12" w:rsidP="00912BD8">
      <w:pPr>
        <w:pStyle w:val="NoSpacing"/>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rozpoczęto lub kontynuowano </w:t>
      </w:r>
      <w:r w:rsidR="00AE6BCB">
        <w:rPr>
          <w:rFonts w:ascii="Times New Roman" w:hAnsi="Times New Roman"/>
          <w:sz w:val="24"/>
          <w:szCs w:val="24"/>
        </w:rPr>
        <w:t xml:space="preserve">23 inwestycje m.in.: „Reanimacja Bydgoskiej 52 – adaptacja zabytkowej kamienicy na cele społeczne”, „Adaptacja budynku przy </w:t>
      </w:r>
      <w:r w:rsidR="00EB15ED">
        <w:rPr>
          <w:rFonts w:ascii="Times New Roman" w:hAnsi="Times New Roman"/>
          <w:sz w:val="24"/>
          <w:szCs w:val="24"/>
        </w:rPr>
        <w:br/>
      </w:r>
      <w:r w:rsidR="00AE6BCB">
        <w:rPr>
          <w:rFonts w:ascii="Times New Roman" w:hAnsi="Times New Roman"/>
          <w:sz w:val="24"/>
          <w:szCs w:val="24"/>
        </w:rPr>
        <w:t xml:space="preserve">ul. Kopernika 22 wraz z podwórzem na cele społeczne”, „Modernizacja budynku mieszkalnego wraz z podwórzem przy ul. Mickiewicza 146, 148, 150 w Toruniu w celu przeciwdziałania problemom społecznym na </w:t>
      </w:r>
      <w:r>
        <w:rPr>
          <w:rFonts w:ascii="Times New Roman" w:hAnsi="Times New Roman"/>
          <w:sz w:val="24"/>
          <w:szCs w:val="24"/>
        </w:rPr>
        <w:t>obszarze rewitalizacji”,</w:t>
      </w:r>
    </w:p>
    <w:p w:rsidR="001E1F12" w:rsidRDefault="001E1F12" w:rsidP="001E1F12">
      <w:pPr>
        <w:pStyle w:val="NoSpacing"/>
        <w:spacing w:line="240" w:lineRule="auto"/>
        <w:jc w:val="both"/>
        <w:rPr>
          <w:rFonts w:ascii="Times New Roman" w:hAnsi="Times New Roman"/>
          <w:sz w:val="24"/>
          <w:szCs w:val="24"/>
        </w:rPr>
      </w:pPr>
      <w:r>
        <w:rPr>
          <w:rFonts w:ascii="Times New Roman" w:hAnsi="Times New Roman"/>
          <w:sz w:val="24"/>
          <w:szCs w:val="24"/>
        </w:rPr>
        <w:t>Ponadto w 2020 r. w celu dostosowania do obowiązującego stanu faktycznego i prawnego</w:t>
      </w:r>
      <w:r w:rsidR="00AA4728">
        <w:rPr>
          <w:rFonts w:ascii="Times New Roman" w:hAnsi="Times New Roman"/>
          <w:sz w:val="24"/>
          <w:szCs w:val="24"/>
        </w:rPr>
        <w:t xml:space="preserve"> przyjęto</w:t>
      </w:r>
      <w:r>
        <w:rPr>
          <w:rFonts w:ascii="Times New Roman" w:hAnsi="Times New Roman"/>
          <w:sz w:val="24"/>
          <w:szCs w:val="24"/>
        </w:rPr>
        <w:t>:</w:t>
      </w:r>
    </w:p>
    <w:p w:rsidR="00AA4728" w:rsidRDefault="001E1F12" w:rsidP="00912BD8">
      <w:pPr>
        <w:pStyle w:val="NoSpacing"/>
        <w:numPr>
          <w:ilvl w:val="0"/>
          <w:numId w:val="25"/>
        </w:numPr>
        <w:spacing w:line="240" w:lineRule="auto"/>
        <w:jc w:val="both"/>
        <w:rPr>
          <w:rFonts w:ascii="Times New Roman" w:hAnsi="Times New Roman"/>
          <w:sz w:val="24"/>
          <w:szCs w:val="24"/>
        </w:rPr>
      </w:pPr>
      <w:r>
        <w:rPr>
          <w:rFonts w:ascii="Times New Roman" w:hAnsi="Times New Roman"/>
          <w:sz w:val="24"/>
          <w:szCs w:val="24"/>
        </w:rPr>
        <w:t>Z</w:t>
      </w:r>
      <w:r w:rsidR="00AE6BCB">
        <w:rPr>
          <w:rFonts w:ascii="Times New Roman" w:hAnsi="Times New Roman"/>
          <w:sz w:val="24"/>
          <w:szCs w:val="24"/>
        </w:rPr>
        <w:t>arządzenie nr 111 PMT z dnia 24.06.2020 r. zmieniające zarządzenie ws. powołania Komitetu Rewitalizacji na terenie Gminy M</w:t>
      </w:r>
      <w:r w:rsidR="00AA4728">
        <w:rPr>
          <w:rFonts w:ascii="Times New Roman" w:hAnsi="Times New Roman"/>
          <w:sz w:val="24"/>
          <w:szCs w:val="24"/>
        </w:rPr>
        <w:t>iasta Toruń w latach 2018–2021,</w:t>
      </w:r>
    </w:p>
    <w:p w:rsidR="00AA4728" w:rsidRDefault="00AA4728" w:rsidP="00912BD8">
      <w:pPr>
        <w:pStyle w:val="NoSpacing"/>
        <w:numPr>
          <w:ilvl w:val="0"/>
          <w:numId w:val="25"/>
        </w:numPr>
        <w:spacing w:line="240" w:lineRule="auto"/>
        <w:jc w:val="both"/>
        <w:rPr>
          <w:rFonts w:ascii="Times New Roman" w:hAnsi="Times New Roman"/>
          <w:sz w:val="24"/>
          <w:szCs w:val="24"/>
        </w:rPr>
      </w:pPr>
      <w:r>
        <w:rPr>
          <w:rFonts w:ascii="Times New Roman" w:hAnsi="Times New Roman"/>
          <w:sz w:val="24"/>
          <w:szCs w:val="24"/>
        </w:rPr>
        <w:t>Uchwałę</w:t>
      </w:r>
      <w:r w:rsidR="00AE6BCB">
        <w:rPr>
          <w:rFonts w:ascii="Times New Roman" w:hAnsi="Times New Roman"/>
          <w:sz w:val="24"/>
          <w:szCs w:val="24"/>
        </w:rPr>
        <w:t xml:space="preserve"> nr 346/20 z dnia 27 lutego 2020 r. zmieniająca uchwałę w sprawie przyjęcia gminnego programu rewitalizacji pn. „</w:t>
      </w:r>
      <w:r w:rsidR="00AE6BCB">
        <w:rPr>
          <w:rFonts w:ascii="Times New Roman" w:hAnsi="Times New Roman"/>
          <w:b/>
          <w:sz w:val="24"/>
          <w:szCs w:val="24"/>
        </w:rPr>
        <w:t>Program rewitalizacji Torunia do roku 2023</w:t>
      </w:r>
      <w:r w:rsidR="00AE6BCB">
        <w:rPr>
          <w:rFonts w:ascii="Times New Roman" w:hAnsi="Times New Roman"/>
          <w:sz w:val="24"/>
          <w:szCs w:val="24"/>
        </w:rPr>
        <w:t xml:space="preserve">”. </w:t>
      </w:r>
    </w:p>
    <w:p w:rsidR="00AE6BCB" w:rsidRDefault="00AE6BCB" w:rsidP="00EB15ED">
      <w:pPr>
        <w:pStyle w:val="NoSpacing"/>
        <w:spacing w:line="240" w:lineRule="auto"/>
        <w:jc w:val="both"/>
        <w:rPr>
          <w:rFonts w:ascii="Times New Roman" w:hAnsi="Times New Roman"/>
          <w:sz w:val="24"/>
          <w:szCs w:val="24"/>
        </w:rPr>
      </w:pPr>
      <w:r>
        <w:rPr>
          <w:rFonts w:ascii="Times New Roman" w:hAnsi="Times New Roman"/>
          <w:sz w:val="24"/>
          <w:szCs w:val="24"/>
        </w:rPr>
        <w:t>Gmina zobowiązana jest co kwartał przekazywać do Urzędu Marszałkowskiego Województwa Kujawsko</w:t>
      </w:r>
      <w:r w:rsidR="00E7368E">
        <w:rPr>
          <w:rFonts w:ascii="Times New Roman" w:hAnsi="Times New Roman"/>
          <w:sz w:val="24"/>
          <w:szCs w:val="24"/>
        </w:rPr>
        <w:t xml:space="preserve"> </w:t>
      </w:r>
      <w:r>
        <w:rPr>
          <w:rFonts w:ascii="Times New Roman" w:hAnsi="Times New Roman"/>
          <w:sz w:val="24"/>
          <w:szCs w:val="24"/>
        </w:rPr>
        <w:t>-</w:t>
      </w:r>
      <w:r w:rsidR="00E7368E">
        <w:rPr>
          <w:rFonts w:ascii="Times New Roman" w:hAnsi="Times New Roman"/>
          <w:sz w:val="24"/>
          <w:szCs w:val="24"/>
        </w:rPr>
        <w:t xml:space="preserve"> </w:t>
      </w:r>
      <w:r>
        <w:rPr>
          <w:rFonts w:ascii="Times New Roman" w:hAnsi="Times New Roman"/>
          <w:sz w:val="24"/>
          <w:szCs w:val="24"/>
        </w:rPr>
        <w:t>Pomorskiego „Sprawozdanie z realizacji przedsięwzięć dofinansowanych ze środków RPO WK-P 2014–2020 i innych, ujętych w gminnym programie rewi</w:t>
      </w:r>
      <w:r w:rsidR="00E7368E">
        <w:rPr>
          <w:rFonts w:ascii="Times New Roman" w:hAnsi="Times New Roman"/>
          <w:sz w:val="24"/>
          <w:szCs w:val="24"/>
        </w:rPr>
        <w:t xml:space="preserve">talizacji. </w:t>
      </w:r>
      <w:r>
        <w:rPr>
          <w:rFonts w:ascii="Times New Roman" w:hAnsi="Times New Roman"/>
          <w:sz w:val="24"/>
          <w:szCs w:val="24"/>
        </w:rPr>
        <w:t>W 2020 r. przesłano 4 takie sprawozdania.</w:t>
      </w:r>
    </w:p>
    <w:p w:rsidR="00AE6BCB" w:rsidRDefault="00AE6BCB" w:rsidP="009C7C02">
      <w:pPr>
        <w:pStyle w:val="NoSpacing"/>
        <w:spacing w:line="240" w:lineRule="auto"/>
        <w:ind w:firstLine="709"/>
        <w:jc w:val="both"/>
        <w:rPr>
          <w:rFonts w:ascii="Times New Roman" w:hAnsi="Times New Roman"/>
          <w:sz w:val="24"/>
          <w:szCs w:val="24"/>
        </w:rPr>
      </w:pPr>
    </w:p>
    <w:p w:rsidR="00AE6BCB" w:rsidRPr="00EB15ED" w:rsidRDefault="00AE6BCB" w:rsidP="009C7C02">
      <w:pPr>
        <w:pStyle w:val="Nagwek2"/>
        <w:spacing w:before="0" w:after="0" w:line="240" w:lineRule="auto"/>
        <w:rPr>
          <w:rFonts w:ascii="Times New Roman" w:hAnsi="Times New Roman" w:cs="Times New Roman"/>
          <w:sz w:val="24"/>
          <w:lang w:val="pl-PL"/>
        </w:rPr>
      </w:pPr>
      <w:bookmarkStart w:id="217" w:name="__RefHeading__32062_2082197896"/>
      <w:bookmarkStart w:id="218" w:name="_Toc69477754"/>
      <w:bookmarkStart w:id="219" w:name="_Toc69372302"/>
      <w:bookmarkEnd w:id="217"/>
      <w:r w:rsidRPr="00EB15ED">
        <w:rPr>
          <w:rFonts w:ascii="Times New Roman" w:hAnsi="Times New Roman" w:cs="Times New Roman"/>
          <w:color w:val="0070C0"/>
          <w:sz w:val="24"/>
          <w:lang w:val="pl-PL"/>
        </w:rPr>
        <w:t>Wdrażanie „Strategii rozwoju miasta Torunia”</w:t>
      </w:r>
      <w:bookmarkEnd w:id="218"/>
      <w:bookmarkEnd w:id="219"/>
    </w:p>
    <w:p w:rsidR="00AE6BCB" w:rsidRDefault="00AE6BCB" w:rsidP="009C7C02">
      <w:pPr>
        <w:spacing w:line="240" w:lineRule="auto"/>
        <w:ind w:firstLine="709"/>
        <w:jc w:val="both"/>
        <w:rPr>
          <w:lang w:val="pl-PL"/>
        </w:rPr>
      </w:pPr>
      <w:r>
        <w:rPr>
          <w:lang w:val="pl-PL"/>
        </w:rPr>
        <w:t>Główne założenia i kierunki rozwoju miasta Torunia określa nadrzędny dokument strategiczny pt. „</w:t>
      </w:r>
      <w:r>
        <w:rPr>
          <w:b/>
          <w:lang w:val="pl-PL"/>
        </w:rPr>
        <w:t>Strategia rozwoju miasta Torunia do roku 2020 z uwzględnieniem perspektywy rozwoju do 2028 r.</w:t>
      </w:r>
      <w:r>
        <w:rPr>
          <w:lang w:val="pl-PL"/>
        </w:rPr>
        <w:t xml:space="preserve">”, przyjęty przez Radę Miasta Torunia w 2018 r. Strategia ta nakreśla m.in. wizję i misję rozwoju miasta, a także cele strategiczne operacyjne oraz zadania na czas i perspektywę określone w tytule. </w:t>
      </w:r>
      <w:r w:rsidR="00B41B4A">
        <w:rPr>
          <w:lang w:val="pl-PL"/>
        </w:rPr>
        <w:t>Wyznacza</w:t>
      </w:r>
      <w:r>
        <w:rPr>
          <w:lang w:val="pl-PL"/>
        </w:rPr>
        <w:t xml:space="preserve"> cztery cele strategiczne, przydzielając je do trzech obszarów: społecznego, gospodarki i promocji oraz zasobów, infrastruktury i środowiska. Tymi celami są:</w:t>
      </w:r>
    </w:p>
    <w:p w:rsidR="00AE6BCB" w:rsidRDefault="00A96252" w:rsidP="00EB15ED">
      <w:pPr>
        <w:spacing w:line="240" w:lineRule="auto"/>
        <w:jc w:val="both"/>
        <w:rPr>
          <w:lang w:val="pl-PL"/>
        </w:rPr>
      </w:pPr>
      <w:r>
        <w:rPr>
          <w:b/>
          <w:lang w:val="pl-PL"/>
        </w:rPr>
        <w:t xml:space="preserve">  </w:t>
      </w:r>
      <w:r w:rsidR="00EB15ED" w:rsidRPr="00EB15ED">
        <w:rPr>
          <w:b/>
          <w:lang w:val="pl-PL"/>
        </w:rPr>
        <w:sym w:font="Symbol" w:char="F0AE"/>
      </w:r>
      <w:r w:rsidR="00EB15ED" w:rsidRPr="00EB15ED">
        <w:rPr>
          <w:lang w:val="pl-PL"/>
        </w:rPr>
        <w:t xml:space="preserve"> </w:t>
      </w:r>
      <w:r w:rsidR="00AE6BCB" w:rsidRPr="00EB15ED">
        <w:rPr>
          <w:lang w:val="pl-PL"/>
        </w:rPr>
        <w:t>Toruń atrakcyjnym miejscem zamieszkania i pracy,</w:t>
      </w:r>
    </w:p>
    <w:p w:rsidR="00AE6BCB" w:rsidRDefault="00A96252" w:rsidP="00A96252">
      <w:pPr>
        <w:spacing w:line="240" w:lineRule="auto"/>
        <w:jc w:val="both"/>
        <w:rPr>
          <w:lang w:val="pl-PL"/>
        </w:rPr>
      </w:pPr>
      <w:r>
        <w:rPr>
          <w:b/>
          <w:lang w:val="pl-PL"/>
        </w:rPr>
        <w:t xml:space="preserve">  </w:t>
      </w:r>
      <w:r w:rsidR="00EB15ED" w:rsidRPr="00EB15ED">
        <w:rPr>
          <w:b/>
          <w:lang w:val="pl-PL"/>
        </w:rPr>
        <w:sym w:font="Symbol" w:char="F0AE"/>
      </w:r>
      <w:r w:rsidR="00AE6BCB" w:rsidRPr="00EB15ED">
        <w:rPr>
          <w:lang w:val="pl-PL"/>
        </w:rPr>
        <w:t xml:space="preserve">Toruń miastem wysokiej synergii wykorzystania potencjału kulturowego, naukowego </w:t>
      </w:r>
      <w:r>
        <w:rPr>
          <w:lang w:val="pl-PL"/>
        </w:rPr>
        <w:br/>
        <w:t xml:space="preserve">       </w:t>
      </w:r>
      <w:r w:rsidR="00AE6BCB" w:rsidRPr="00EB15ED">
        <w:rPr>
          <w:lang w:val="pl-PL"/>
        </w:rPr>
        <w:t>i gospodarczego,</w:t>
      </w:r>
    </w:p>
    <w:p w:rsidR="00AE6BCB" w:rsidRDefault="00A96252" w:rsidP="00A96252">
      <w:pPr>
        <w:spacing w:line="240" w:lineRule="auto"/>
        <w:jc w:val="both"/>
        <w:rPr>
          <w:lang w:val="pl-PL"/>
        </w:rPr>
      </w:pPr>
      <w:r>
        <w:rPr>
          <w:b/>
          <w:lang w:val="pl-PL"/>
        </w:rPr>
        <w:t xml:space="preserve">  </w:t>
      </w:r>
      <w:r w:rsidR="00EB15ED" w:rsidRPr="00EB15ED">
        <w:rPr>
          <w:b/>
          <w:lang w:val="pl-PL"/>
        </w:rPr>
        <w:sym w:font="Symbol" w:char="F0AE"/>
      </w:r>
      <w:r w:rsidR="00AE6BCB" w:rsidRPr="00EB15ED">
        <w:rPr>
          <w:lang w:val="pl-PL"/>
        </w:rPr>
        <w:t>Toruń miastem nowoczesnej infrastruktury,</w:t>
      </w:r>
    </w:p>
    <w:p w:rsidR="00AE6BCB" w:rsidRPr="00EB15ED" w:rsidRDefault="00A96252" w:rsidP="00A96252">
      <w:pPr>
        <w:spacing w:line="240" w:lineRule="auto"/>
        <w:jc w:val="both"/>
        <w:rPr>
          <w:lang w:val="pl-PL"/>
        </w:rPr>
      </w:pPr>
      <w:r>
        <w:rPr>
          <w:b/>
          <w:lang w:val="pl-PL"/>
        </w:rPr>
        <w:t xml:space="preserve">  </w:t>
      </w:r>
      <w:r w:rsidR="00EB15ED" w:rsidRPr="00EB15ED">
        <w:rPr>
          <w:b/>
          <w:lang w:val="pl-PL"/>
        </w:rPr>
        <w:sym w:font="Symbol" w:char="F0AE"/>
      </w:r>
      <w:r w:rsidR="00AE6BCB" w:rsidRPr="00EB15ED">
        <w:rPr>
          <w:lang w:val="pl-PL"/>
        </w:rPr>
        <w:t>Toruń miastem ładu przestrzennego.</w:t>
      </w:r>
    </w:p>
    <w:p w:rsidR="00AA4728" w:rsidRDefault="00AE6BCB" w:rsidP="00A96252">
      <w:pPr>
        <w:pStyle w:val="ListParagraph"/>
        <w:spacing w:line="240" w:lineRule="auto"/>
        <w:ind w:left="0"/>
        <w:jc w:val="both"/>
        <w:rPr>
          <w:lang w:val="pl-PL"/>
        </w:rPr>
      </w:pPr>
      <w:r>
        <w:rPr>
          <w:lang w:val="pl-PL"/>
        </w:rPr>
        <w:t>Powyższe cele zostały uszczegółowione do 27 celów operacyjnych, którym z kolei przypisano 235 zadań real</w:t>
      </w:r>
      <w:r w:rsidR="00B41B4A">
        <w:rPr>
          <w:lang w:val="pl-PL"/>
        </w:rPr>
        <w:t>izacyjnych. W 2020 r. w ramach s</w:t>
      </w:r>
      <w:r>
        <w:rPr>
          <w:lang w:val="pl-PL"/>
        </w:rPr>
        <w:t>trategii</w:t>
      </w:r>
      <w:r>
        <w:rPr>
          <w:i/>
          <w:lang w:val="pl-PL"/>
        </w:rPr>
        <w:t xml:space="preserve"> </w:t>
      </w:r>
      <w:r>
        <w:rPr>
          <w:lang w:val="pl-PL"/>
        </w:rPr>
        <w:t xml:space="preserve">realizowano w Toruniu wiele zadań społecznych oraz inwestycyjnych. Szereg przedsięwzięć, zwłaszcza ze sfery kulturalnej i szeroko pojętej działalności społecznej, trzeba było jednak ograniczyć z uwagi na obostrzenia związane z pandemią COVID–19. </w:t>
      </w:r>
    </w:p>
    <w:p w:rsidR="00AE6BCB" w:rsidRDefault="00AE6BCB" w:rsidP="00AA4728">
      <w:pPr>
        <w:pStyle w:val="ListParagraph"/>
        <w:spacing w:line="240" w:lineRule="auto"/>
        <w:ind w:left="0"/>
        <w:jc w:val="both"/>
        <w:rPr>
          <w:lang w:val="pl-PL"/>
        </w:rPr>
      </w:pPr>
      <w:r>
        <w:rPr>
          <w:lang w:val="pl-PL"/>
        </w:rPr>
        <w:t>W 2020 r. realizowane m.in. takie zadania, jak:</w:t>
      </w:r>
    </w:p>
    <w:p w:rsidR="00AE6BCB" w:rsidRDefault="00AE6BCB" w:rsidP="00912BD8">
      <w:pPr>
        <w:pStyle w:val="ListParagraph"/>
        <w:numPr>
          <w:ilvl w:val="0"/>
          <w:numId w:val="26"/>
        </w:numPr>
        <w:spacing w:line="240" w:lineRule="auto"/>
        <w:jc w:val="both"/>
        <w:rPr>
          <w:lang w:val="pl-PL"/>
        </w:rPr>
      </w:pPr>
      <w:r w:rsidRPr="00AA4728">
        <w:rPr>
          <w:lang w:val="pl-PL"/>
        </w:rPr>
        <w:t>rewitalizacja obszarów zdegradowanych,</w:t>
      </w:r>
    </w:p>
    <w:p w:rsidR="00AE6BCB" w:rsidRDefault="00AE6BCB" w:rsidP="00912BD8">
      <w:pPr>
        <w:pStyle w:val="ListParagraph"/>
        <w:numPr>
          <w:ilvl w:val="0"/>
          <w:numId w:val="26"/>
        </w:numPr>
        <w:spacing w:line="240" w:lineRule="auto"/>
        <w:jc w:val="both"/>
        <w:rPr>
          <w:lang w:val="pl-PL"/>
        </w:rPr>
      </w:pPr>
      <w:r w:rsidRPr="00AA4728">
        <w:rPr>
          <w:lang w:val="pl-PL"/>
        </w:rPr>
        <w:t>wsparcie finansowe GMT dla organizacji pozarządowych,</w:t>
      </w:r>
    </w:p>
    <w:p w:rsidR="00AE6BCB" w:rsidRDefault="00AE6BCB" w:rsidP="00912BD8">
      <w:pPr>
        <w:pStyle w:val="ListParagraph"/>
        <w:numPr>
          <w:ilvl w:val="0"/>
          <w:numId w:val="26"/>
        </w:numPr>
        <w:spacing w:line="240" w:lineRule="auto"/>
        <w:jc w:val="both"/>
        <w:rPr>
          <w:lang w:val="pl-PL"/>
        </w:rPr>
      </w:pPr>
      <w:r w:rsidRPr="00AA4728">
        <w:rPr>
          <w:lang w:val="pl-PL"/>
        </w:rPr>
        <w:t>wdrażanie programó</w:t>
      </w:r>
      <w:r w:rsidR="00B41B4A">
        <w:rPr>
          <w:lang w:val="pl-PL"/>
        </w:rPr>
        <w:t>w społecznych, w tym dot.</w:t>
      </w:r>
      <w:r w:rsidRPr="00AA4728">
        <w:rPr>
          <w:lang w:val="pl-PL"/>
        </w:rPr>
        <w:t xml:space="preserve"> przeciwdziałaniu bezdomności, uzależnieniom, reintegra</w:t>
      </w:r>
      <w:r w:rsidR="00B41B4A">
        <w:rPr>
          <w:lang w:val="pl-PL"/>
        </w:rPr>
        <w:t xml:space="preserve">cji społecznej i zawodowej osób </w:t>
      </w:r>
      <w:r w:rsidRPr="00AA4728">
        <w:rPr>
          <w:lang w:val="pl-PL"/>
        </w:rPr>
        <w:t>wykluczonych,</w:t>
      </w:r>
    </w:p>
    <w:p w:rsidR="00AE6BCB" w:rsidRDefault="00AE6BCB" w:rsidP="00912BD8">
      <w:pPr>
        <w:pStyle w:val="ListParagraph"/>
        <w:numPr>
          <w:ilvl w:val="0"/>
          <w:numId w:val="26"/>
        </w:numPr>
        <w:spacing w:line="240" w:lineRule="auto"/>
        <w:jc w:val="both"/>
        <w:rPr>
          <w:lang w:val="pl-PL"/>
        </w:rPr>
      </w:pPr>
      <w:r w:rsidRPr="00AA4728">
        <w:rPr>
          <w:lang w:val="pl-PL"/>
        </w:rPr>
        <w:t>realizacja programów wsparcia skierowanych do seniorów i osób niepełnosprawnych,</w:t>
      </w:r>
    </w:p>
    <w:p w:rsidR="00AE6BCB" w:rsidRDefault="00AE6BCB" w:rsidP="00912BD8">
      <w:pPr>
        <w:pStyle w:val="ListParagraph"/>
        <w:numPr>
          <w:ilvl w:val="0"/>
          <w:numId w:val="26"/>
        </w:numPr>
        <w:spacing w:line="240" w:lineRule="auto"/>
        <w:jc w:val="both"/>
        <w:rPr>
          <w:lang w:val="pl-PL"/>
        </w:rPr>
      </w:pPr>
      <w:r w:rsidRPr="00AA4728">
        <w:rPr>
          <w:lang w:val="pl-PL"/>
        </w:rPr>
        <w:t>budowa mieszkań komunalnych i socjalnych,</w:t>
      </w:r>
    </w:p>
    <w:p w:rsidR="00AE6BCB" w:rsidRDefault="00AE6BCB" w:rsidP="00912BD8">
      <w:pPr>
        <w:pStyle w:val="ListParagraph"/>
        <w:numPr>
          <w:ilvl w:val="0"/>
          <w:numId w:val="26"/>
        </w:numPr>
        <w:spacing w:line="240" w:lineRule="auto"/>
        <w:jc w:val="both"/>
        <w:rPr>
          <w:lang w:val="pl-PL"/>
        </w:rPr>
      </w:pPr>
      <w:r w:rsidRPr="00AA4728">
        <w:rPr>
          <w:lang w:val="pl-PL"/>
        </w:rPr>
        <w:t>modernizacja miejskich obiektów sportowych</w:t>
      </w:r>
      <w:r w:rsidR="00B41B4A">
        <w:rPr>
          <w:lang w:val="pl-PL"/>
        </w:rPr>
        <w:t>, m.in. za</w:t>
      </w:r>
      <w:r w:rsidRPr="00AA4728">
        <w:rPr>
          <w:lang w:val="pl-PL"/>
        </w:rPr>
        <w:t>kończono budowę nowej krytej pływalni przy ul. Bażyńskich,</w:t>
      </w:r>
    </w:p>
    <w:p w:rsidR="00AE6BCB" w:rsidRDefault="00AE6BCB" w:rsidP="00912BD8">
      <w:pPr>
        <w:pStyle w:val="ListParagraph"/>
        <w:numPr>
          <w:ilvl w:val="0"/>
          <w:numId w:val="26"/>
        </w:numPr>
        <w:spacing w:line="240" w:lineRule="auto"/>
        <w:jc w:val="both"/>
        <w:rPr>
          <w:lang w:val="pl-PL"/>
        </w:rPr>
      </w:pPr>
      <w:r w:rsidRPr="00AA4728">
        <w:rPr>
          <w:lang w:val="pl-PL"/>
        </w:rPr>
        <w:t>wsparcie finansowe zadań z zakresu upowszechniania kultury fizycznej i rekreacji, organizacja i wspieranie licznych imprez rekreacyjnych i sportowych,</w:t>
      </w:r>
    </w:p>
    <w:p w:rsidR="00AE6BCB" w:rsidRDefault="00AE6BCB" w:rsidP="00912BD8">
      <w:pPr>
        <w:pStyle w:val="ListParagraph"/>
        <w:numPr>
          <w:ilvl w:val="0"/>
          <w:numId w:val="26"/>
        </w:numPr>
        <w:spacing w:line="240" w:lineRule="auto"/>
        <w:jc w:val="both"/>
        <w:rPr>
          <w:lang w:val="pl-PL"/>
        </w:rPr>
      </w:pPr>
      <w:r w:rsidRPr="00AA4728">
        <w:rPr>
          <w:lang w:val="pl-PL"/>
        </w:rPr>
        <w:t xml:space="preserve">przebudowa i rozbudowa dróg, m.in. ukończono przebudowę ul. Łódzkiej oraz </w:t>
      </w:r>
      <w:r w:rsidR="00B41B4A">
        <w:rPr>
          <w:lang w:val="pl-PL"/>
        </w:rPr>
        <w:br/>
      </w:r>
      <w:r w:rsidRPr="00AA4728">
        <w:rPr>
          <w:lang w:val="pl-PL"/>
        </w:rPr>
        <w:t>pl. bp. J. Chrapka,</w:t>
      </w:r>
    </w:p>
    <w:p w:rsidR="00AE6BCB" w:rsidRDefault="00AE6BCB" w:rsidP="00912BD8">
      <w:pPr>
        <w:pStyle w:val="ListParagraph"/>
        <w:numPr>
          <w:ilvl w:val="0"/>
          <w:numId w:val="26"/>
        </w:numPr>
        <w:spacing w:line="240" w:lineRule="auto"/>
        <w:jc w:val="both"/>
        <w:rPr>
          <w:lang w:val="pl-PL"/>
        </w:rPr>
      </w:pPr>
      <w:r w:rsidRPr="00AA4728">
        <w:rPr>
          <w:lang w:val="pl-PL"/>
        </w:rPr>
        <w:lastRenderedPageBreak/>
        <w:t>budowa i modernizacja torowisk i linii tramwajowych,</w:t>
      </w:r>
    </w:p>
    <w:p w:rsidR="00AE6BCB" w:rsidRDefault="00AE6BCB" w:rsidP="00912BD8">
      <w:pPr>
        <w:pStyle w:val="ListParagraph"/>
        <w:numPr>
          <w:ilvl w:val="0"/>
          <w:numId w:val="26"/>
        </w:numPr>
        <w:spacing w:line="240" w:lineRule="auto"/>
        <w:jc w:val="both"/>
        <w:rPr>
          <w:lang w:val="pl-PL"/>
        </w:rPr>
      </w:pPr>
      <w:r w:rsidRPr="00AA4728">
        <w:rPr>
          <w:lang w:val="pl-PL"/>
        </w:rPr>
        <w:t>budowa ścieżek rowerowych,</w:t>
      </w:r>
    </w:p>
    <w:p w:rsidR="00AE6BCB" w:rsidRDefault="00AE6BCB" w:rsidP="00912BD8">
      <w:pPr>
        <w:pStyle w:val="ListParagraph"/>
        <w:numPr>
          <w:ilvl w:val="0"/>
          <w:numId w:val="26"/>
        </w:numPr>
        <w:spacing w:line="240" w:lineRule="auto"/>
        <w:jc w:val="both"/>
        <w:rPr>
          <w:lang w:val="pl-PL"/>
        </w:rPr>
      </w:pPr>
      <w:r w:rsidRPr="00AA4728">
        <w:rPr>
          <w:lang w:val="pl-PL"/>
        </w:rPr>
        <w:t>zakup nowoczesnego, niskoemisyjnego taboru komunikacji publicznej,</w:t>
      </w:r>
    </w:p>
    <w:p w:rsidR="00AE6BCB" w:rsidRDefault="00AE6BCB" w:rsidP="00912BD8">
      <w:pPr>
        <w:pStyle w:val="ListParagraph"/>
        <w:numPr>
          <w:ilvl w:val="0"/>
          <w:numId w:val="26"/>
        </w:numPr>
        <w:spacing w:line="240" w:lineRule="auto"/>
        <w:jc w:val="both"/>
        <w:rPr>
          <w:lang w:val="pl-PL"/>
        </w:rPr>
      </w:pPr>
      <w:r w:rsidRPr="00AA4728">
        <w:rPr>
          <w:lang w:val="pl-PL"/>
        </w:rPr>
        <w:t>pozyskanie dofinansowania ze środków UE dla przedsięwzięć z zakresu infrastruktury badawczo-rozwojowej dla przemysłu kosmicznego: „Toruń Space Labs”, „Toruń Edu Hub”,</w:t>
      </w:r>
    </w:p>
    <w:p w:rsidR="00AE6BCB" w:rsidRDefault="00AE6BCB" w:rsidP="00912BD8">
      <w:pPr>
        <w:pStyle w:val="ListParagraph"/>
        <w:numPr>
          <w:ilvl w:val="0"/>
          <w:numId w:val="26"/>
        </w:numPr>
        <w:spacing w:line="240" w:lineRule="auto"/>
        <w:jc w:val="both"/>
        <w:rPr>
          <w:lang w:val="pl-PL"/>
        </w:rPr>
      </w:pPr>
      <w:r w:rsidRPr="00AA4728">
        <w:rPr>
          <w:lang w:val="pl-PL"/>
        </w:rPr>
        <w:t>udział w projekcie samorządu województwa kujawsko-pomorskiego „Infostrada Pomorza i Kujaw”,</w:t>
      </w:r>
    </w:p>
    <w:p w:rsidR="00AE6BCB" w:rsidRDefault="00AE6BCB" w:rsidP="00912BD8">
      <w:pPr>
        <w:pStyle w:val="ListParagraph"/>
        <w:numPr>
          <w:ilvl w:val="0"/>
          <w:numId w:val="26"/>
        </w:numPr>
        <w:spacing w:line="240" w:lineRule="auto"/>
        <w:jc w:val="both"/>
        <w:rPr>
          <w:lang w:val="pl-PL"/>
        </w:rPr>
      </w:pPr>
      <w:r w:rsidRPr="00AA4728">
        <w:rPr>
          <w:lang w:val="pl-PL"/>
        </w:rPr>
        <w:t xml:space="preserve">realizacja projektów promujących potencjał gospodarczy, m.in. „Invest in BiT City 2”, </w:t>
      </w:r>
    </w:p>
    <w:p w:rsidR="00AE6BCB" w:rsidRDefault="00AE6BCB" w:rsidP="00912BD8">
      <w:pPr>
        <w:pStyle w:val="ListParagraph"/>
        <w:numPr>
          <w:ilvl w:val="0"/>
          <w:numId w:val="26"/>
        </w:numPr>
        <w:spacing w:line="240" w:lineRule="auto"/>
        <w:jc w:val="both"/>
        <w:rPr>
          <w:lang w:val="pl-PL"/>
        </w:rPr>
      </w:pPr>
      <w:r w:rsidRPr="00AA4728">
        <w:rPr>
          <w:lang w:val="pl-PL"/>
        </w:rPr>
        <w:t>wspieranie małej i średniej przedsiębiorczości,</w:t>
      </w:r>
    </w:p>
    <w:p w:rsidR="00AE6BCB" w:rsidRDefault="00AE6BCB" w:rsidP="00912BD8">
      <w:pPr>
        <w:pStyle w:val="ListParagraph"/>
        <w:numPr>
          <w:ilvl w:val="0"/>
          <w:numId w:val="26"/>
        </w:numPr>
        <w:spacing w:line="240" w:lineRule="auto"/>
        <w:jc w:val="both"/>
        <w:rPr>
          <w:lang w:val="pl-PL"/>
        </w:rPr>
      </w:pPr>
      <w:r w:rsidRPr="00AA4728">
        <w:rPr>
          <w:lang w:val="pl-PL"/>
        </w:rPr>
        <w:t xml:space="preserve">realizacja przedsięwzięć z zakresu zagospodarowania i odnowy terenów zieleni </w:t>
      </w:r>
      <w:r w:rsidR="00380101">
        <w:rPr>
          <w:lang w:val="pl-PL"/>
        </w:rPr>
        <w:br/>
      </w:r>
      <w:r w:rsidRPr="00AA4728">
        <w:rPr>
          <w:lang w:val="pl-PL"/>
        </w:rPr>
        <w:t>i parków miejskich,</w:t>
      </w:r>
    </w:p>
    <w:p w:rsidR="00AE6BCB" w:rsidRDefault="00AE6BCB" w:rsidP="00912BD8">
      <w:pPr>
        <w:pStyle w:val="ListParagraph"/>
        <w:numPr>
          <w:ilvl w:val="0"/>
          <w:numId w:val="26"/>
        </w:numPr>
        <w:spacing w:line="240" w:lineRule="auto"/>
        <w:jc w:val="both"/>
        <w:rPr>
          <w:lang w:val="pl-PL"/>
        </w:rPr>
      </w:pPr>
      <w:r w:rsidRPr="00AA4728">
        <w:rPr>
          <w:lang w:val="pl-PL"/>
        </w:rPr>
        <w:t>rozbudowa Zakładu Unieszkodliwiania Odpadów Komunalnych</w:t>
      </w:r>
      <w:r w:rsidR="00AA4728">
        <w:rPr>
          <w:lang w:val="pl-PL"/>
        </w:rPr>
        <w:t>,</w:t>
      </w:r>
    </w:p>
    <w:p w:rsidR="00AE6BCB" w:rsidRDefault="00AE6BCB" w:rsidP="00912BD8">
      <w:pPr>
        <w:pStyle w:val="ListParagraph"/>
        <w:numPr>
          <w:ilvl w:val="0"/>
          <w:numId w:val="26"/>
        </w:numPr>
        <w:spacing w:line="240" w:lineRule="auto"/>
        <w:jc w:val="both"/>
        <w:rPr>
          <w:lang w:val="pl-PL"/>
        </w:rPr>
      </w:pPr>
      <w:r w:rsidRPr="00AA4728">
        <w:rPr>
          <w:lang w:val="pl-PL"/>
        </w:rPr>
        <w:t>organizacja i wdrażanie systemu selektywnej zbiórki odpadów na terenie miasta,</w:t>
      </w:r>
    </w:p>
    <w:p w:rsidR="00AE6BCB" w:rsidRDefault="00AE6BCB" w:rsidP="00912BD8">
      <w:pPr>
        <w:pStyle w:val="ListParagraph"/>
        <w:numPr>
          <w:ilvl w:val="0"/>
          <w:numId w:val="26"/>
        </w:numPr>
        <w:spacing w:line="240" w:lineRule="auto"/>
        <w:jc w:val="both"/>
        <w:rPr>
          <w:lang w:val="pl-PL"/>
        </w:rPr>
      </w:pPr>
      <w:r w:rsidRPr="00AA4728">
        <w:rPr>
          <w:lang w:val="pl-PL"/>
        </w:rPr>
        <w:t>modernizacja i rozbudowa sieci wodociągowej, kanalizacyjnej oraz ciepłowniczej,</w:t>
      </w:r>
    </w:p>
    <w:p w:rsidR="00AE6BCB" w:rsidRDefault="00AE6BCB" w:rsidP="00912BD8">
      <w:pPr>
        <w:pStyle w:val="ListParagraph"/>
        <w:numPr>
          <w:ilvl w:val="0"/>
          <w:numId w:val="26"/>
        </w:numPr>
        <w:spacing w:line="240" w:lineRule="auto"/>
        <w:jc w:val="both"/>
        <w:rPr>
          <w:lang w:val="pl-PL"/>
        </w:rPr>
      </w:pPr>
      <w:r w:rsidRPr="00AA4728">
        <w:rPr>
          <w:lang w:val="pl-PL"/>
        </w:rPr>
        <w:t>wsparcie finansowe dla likwidacji źródeł niskiej emisji oraz poprawy jakości powietrza,</w:t>
      </w:r>
    </w:p>
    <w:p w:rsidR="00AE6BCB" w:rsidRDefault="00AE6BCB" w:rsidP="00912BD8">
      <w:pPr>
        <w:pStyle w:val="ListParagraph"/>
        <w:numPr>
          <w:ilvl w:val="0"/>
          <w:numId w:val="26"/>
        </w:numPr>
        <w:spacing w:line="240" w:lineRule="auto"/>
        <w:jc w:val="both"/>
        <w:rPr>
          <w:lang w:val="pl-PL"/>
        </w:rPr>
      </w:pPr>
      <w:r w:rsidRPr="00AA4728">
        <w:rPr>
          <w:lang w:val="pl-PL"/>
        </w:rPr>
        <w:t xml:space="preserve">termomodernizacja i instalacja odnawialnych źródeł energii w budynkach użyteczności publicznej w tym, m.in. termomodernizacja Specjalistycznego Szpitala Miejskiego, przedszkoli i szkół publicznych, ośrodków pomocy społecznej i placówek opiekuńczo-wychowawczych oraz budynków administracji publicznej, </w:t>
      </w:r>
    </w:p>
    <w:p w:rsidR="00AE6BCB" w:rsidRDefault="00B41B4A" w:rsidP="00912BD8">
      <w:pPr>
        <w:pStyle w:val="ListParagraph"/>
        <w:numPr>
          <w:ilvl w:val="0"/>
          <w:numId w:val="26"/>
        </w:numPr>
        <w:spacing w:line="240" w:lineRule="auto"/>
        <w:jc w:val="both"/>
        <w:rPr>
          <w:lang w:val="pl-PL"/>
        </w:rPr>
      </w:pPr>
      <w:r>
        <w:rPr>
          <w:lang w:val="pl-PL"/>
        </w:rPr>
        <w:t>rozbudowa</w:t>
      </w:r>
      <w:r w:rsidR="00AE6BCB" w:rsidRPr="00AA4728">
        <w:rPr>
          <w:lang w:val="pl-PL"/>
        </w:rPr>
        <w:t xml:space="preserve"> Specjalistycznego Szpit</w:t>
      </w:r>
      <w:r>
        <w:rPr>
          <w:lang w:val="pl-PL"/>
        </w:rPr>
        <w:t>ala Miejskiego im. M. Kopernika</w:t>
      </w:r>
      <w:r w:rsidR="00AE6BCB" w:rsidRPr="00AA4728">
        <w:rPr>
          <w:lang w:val="pl-PL"/>
        </w:rPr>
        <w:t xml:space="preserve"> o nowy budynek szpitalny,</w:t>
      </w:r>
    </w:p>
    <w:p w:rsidR="00AE6BCB" w:rsidRDefault="00B41B4A" w:rsidP="00B41B4A">
      <w:pPr>
        <w:pStyle w:val="ListParagraph"/>
        <w:spacing w:line="240" w:lineRule="auto"/>
        <w:ind w:left="720"/>
        <w:jc w:val="both"/>
        <w:rPr>
          <w:lang w:val="pl-PL"/>
        </w:rPr>
      </w:pPr>
      <w:r>
        <w:rPr>
          <w:lang w:val="pl-PL"/>
        </w:rPr>
        <w:t>rozbudowa</w:t>
      </w:r>
      <w:r w:rsidR="00AE6BCB" w:rsidRPr="00AA4728">
        <w:rPr>
          <w:lang w:val="pl-PL"/>
        </w:rPr>
        <w:t xml:space="preserve"> Zakładu Pielęgnacyjno-Opiekuńczego,</w:t>
      </w:r>
    </w:p>
    <w:p w:rsidR="00AE6BCB" w:rsidRDefault="00AE6BCB" w:rsidP="00912BD8">
      <w:pPr>
        <w:pStyle w:val="ListParagraph"/>
        <w:numPr>
          <w:ilvl w:val="0"/>
          <w:numId w:val="26"/>
        </w:numPr>
        <w:spacing w:line="240" w:lineRule="auto"/>
        <w:jc w:val="both"/>
        <w:rPr>
          <w:lang w:val="pl-PL"/>
        </w:rPr>
      </w:pPr>
      <w:r w:rsidRPr="00AA4728">
        <w:rPr>
          <w:lang w:val="pl-PL"/>
        </w:rPr>
        <w:t xml:space="preserve">wdrażanie programów profilaktycznych z zakresu ochrony zdrowia, </w:t>
      </w:r>
    </w:p>
    <w:p w:rsidR="00AE6BCB" w:rsidRDefault="00AE6BCB" w:rsidP="00912BD8">
      <w:pPr>
        <w:pStyle w:val="ListParagraph"/>
        <w:numPr>
          <w:ilvl w:val="0"/>
          <w:numId w:val="26"/>
        </w:numPr>
        <w:spacing w:line="240" w:lineRule="auto"/>
        <w:jc w:val="both"/>
        <w:rPr>
          <w:lang w:val="pl-PL"/>
        </w:rPr>
      </w:pPr>
      <w:r w:rsidRPr="00AA4728">
        <w:rPr>
          <w:lang w:val="pl-PL"/>
        </w:rPr>
        <w:t>realizacja programów stypendialnych dla uczniów, w tym motywacyjne dla uczniów szczególnie uzdolnionych,</w:t>
      </w:r>
    </w:p>
    <w:p w:rsidR="00AE6BCB" w:rsidRDefault="00AE6BCB" w:rsidP="00912BD8">
      <w:pPr>
        <w:pStyle w:val="ListParagraph"/>
        <w:numPr>
          <w:ilvl w:val="0"/>
          <w:numId w:val="26"/>
        </w:numPr>
        <w:spacing w:line="240" w:lineRule="auto"/>
        <w:jc w:val="both"/>
        <w:rPr>
          <w:lang w:val="pl-PL"/>
        </w:rPr>
      </w:pPr>
      <w:r w:rsidRPr="00AA4728">
        <w:rPr>
          <w:lang w:val="pl-PL"/>
        </w:rPr>
        <w:t>zakup pomocy dydaktycznych dla toruńskich szkół,</w:t>
      </w:r>
    </w:p>
    <w:p w:rsidR="00AE6BCB" w:rsidRDefault="00B41B4A" w:rsidP="00912BD8">
      <w:pPr>
        <w:pStyle w:val="ListParagraph"/>
        <w:numPr>
          <w:ilvl w:val="0"/>
          <w:numId w:val="26"/>
        </w:numPr>
        <w:spacing w:line="240" w:lineRule="auto"/>
        <w:jc w:val="both"/>
        <w:rPr>
          <w:lang w:val="pl-PL"/>
        </w:rPr>
      </w:pPr>
      <w:r>
        <w:rPr>
          <w:lang w:val="pl-PL"/>
        </w:rPr>
        <w:t>rozbudowa</w:t>
      </w:r>
      <w:r w:rsidR="00AE6BCB" w:rsidRPr="00AA4728">
        <w:rPr>
          <w:lang w:val="pl-PL"/>
        </w:rPr>
        <w:t xml:space="preserve"> Teatru Baj Pomorski,</w:t>
      </w:r>
    </w:p>
    <w:p w:rsidR="00AE6BCB" w:rsidRDefault="00AE6BCB" w:rsidP="00912BD8">
      <w:pPr>
        <w:pStyle w:val="ListParagraph"/>
        <w:numPr>
          <w:ilvl w:val="0"/>
          <w:numId w:val="26"/>
        </w:numPr>
        <w:spacing w:line="240" w:lineRule="auto"/>
        <w:jc w:val="both"/>
        <w:rPr>
          <w:lang w:val="pl-PL"/>
        </w:rPr>
      </w:pPr>
      <w:r w:rsidRPr="00AA4728">
        <w:rPr>
          <w:lang w:val="pl-PL"/>
        </w:rPr>
        <w:t>prace remontowe w Dworze Artusa,</w:t>
      </w:r>
    </w:p>
    <w:p w:rsidR="00AE6BCB" w:rsidRDefault="00AE6BCB" w:rsidP="00912BD8">
      <w:pPr>
        <w:pStyle w:val="ListParagraph"/>
        <w:numPr>
          <w:ilvl w:val="0"/>
          <w:numId w:val="26"/>
        </w:numPr>
        <w:spacing w:line="240" w:lineRule="auto"/>
        <w:jc w:val="both"/>
        <w:rPr>
          <w:lang w:val="pl-PL"/>
        </w:rPr>
      </w:pPr>
      <w:r w:rsidRPr="00AA4728">
        <w:rPr>
          <w:lang w:val="pl-PL"/>
        </w:rPr>
        <w:t>realizacja projektu: „Toruńska Starówka – ochrona i konserwacja dziedzictwa kulturowego UNESCO etap II”, w tym m.in. prace konserwatorskie i remontowe muru przy Stawie Komtura, oficyny dawnego Pałacu Meissnera, Dworu Mieszczańskiego, Pałacu Dąmbskich, Domu Kopernika, Zamku Krzyżackiego, dawnego zboru ewangelickiego na Rynku Nowomiejskim, zabytkowych kościołów i innych,</w:t>
      </w:r>
    </w:p>
    <w:p w:rsidR="00AE6BCB" w:rsidRDefault="00AE6BCB" w:rsidP="00912BD8">
      <w:pPr>
        <w:pStyle w:val="ListParagraph"/>
        <w:numPr>
          <w:ilvl w:val="0"/>
          <w:numId w:val="26"/>
        </w:numPr>
        <w:spacing w:line="240" w:lineRule="auto"/>
        <w:jc w:val="both"/>
        <w:rPr>
          <w:lang w:val="pl-PL"/>
        </w:rPr>
      </w:pPr>
      <w:r w:rsidRPr="00AA4728">
        <w:rPr>
          <w:lang w:val="pl-PL"/>
        </w:rPr>
        <w:t>realizacja projektu: „Kultura w zasięgu 2.0”,</w:t>
      </w:r>
    </w:p>
    <w:p w:rsidR="00AE6BCB" w:rsidRDefault="00AE6BCB" w:rsidP="00912BD8">
      <w:pPr>
        <w:pStyle w:val="ListParagraph"/>
        <w:numPr>
          <w:ilvl w:val="0"/>
          <w:numId w:val="26"/>
        </w:numPr>
        <w:spacing w:line="240" w:lineRule="auto"/>
        <w:jc w:val="both"/>
        <w:rPr>
          <w:lang w:val="pl-PL"/>
        </w:rPr>
      </w:pPr>
      <w:r w:rsidRPr="00AA4728">
        <w:rPr>
          <w:lang w:val="pl-PL"/>
        </w:rPr>
        <w:t>organizacja, współorganizacja oraz wsparcie finansowe dla imprez i wydarzeń kulturalnych, takich jak m.in.: Bella Skyway Festiwal, Festiwal Sztuki Faktu, Forte Artus Festival, Międzynarodowy Festiwal Teatrów Lalek Spotkania, Fest</w:t>
      </w:r>
      <w:r w:rsidR="00B41B4A">
        <w:rPr>
          <w:lang w:val="pl-PL"/>
        </w:rPr>
        <w:t>iwal Teatrów Ulicznych i inne (</w:t>
      </w:r>
      <w:r w:rsidRPr="00AA4728">
        <w:rPr>
          <w:lang w:val="pl-PL"/>
        </w:rPr>
        <w:t>z powodu pandemii COVID-19 wiele z powyższych wydarzeń zostało przesuniętych na inny termin</w:t>
      </w:r>
      <w:r w:rsidR="00B41B4A">
        <w:rPr>
          <w:lang w:val="pl-PL"/>
        </w:rPr>
        <w:t>)</w:t>
      </w:r>
      <w:r w:rsidRPr="00AA4728">
        <w:rPr>
          <w:lang w:val="pl-PL"/>
        </w:rPr>
        <w:t>,</w:t>
      </w:r>
    </w:p>
    <w:p w:rsidR="00AE6BCB" w:rsidRPr="00AA4728" w:rsidRDefault="00AE6BCB" w:rsidP="00912BD8">
      <w:pPr>
        <w:pStyle w:val="ListParagraph"/>
        <w:numPr>
          <w:ilvl w:val="0"/>
          <w:numId w:val="26"/>
        </w:numPr>
        <w:spacing w:line="240" w:lineRule="auto"/>
        <w:jc w:val="both"/>
        <w:rPr>
          <w:lang w:val="pl-PL"/>
        </w:rPr>
      </w:pPr>
      <w:r w:rsidRPr="00AA4728">
        <w:rPr>
          <w:lang w:val="pl-PL"/>
        </w:rPr>
        <w:t>dotacje na prace konserwatorskie, restauratorskie i roboty budowlane przy zabytkach wpisanych do rejestru zabytków.</w:t>
      </w:r>
    </w:p>
    <w:p w:rsidR="00AE6BCB" w:rsidRDefault="00AE6BCB" w:rsidP="009C7C02">
      <w:pPr>
        <w:spacing w:line="240" w:lineRule="auto"/>
        <w:ind w:left="142" w:hanging="142"/>
        <w:jc w:val="both"/>
        <w:rPr>
          <w:lang w:val="pl-PL"/>
        </w:rPr>
      </w:pPr>
    </w:p>
    <w:p w:rsidR="00AE6BCB" w:rsidRDefault="00380101" w:rsidP="00F155F0">
      <w:pPr>
        <w:pStyle w:val="Nagwek1"/>
        <w:numPr>
          <w:ilvl w:val="0"/>
          <w:numId w:val="0"/>
        </w:numPr>
        <w:spacing w:line="240" w:lineRule="auto"/>
        <w:ind w:left="432" w:hanging="432"/>
        <w:rPr>
          <w:szCs w:val="24"/>
          <w:lang w:val="pl-PL"/>
        </w:rPr>
      </w:pPr>
      <w:bookmarkStart w:id="220" w:name="__RefHeading__32064_2082197896"/>
      <w:bookmarkStart w:id="221" w:name="_Toc69477755"/>
      <w:bookmarkStart w:id="222" w:name="_Toc69372303"/>
      <w:bookmarkEnd w:id="220"/>
      <w:r>
        <w:rPr>
          <w:color w:val="0070C0"/>
          <w:lang w:val="pl-PL"/>
        </w:rPr>
        <w:t>XIX</w:t>
      </w:r>
      <w:r w:rsidR="00F155F0">
        <w:rPr>
          <w:color w:val="0070C0"/>
          <w:lang w:val="pl-PL"/>
        </w:rPr>
        <w:t xml:space="preserve">. </w:t>
      </w:r>
      <w:r w:rsidR="00AE6BCB">
        <w:rPr>
          <w:color w:val="0070C0"/>
          <w:lang w:val="pl-PL"/>
        </w:rPr>
        <w:t>DZIAŁANIA W OBSZARZE CENTRUM MIASTA (TCM)</w:t>
      </w:r>
      <w:bookmarkEnd w:id="221"/>
      <w:bookmarkEnd w:id="222"/>
    </w:p>
    <w:p w:rsidR="00AE6BCB" w:rsidRDefault="00AE6BCB" w:rsidP="009C7C02">
      <w:pPr>
        <w:spacing w:line="240" w:lineRule="auto"/>
        <w:jc w:val="both"/>
        <w:rPr>
          <w:lang w:val="pl-PL"/>
        </w:rPr>
      </w:pPr>
    </w:p>
    <w:p w:rsidR="00C913ED" w:rsidRPr="00C913ED" w:rsidRDefault="00AE6BCB" w:rsidP="009C7C02">
      <w:pPr>
        <w:pStyle w:val="NoSpacing"/>
        <w:spacing w:line="240" w:lineRule="auto"/>
        <w:ind w:firstLine="709"/>
        <w:jc w:val="both"/>
        <w:rPr>
          <w:b/>
          <w:sz w:val="24"/>
          <w:szCs w:val="24"/>
        </w:rPr>
      </w:pPr>
      <w:r>
        <w:rPr>
          <w:rFonts w:ascii="Times New Roman" w:hAnsi="Times New Roman"/>
          <w:sz w:val="24"/>
          <w:szCs w:val="24"/>
        </w:rPr>
        <w:t xml:space="preserve">W 2020 r. kontynuowano przyjęty zarządzeniem Prezydenta Miasta Torunia </w:t>
      </w:r>
      <w:r>
        <w:rPr>
          <w:rFonts w:ascii="Times New Roman" w:hAnsi="Times New Roman"/>
          <w:b/>
          <w:sz w:val="24"/>
          <w:szCs w:val="24"/>
        </w:rPr>
        <w:t xml:space="preserve">„Program działań społeczno-gospodarczych dla zespołu staromiejskiego w Toruniu”, </w:t>
      </w:r>
      <w:r>
        <w:rPr>
          <w:rFonts w:ascii="Times New Roman" w:hAnsi="Times New Roman"/>
          <w:sz w:val="24"/>
          <w:szCs w:val="24"/>
        </w:rPr>
        <w:lastRenderedPageBreak/>
        <w:t>poprzez realizację 59 zadań w 11 działach tematycznych. Działania w zakresie realizacji Programu koncentrowały się w 2020 r. wokół dwóch celów:</w:t>
      </w:r>
    </w:p>
    <w:p w:rsidR="00AE6BCB" w:rsidRDefault="00C913ED" w:rsidP="009C7C02">
      <w:pPr>
        <w:pStyle w:val="ListParagraph"/>
        <w:tabs>
          <w:tab w:val="left" w:pos="142"/>
        </w:tabs>
        <w:spacing w:line="240" w:lineRule="auto"/>
        <w:ind w:left="0"/>
        <w:jc w:val="both"/>
        <w:rPr>
          <w:lang w:val="pl-PL"/>
        </w:rPr>
      </w:pPr>
      <w:r>
        <w:rPr>
          <w:b/>
          <w:lang w:val="pl-PL"/>
        </w:rPr>
        <w:t xml:space="preserve">1. </w:t>
      </w:r>
      <w:r w:rsidR="00AE6BCB">
        <w:rPr>
          <w:b/>
          <w:lang w:val="pl-PL"/>
        </w:rPr>
        <w:t>Aktywizacja obszaru społeczno-gospodarczego w ramach Toruńskiego Centrum Miasta, w tym wsparcie przedsiębiorców w sytuacji kryzysowej, wywołanej epidemią</w:t>
      </w:r>
      <w:r w:rsidR="00AE6BCB">
        <w:rPr>
          <w:lang w:val="pl-PL"/>
        </w:rPr>
        <w:t>.</w:t>
      </w:r>
      <w:bookmarkStart w:id="223" w:name="_Toc59093634"/>
      <w:r w:rsidR="00AE6BCB">
        <w:rPr>
          <w:lang w:val="pl-PL"/>
        </w:rPr>
        <w:t xml:space="preserve"> </w:t>
      </w:r>
      <w:r w:rsidR="00380101">
        <w:rPr>
          <w:lang w:val="pl-PL"/>
        </w:rPr>
        <w:br/>
      </w:r>
      <w:r w:rsidR="00AE6BCB">
        <w:rPr>
          <w:lang w:val="pl-PL"/>
        </w:rPr>
        <w:t xml:space="preserve">W 2020 r. wiele grup zawodowych i społecznych tworzących społeczność użytkowników zespołu staromiejskiego znalazło się w szczególnie trudnych warunkach związanych </w:t>
      </w:r>
      <w:r w:rsidR="00380101">
        <w:rPr>
          <w:lang w:val="pl-PL"/>
        </w:rPr>
        <w:br/>
      </w:r>
      <w:r w:rsidR="00AE6BCB">
        <w:rPr>
          <w:lang w:val="pl-PL"/>
        </w:rPr>
        <w:t xml:space="preserve">z ograniczeniem turystyki i funkcjonowania niektórych branż w czasie pandemii COVID–19. W odpowiedzi na sytuacje kryzysową miasto uruchomiło różne formy wsparcia w ramach programu </w:t>
      </w:r>
      <w:r w:rsidR="00B41B4A">
        <w:rPr>
          <w:lang w:val="pl-PL"/>
        </w:rPr>
        <w:t>„</w:t>
      </w:r>
      <w:r w:rsidR="00AE6BCB">
        <w:rPr>
          <w:lang w:val="pl-PL"/>
        </w:rPr>
        <w:t>Toruń dla przedsiębiorców</w:t>
      </w:r>
      <w:bookmarkEnd w:id="223"/>
      <w:r w:rsidR="00B41B4A">
        <w:rPr>
          <w:lang w:val="pl-PL"/>
        </w:rPr>
        <w:t>”</w:t>
      </w:r>
      <w:r w:rsidR="00AE6BCB">
        <w:rPr>
          <w:lang w:val="pl-PL"/>
        </w:rPr>
        <w:t>. W ramach działań realizowanych przez BTCM zastosowano:</w:t>
      </w:r>
    </w:p>
    <w:p w:rsidR="00AE6BCB" w:rsidRDefault="00AE6BCB" w:rsidP="00912BD8">
      <w:pPr>
        <w:numPr>
          <w:ilvl w:val="0"/>
          <w:numId w:val="5"/>
        </w:numPr>
        <w:spacing w:line="240" w:lineRule="auto"/>
        <w:ind w:left="0" w:firstLine="340"/>
        <w:jc w:val="both"/>
        <w:rPr>
          <w:lang w:val="pl-PL"/>
        </w:rPr>
      </w:pPr>
      <w:bookmarkStart w:id="224" w:name="_Toc59093638"/>
      <w:r>
        <w:rPr>
          <w:lang w:val="pl-PL"/>
        </w:rPr>
        <w:t>obniżenie stawek najmu/dzierżawy terenu dróg wewnętrznych zespołu staromiejskiego, udostępnianych na letnie ogródki gastronomiczne</w:t>
      </w:r>
      <w:bookmarkEnd w:id="224"/>
      <w:r>
        <w:rPr>
          <w:lang w:val="pl-PL"/>
        </w:rPr>
        <w:t>;</w:t>
      </w:r>
    </w:p>
    <w:p w:rsidR="00AE6BCB" w:rsidRDefault="00AE6BCB" w:rsidP="00912BD8">
      <w:pPr>
        <w:numPr>
          <w:ilvl w:val="0"/>
          <w:numId w:val="5"/>
        </w:numPr>
        <w:spacing w:line="240" w:lineRule="auto"/>
        <w:ind w:left="0" w:firstLine="340"/>
        <w:jc w:val="both"/>
        <w:rPr>
          <w:lang w:val="pl-PL"/>
        </w:rPr>
      </w:pPr>
      <w:bookmarkStart w:id="225" w:name="_Toc59093639"/>
      <w:r>
        <w:rPr>
          <w:lang w:val="pl-PL"/>
        </w:rPr>
        <w:t>obniżenie stawek najmu/dzierżawy terenu dróg wewnętrznych zespołu staromiejskiego, udostępnianych na stoiska handlowe</w:t>
      </w:r>
      <w:bookmarkEnd w:id="225"/>
      <w:r>
        <w:rPr>
          <w:lang w:val="pl-PL"/>
        </w:rPr>
        <w:t>;</w:t>
      </w:r>
    </w:p>
    <w:p w:rsidR="00AE6BCB" w:rsidRDefault="00AE6BCB" w:rsidP="00912BD8">
      <w:pPr>
        <w:numPr>
          <w:ilvl w:val="0"/>
          <w:numId w:val="5"/>
        </w:numPr>
        <w:spacing w:line="240" w:lineRule="auto"/>
        <w:ind w:left="0" w:firstLine="340"/>
        <w:jc w:val="both"/>
        <w:rPr>
          <w:lang w:val="pl-PL"/>
        </w:rPr>
      </w:pPr>
      <w:bookmarkStart w:id="226" w:name="_Toc59093640"/>
      <w:r>
        <w:rPr>
          <w:lang w:val="pl-PL"/>
        </w:rPr>
        <w:t>wsparcie pozafinansowe branż:</w:t>
      </w:r>
      <w:bookmarkEnd w:id="226"/>
      <w:r>
        <w:rPr>
          <w:lang w:val="pl-PL"/>
        </w:rPr>
        <w:t xml:space="preserve"> </w:t>
      </w:r>
    </w:p>
    <w:p w:rsidR="00AE6BCB" w:rsidRDefault="00AE6BCB" w:rsidP="00912BD8">
      <w:pPr>
        <w:numPr>
          <w:ilvl w:val="0"/>
          <w:numId w:val="27"/>
        </w:numPr>
        <w:spacing w:line="240" w:lineRule="auto"/>
        <w:jc w:val="both"/>
        <w:rPr>
          <w:lang w:val="pl-PL"/>
        </w:rPr>
      </w:pPr>
      <w:r w:rsidRPr="00AA4728">
        <w:rPr>
          <w:lang w:val="pl-PL"/>
        </w:rPr>
        <w:t xml:space="preserve">kontynuowano i rozwijano program lojalnościowy „Moja starówk@” – w 2020 r. w ramach programu funkcjonowało 100 podmiotów gospodarczych z obszaru </w:t>
      </w:r>
      <w:r w:rsidR="00AA4728">
        <w:rPr>
          <w:lang w:val="pl-PL"/>
        </w:rPr>
        <w:t>toruńskiej starówki,</w:t>
      </w:r>
    </w:p>
    <w:p w:rsidR="00AE6BCB" w:rsidRDefault="00AE6BCB" w:rsidP="00912BD8">
      <w:pPr>
        <w:numPr>
          <w:ilvl w:val="0"/>
          <w:numId w:val="27"/>
        </w:numPr>
        <w:spacing w:line="240" w:lineRule="auto"/>
        <w:jc w:val="both"/>
        <w:rPr>
          <w:lang w:val="pl-PL"/>
        </w:rPr>
      </w:pPr>
      <w:r w:rsidRPr="00AA4728">
        <w:rPr>
          <w:lang w:val="pl-PL"/>
        </w:rPr>
        <w:t>kontynuowano nową funkcjonalność karty lojalnościowej poprzez możliwość dodania karty do elektroniczne</w:t>
      </w:r>
      <w:r w:rsidR="00AA4728">
        <w:rPr>
          <w:lang w:val="pl-PL"/>
        </w:rPr>
        <w:t>go portfela w aplikacji Stocard,</w:t>
      </w:r>
    </w:p>
    <w:p w:rsidR="00AE6BCB" w:rsidRDefault="00DB1FDA" w:rsidP="00912BD8">
      <w:pPr>
        <w:numPr>
          <w:ilvl w:val="0"/>
          <w:numId w:val="27"/>
        </w:numPr>
        <w:spacing w:line="240" w:lineRule="auto"/>
        <w:jc w:val="both"/>
        <w:rPr>
          <w:lang w:val="pl-PL"/>
        </w:rPr>
      </w:pPr>
      <w:r>
        <w:rPr>
          <w:lang w:val="pl-PL"/>
        </w:rPr>
        <w:t>uruchomiono stronę internetową, poświęconą</w:t>
      </w:r>
      <w:r w:rsidR="00AE6BCB" w:rsidRPr="00AA4728">
        <w:rPr>
          <w:lang w:val="pl-PL"/>
        </w:rPr>
        <w:t xml:space="preserve"> programowi lojalnościowemu </w:t>
      </w:r>
      <w:r>
        <w:rPr>
          <w:lang w:val="pl-PL"/>
        </w:rPr>
        <w:t xml:space="preserve"> umożliwiającą</w:t>
      </w:r>
      <w:r w:rsidR="00AE6BCB" w:rsidRPr="00AA4728">
        <w:rPr>
          <w:lang w:val="pl-PL"/>
        </w:rPr>
        <w:t xml:space="preserve"> przeglądanie ofert oraz przejście </w:t>
      </w:r>
      <w:r>
        <w:rPr>
          <w:lang w:val="pl-PL"/>
        </w:rPr>
        <w:t>na strony z zamówieniami on</w:t>
      </w:r>
      <w:r w:rsidR="00B41B4A">
        <w:rPr>
          <w:lang w:val="pl-PL"/>
        </w:rPr>
        <w:t>-</w:t>
      </w:r>
      <w:r>
        <w:rPr>
          <w:lang w:val="pl-PL"/>
        </w:rPr>
        <w:t>line. P</w:t>
      </w:r>
      <w:r w:rsidR="00AE6BCB" w:rsidRPr="00AA4728">
        <w:rPr>
          <w:lang w:val="pl-PL"/>
        </w:rPr>
        <w:t>onadto w grudniu 2020 r., z uwagi na brak możliwości zorganizowania Toruńskiego Jarmarku Bożonarodzeniowego w tradycyjnej formie, strona prezentowała podmioty staromiejskiego z ofertą świąteczną w ramach Wirtualn</w:t>
      </w:r>
      <w:r w:rsidR="00AA4728">
        <w:rPr>
          <w:lang w:val="pl-PL"/>
        </w:rPr>
        <w:t>ego Jarmarku Bożonarodzeniowego,</w:t>
      </w:r>
    </w:p>
    <w:p w:rsidR="00AE6BCB" w:rsidRDefault="00DB1FDA" w:rsidP="00912BD8">
      <w:pPr>
        <w:numPr>
          <w:ilvl w:val="0"/>
          <w:numId w:val="27"/>
        </w:numPr>
        <w:spacing w:line="240" w:lineRule="auto"/>
        <w:jc w:val="both"/>
        <w:rPr>
          <w:lang w:val="pl-PL"/>
        </w:rPr>
      </w:pPr>
      <w:r>
        <w:rPr>
          <w:lang w:val="pl-PL"/>
        </w:rPr>
        <w:t>wydano publikację albumową</w:t>
      </w:r>
      <w:r w:rsidR="00AE6BCB" w:rsidRPr="00AA4728">
        <w:rPr>
          <w:lang w:val="pl-PL"/>
        </w:rPr>
        <w:t xml:space="preserve"> Moja Starówka@, prezentująca sylwetki osób funkcjonujących gospodarczo i artystycznie na starówce w Toruniu</w:t>
      </w:r>
      <w:r>
        <w:rPr>
          <w:lang w:val="pl-PL"/>
        </w:rPr>
        <w:t>. P</w:t>
      </w:r>
      <w:r w:rsidR="00AE6BCB" w:rsidRPr="00AA4728">
        <w:rPr>
          <w:lang w:val="pl-PL"/>
        </w:rPr>
        <w:t xml:space="preserve">ublikacja </w:t>
      </w:r>
      <w:r w:rsidR="00B41B4A">
        <w:rPr>
          <w:lang w:val="pl-PL"/>
        </w:rPr>
        <w:br/>
      </w:r>
      <w:r w:rsidR="00AE6BCB" w:rsidRPr="00AA4728">
        <w:rPr>
          <w:lang w:val="pl-PL"/>
        </w:rPr>
        <w:t xml:space="preserve">w wersji papierowej została udostępniona w </w:t>
      </w:r>
      <w:r>
        <w:rPr>
          <w:lang w:val="pl-PL"/>
        </w:rPr>
        <w:t>hotelach</w:t>
      </w:r>
      <w:r w:rsidR="00AE6BCB" w:rsidRPr="00AA4728">
        <w:rPr>
          <w:lang w:val="pl-PL"/>
        </w:rPr>
        <w:t xml:space="preserve"> i </w:t>
      </w:r>
      <w:r>
        <w:rPr>
          <w:lang w:val="pl-PL"/>
        </w:rPr>
        <w:t xml:space="preserve">lokalach </w:t>
      </w:r>
      <w:r w:rsidR="00AE6BCB" w:rsidRPr="00AA4728">
        <w:rPr>
          <w:lang w:val="pl-PL"/>
        </w:rPr>
        <w:t>gastronomicznych na starówce, a wersji elektronicznej –</w:t>
      </w:r>
      <w:r w:rsidR="00B41B4A">
        <w:rPr>
          <w:lang w:val="pl-PL"/>
        </w:rPr>
        <w:t xml:space="preserve"> </w:t>
      </w:r>
      <w:r w:rsidR="00AE6BCB" w:rsidRPr="00AA4728">
        <w:rPr>
          <w:lang w:val="pl-PL"/>
        </w:rPr>
        <w:t xml:space="preserve">w miejskich serwisach internetowych oraz </w:t>
      </w:r>
      <w:r w:rsidR="00B41B4A">
        <w:rPr>
          <w:lang w:val="pl-PL"/>
        </w:rPr>
        <w:br/>
      </w:r>
      <w:r w:rsidR="00AE6BCB" w:rsidRPr="00AA4728">
        <w:rPr>
          <w:lang w:val="pl-PL"/>
        </w:rPr>
        <w:t>w krajowych serwisach przeznaczonych dla publikacji elektronicznych (</w:t>
      </w:r>
      <w:r w:rsidR="00AA4728">
        <w:rPr>
          <w:lang w:val="pl-PL"/>
        </w:rPr>
        <w:t>platformy dla e-booków, isssuu),</w:t>
      </w:r>
    </w:p>
    <w:p w:rsidR="00DB1FDA" w:rsidRPr="00DB1FDA" w:rsidRDefault="00AE6BCB" w:rsidP="00912BD8">
      <w:pPr>
        <w:numPr>
          <w:ilvl w:val="0"/>
          <w:numId w:val="27"/>
        </w:numPr>
        <w:spacing w:line="240" w:lineRule="auto"/>
        <w:jc w:val="both"/>
        <w:rPr>
          <w:lang w:val="pl-PL"/>
        </w:rPr>
      </w:pPr>
      <w:r w:rsidRPr="00AA4728">
        <w:t xml:space="preserve">na drogach wewnętrznych zespołu staromiejskiego zawarto: 115 umów na umieszczenie nośników reklamowych, 43 umowy na udostępnienie terenu w celu zorganizowania ogródka gastronomicznego, 15 umów na udostępnienie terenu </w:t>
      </w:r>
      <w:r w:rsidR="00380101">
        <w:br/>
      </w:r>
      <w:r w:rsidRPr="00AA4728">
        <w:t>w celu zorganizowania stoisk handlowych z pamiątkami; 7 umów na stoiska kwiatowe oraz 2 – na stoiska owocowo-warzywne; wydano 49 p</w:t>
      </w:r>
      <w:r w:rsidR="00AA4728">
        <w:t>ozwoleń na wydarzenia plenerowe,</w:t>
      </w:r>
    </w:p>
    <w:p w:rsidR="00C913ED" w:rsidRPr="00AA4728" w:rsidRDefault="00AE6BCB" w:rsidP="00912BD8">
      <w:pPr>
        <w:numPr>
          <w:ilvl w:val="0"/>
          <w:numId w:val="27"/>
        </w:numPr>
        <w:spacing w:line="240" w:lineRule="auto"/>
        <w:jc w:val="both"/>
        <w:rPr>
          <w:lang w:val="pl-PL"/>
        </w:rPr>
      </w:pPr>
      <w:r w:rsidRPr="00AA4728">
        <w:rPr>
          <w:lang w:val="pl-PL"/>
        </w:rPr>
        <w:t>w ramach konkursów dla organizacji</w:t>
      </w:r>
      <w:r w:rsidR="00DB1FDA">
        <w:rPr>
          <w:lang w:val="pl-PL"/>
        </w:rPr>
        <w:t xml:space="preserve"> pozarządowych, </w:t>
      </w:r>
      <w:r w:rsidRPr="00AA4728">
        <w:rPr>
          <w:lang w:val="pl-PL"/>
        </w:rPr>
        <w:t>z zachowaniem reżimu sanitarnego</w:t>
      </w:r>
      <w:r w:rsidR="00B41B4A">
        <w:rPr>
          <w:lang w:val="pl-PL"/>
        </w:rPr>
        <w:t>,</w:t>
      </w:r>
      <w:r w:rsidRPr="00AA4728">
        <w:rPr>
          <w:lang w:val="pl-PL"/>
        </w:rPr>
        <w:t xml:space="preserve"> zorganizowano: pchle targi na Rynku Nowomiejskim, całoroczny program funkcjonowania świetlicy prowadzonej przez Fundację Pom</w:t>
      </w:r>
      <w:r w:rsidR="00B41B4A">
        <w:rPr>
          <w:lang w:val="pl-PL"/>
        </w:rPr>
        <w:t>ocy Samotnym Matkom oraz Wigilię</w:t>
      </w:r>
      <w:r w:rsidRPr="00AA4728">
        <w:rPr>
          <w:lang w:val="pl-PL"/>
        </w:rPr>
        <w:t xml:space="preserve"> dla mieszkańców – w formie rozwożenia paczek żywnościowych i potraw wigilijnych do najbardziej potrzebujących mieszkańców naszego miasta (potrawy zamówione w toruńskich restauracjach w ramach </w:t>
      </w:r>
      <w:r w:rsidR="00B41B4A">
        <w:rPr>
          <w:bCs/>
          <w:lang w:val="pl-PL"/>
        </w:rPr>
        <w:t>wsparcia branży</w:t>
      </w:r>
      <w:r w:rsidRPr="00AA4728">
        <w:rPr>
          <w:bCs/>
          <w:lang w:val="pl-PL"/>
        </w:rPr>
        <w:t xml:space="preserve"> ga</w:t>
      </w:r>
      <w:r w:rsidR="00B41B4A">
        <w:rPr>
          <w:bCs/>
          <w:lang w:val="pl-PL"/>
        </w:rPr>
        <w:t>stronomicznej</w:t>
      </w:r>
      <w:r w:rsidR="00AA4728">
        <w:rPr>
          <w:bCs/>
          <w:lang w:val="pl-PL"/>
        </w:rPr>
        <w:t xml:space="preserve"> w czasie epidemii).</w:t>
      </w:r>
    </w:p>
    <w:p w:rsidR="00AE6BCB" w:rsidRDefault="00C913ED" w:rsidP="009C7C02">
      <w:pPr>
        <w:pStyle w:val="ListParagraph"/>
        <w:tabs>
          <w:tab w:val="left" w:pos="142"/>
        </w:tabs>
        <w:spacing w:line="240" w:lineRule="auto"/>
        <w:ind w:left="0"/>
        <w:jc w:val="both"/>
        <w:rPr>
          <w:b/>
          <w:lang w:val="pl-PL"/>
        </w:rPr>
      </w:pPr>
      <w:r>
        <w:rPr>
          <w:b/>
          <w:lang w:val="pl-PL"/>
        </w:rPr>
        <w:t xml:space="preserve">2.  </w:t>
      </w:r>
      <w:r w:rsidR="00AE6BCB">
        <w:rPr>
          <w:b/>
          <w:lang w:val="pl-PL"/>
        </w:rPr>
        <w:t>Estetyka i wizerunek obszaru Toruńskiego Centrum Miasta (ład przestrzenny):</w:t>
      </w:r>
    </w:p>
    <w:p w:rsidR="00AE6BCB" w:rsidRDefault="00AE6BCB" w:rsidP="00912BD8">
      <w:pPr>
        <w:pStyle w:val="ListParagraph"/>
        <w:numPr>
          <w:ilvl w:val="0"/>
          <w:numId w:val="28"/>
        </w:numPr>
        <w:tabs>
          <w:tab w:val="left" w:pos="142"/>
        </w:tabs>
        <w:spacing w:line="240" w:lineRule="auto"/>
        <w:jc w:val="both"/>
        <w:rPr>
          <w:lang w:val="pl-PL"/>
        </w:rPr>
      </w:pPr>
      <w:r w:rsidRPr="00DB1FDA">
        <w:rPr>
          <w:lang w:val="pl-PL"/>
        </w:rPr>
        <w:t>prowadzono kontrole w zakresie wytycznych obowiązujących na terenie dróg wewnętrznych zespołu staromiejskiego z częstotliwością min. 3 razy w tygodniu</w:t>
      </w:r>
      <w:r w:rsidR="00DB1FDA" w:rsidRPr="00DB1FDA">
        <w:rPr>
          <w:lang w:val="pl-PL"/>
        </w:rPr>
        <w:t xml:space="preserve"> </w:t>
      </w:r>
      <w:r w:rsidR="00B41B4A">
        <w:rPr>
          <w:lang w:val="pl-PL"/>
        </w:rPr>
        <w:t xml:space="preserve">(kontrola </w:t>
      </w:r>
      <w:r w:rsidRPr="00DB1FDA">
        <w:rPr>
          <w:lang w:val="pl-PL"/>
        </w:rPr>
        <w:t>wjazdu i postoju poj</w:t>
      </w:r>
      <w:r w:rsidR="00DB1FDA">
        <w:rPr>
          <w:lang w:val="pl-PL"/>
        </w:rPr>
        <w:t>azdów oraz użycia nagłośnienia),</w:t>
      </w:r>
    </w:p>
    <w:p w:rsidR="00AE6BCB" w:rsidRDefault="00AE6BCB" w:rsidP="00912BD8">
      <w:pPr>
        <w:pStyle w:val="ListParagraph"/>
        <w:numPr>
          <w:ilvl w:val="0"/>
          <w:numId w:val="28"/>
        </w:numPr>
        <w:tabs>
          <w:tab w:val="left" w:pos="142"/>
        </w:tabs>
        <w:spacing w:line="240" w:lineRule="auto"/>
        <w:jc w:val="both"/>
        <w:rPr>
          <w:lang w:val="pl-PL"/>
        </w:rPr>
      </w:pPr>
      <w:r w:rsidRPr="00DB1FDA">
        <w:rPr>
          <w:lang w:val="pl-PL"/>
        </w:rPr>
        <w:lastRenderedPageBreak/>
        <w:t>prowadzono lustracje przestrzeni zespołu staromiejskiego z częstotliwością min. 1 raz w miesiącu (bieżący nadzór nad stanem technicznym nawierzchni, elementów małej architektury, szyldów, nośników reklamow</w:t>
      </w:r>
      <w:r w:rsidR="00DB1FDA">
        <w:rPr>
          <w:lang w:val="pl-PL"/>
        </w:rPr>
        <w:t>ych oraz czystości przestrzeni),</w:t>
      </w:r>
    </w:p>
    <w:p w:rsidR="00DB1FDA" w:rsidRDefault="00AE6BCB" w:rsidP="00912BD8">
      <w:pPr>
        <w:pStyle w:val="ListParagraph"/>
        <w:numPr>
          <w:ilvl w:val="0"/>
          <w:numId w:val="28"/>
        </w:numPr>
        <w:tabs>
          <w:tab w:val="left" w:pos="142"/>
        </w:tabs>
        <w:spacing w:line="240" w:lineRule="auto"/>
        <w:jc w:val="both"/>
        <w:rPr>
          <w:lang w:val="pl-PL"/>
        </w:rPr>
      </w:pPr>
      <w:r w:rsidRPr="00DB1FDA">
        <w:rPr>
          <w:lang w:val="pl-PL"/>
        </w:rPr>
        <w:t>postawiono w siedmiu lokalizacjach sezonowe parklety wraz z nasadzeniami zieleni o</w:t>
      </w:r>
      <w:r w:rsidR="00B41B4A">
        <w:rPr>
          <w:lang w:val="pl-PL"/>
        </w:rPr>
        <w:t>raz zielonymi ścianami</w:t>
      </w:r>
      <w:r w:rsidRPr="00DB1FDA">
        <w:rPr>
          <w:lang w:val="pl-PL"/>
        </w:rPr>
        <w:t>, 2 ławki solarne z panelem słonecznym i funkcją ładowania urządzeń mo</w:t>
      </w:r>
      <w:r w:rsidR="00B41B4A">
        <w:rPr>
          <w:lang w:val="pl-PL"/>
        </w:rPr>
        <w:t>bilnych oraz ławkę multimedialną</w:t>
      </w:r>
      <w:r w:rsidRPr="00DB1FDA">
        <w:rPr>
          <w:lang w:val="pl-PL"/>
        </w:rPr>
        <w:t xml:space="preserve"> grającą utwory Fryderyka Chopina,</w:t>
      </w:r>
    </w:p>
    <w:p w:rsidR="00B41B4A" w:rsidRPr="009C25FB" w:rsidRDefault="00AE6BCB" w:rsidP="009C25FB">
      <w:pPr>
        <w:pStyle w:val="ListParagraph"/>
        <w:numPr>
          <w:ilvl w:val="0"/>
          <w:numId w:val="28"/>
        </w:numPr>
        <w:tabs>
          <w:tab w:val="left" w:pos="142"/>
        </w:tabs>
        <w:spacing w:line="240" w:lineRule="auto"/>
        <w:jc w:val="both"/>
        <w:rPr>
          <w:lang w:val="pl-PL"/>
        </w:rPr>
      </w:pPr>
      <w:r w:rsidRPr="00DB1FDA">
        <w:rPr>
          <w:lang w:val="pl-PL"/>
        </w:rPr>
        <w:t xml:space="preserve"> w ramach współpracy z Uniwersytetem Mikołaja Kopernika, Centrum Sztuki Współczesnej i siecią Żabka w witrynach sklepu Żabka przy ul. S</w:t>
      </w:r>
      <w:r w:rsidR="00B41B4A">
        <w:rPr>
          <w:lang w:val="pl-PL"/>
        </w:rPr>
        <w:t xml:space="preserve">zerokiej/Mostowej prezentowano </w:t>
      </w:r>
      <w:r w:rsidRPr="00DB1FDA">
        <w:rPr>
          <w:lang w:val="pl-PL"/>
        </w:rPr>
        <w:t xml:space="preserve">wydruki prac z kolekcji CSW oraz cytaty z filmów, które powstały </w:t>
      </w:r>
      <w:r w:rsidR="00B41B4A">
        <w:rPr>
          <w:lang w:val="pl-PL"/>
        </w:rPr>
        <w:br/>
      </w:r>
      <w:r w:rsidRPr="00DB1FDA">
        <w:rPr>
          <w:lang w:val="pl-PL"/>
        </w:rPr>
        <w:t>w Toruniu, w aranżacji graficznej studentów Wydziału Sztuk Pięknych U</w:t>
      </w:r>
      <w:r w:rsidR="00DB1FDA">
        <w:rPr>
          <w:lang w:val="pl-PL"/>
        </w:rPr>
        <w:t>MK,</w:t>
      </w:r>
    </w:p>
    <w:p w:rsidR="00AE6BCB" w:rsidRDefault="00AE6BCB" w:rsidP="00912BD8">
      <w:pPr>
        <w:pStyle w:val="ListParagraph"/>
        <w:numPr>
          <w:ilvl w:val="0"/>
          <w:numId w:val="28"/>
        </w:numPr>
        <w:tabs>
          <w:tab w:val="left" w:pos="142"/>
        </w:tabs>
        <w:spacing w:line="240" w:lineRule="auto"/>
        <w:jc w:val="both"/>
        <w:rPr>
          <w:lang w:val="pl-PL"/>
        </w:rPr>
      </w:pPr>
      <w:r w:rsidRPr="00DB1FDA">
        <w:rPr>
          <w:lang w:val="pl-PL"/>
        </w:rPr>
        <w:t>w tymczasowo niewynajętych witrynach udostępniano wydr</w:t>
      </w:r>
      <w:r w:rsidR="00DB1FDA">
        <w:rPr>
          <w:lang w:val="pl-PL"/>
        </w:rPr>
        <w:t>uki historycznych zdjęć Torunia,</w:t>
      </w:r>
    </w:p>
    <w:p w:rsidR="00DB1FDA" w:rsidRDefault="00AE6BCB" w:rsidP="00912BD8">
      <w:pPr>
        <w:pStyle w:val="ListParagraph"/>
        <w:numPr>
          <w:ilvl w:val="0"/>
          <w:numId w:val="28"/>
        </w:numPr>
        <w:tabs>
          <w:tab w:val="left" w:pos="142"/>
        </w:tabs>
        <w:spacing w:line="240" w:lineRule="auto"/>
        <w:jc w:val="both"/>
        <w:rPr>
          <w:lang w:val="pl-PL"/>
        </w:rPr>
      </w:pPr>
      <w:r w:rsidRPr="00DB1FDA">
        <w:rPr>
          <w:lang w:val="pl-PL"/>
        </w:rPr>
        <w:t>w ramach programu konserwacji starych szyldów i napisów reklamowych na fasadach staromiejskich kamienic odnowiono napis na kam</w:t>
      </w:r>
      <w:r w:rsidR="00DB1FDA">
        <w:rPr>
          <w:lang w:val="pl-PL"/>
        </w:rPr>
        <w:t>ienicy przy ul. Mickiewicza 90,</w:t>
      </w:r>
    </w:p>
    <w:p w:rsidR="00380101" w:rsidRPr="00223809" w:rsidRDefault="00223809" w:rsidP="00223809">
      <w:pPr>
        <w:pStyle w:val="ListParagraph"/>
        <w:numPr>
          <w:ilvl w:val="0"/>
          <w:numId w:val="28"/>
        </w:numPr>
        <w:tabs>
          <w:tab w:val="left" w:pos="142"/>
        </w:tabs>
        <w:spacing w:line="240" w:lineRule="auto"/>
        <w:jc w:val="both"/>
        <w:rPr>
          <w:lang w:val="pl-PL"/>
        </w:rPr>
      </w:pPr>
      <w:r>
        <w:rPr>
          <w:lang w:val="pl-PL"/>
        </w:rPr>
        <w:t xml:space="preserve">współpracowano z </w:t>
      </w:r>
      <w:r w:rsidR="00AE6BCB" w:rsidRPr="00DB1FDA">
        <w:rPr>
          <w:lang w:val="pl-PL"/>
        </w:rPr>
        <w:t>osobami odpracowującymi zaległości czynszowe wobec Zakładu Gospodarki Mieszkaniowej w Toruniu poprzez wykonywanie drobnych prac porządkowych na terenie starówki.</w:t>
      </w:r>
      <w:bookmarkStart w:id="227" w:name="__RefHeading__32066_2082197896"/>
      <w:bookmarkStart w:id="228" w:name="__RefHeading__32068_2082197896"/>
      <w:bookmarkStart w:id="229" w:name="_Toc69477757"/>
      <w:bookmarkStart w:id="230" w:name="_Toc69372305"/>
      <w:bookmarkEnd w:id="227"/>
      <w:bookmarkEnd w:id="228"/>
    </w:p>
    <w:p w:rsidR="00380101" w:rsidRDefault="00380101" w:rsidP="00380101">
      <w:pPr>
        <w:pStyle w:val="Nagwek1"/>
        <w:numPr>
          <w:ilvl w:val="0"/>
          <w:numId w:val="0"/>
        </w:numPr>
        <w:spacing w:line="240" w:lineRule="auto"/>
        <w:rPr>
          <w:b w:val="0"/>
          <w:color w:val="FF0000"/>
          <w:szCs w:val="24"/>
          <w:lang w:val="pl-PL"/>
        </w:rPr>
      </w:pPr>
    </w:p>
    <w:p w:rsidR="00380101" w:rsidRPr="00D84F34" w:rsidRDefault="00380101" w:rsidP="00380101">
      <w:pPr>
        <w:pStyle w:val="Nagwek1"/>
        <w:numPr>
          <w:ilvl w:val="0"/>
          <w:numId w:val="0"/>
        </w:numPr>
        <w:spacing w:line="276" w:lineRule="auto"/>
        <w:ind w:left="432" w:hanging="432"/>
        <w:rPr>
          <w:color w:val="0070C0"/>
          <w:lang w:val="pl-PL"/>
        </w:rPr>
      </w:pPr>
      <w:bookmarkStart w:id="231" w:name="_Toc69477756"/>
      <w:bookmarkStart w:id="232" w:name="_Toc69372304"/>
      <w:r>
        <w:rPr>
          <w:color w:val="0070C0"/>
          <w:lang w:val="pl-PL"/>
        </w:rPr>
        <w:t>XX. REALIZACJA UCHWAŁ</w:t>
      </w:r>
      <w:bookmarkEnd w:id="231"/>
      <w:bookmarkEnd w:id="232"/>
      <w:r>
        <w:rPr>
          <w:color w:val="0070C0"/>
          <w:lang w:val="pl-PL"/>
        </w:rPr>
        <w:t xml:space="preserve"> RADY MI</w:t>
      </w:r>
      <w:r w:rsidR="00D87E2D">
        <w:rPr>
          <w:color w:val="0070C0"/>
          <w:lang w:val="pl-PL"/>
        </w:rPr>
        <w:t>ASTA TORUNIA</w:t>
      </w:r>
      <w:r w:rsidR="003E1FF6">
        <w:rPr>
          <w:color w:val="0070C0"/>
          <w:lang w:val="pl-PL"/>
        </w:rPr>
        <w:t xml:space="preserve"> podjętych w 2020 r.</w:t>
      </w:r>
    </w:p>
    <w:p w:rsidR="00380101" w:rsidRDefault="00380101" w:rsidP="00380101">
      <w:pPr>
        <w:spacing w:line="240" w:lineRule="auto"/>
        <w:ind w:firstLine="708"/>
        <w:jc w:val="both"/>
        <w:rPr>
          <w:color w:val="FF0000"/>
          <w:lang w:val="pl-PL"/>
        </w:rPr>
      </w:pPr>
      <w:r>
        <w:rPr>
          <w:lang w:val="pl-PL"/>
        </w:rPr>
        <w:t>Zgodnie z art. 28 aa. ustawy o samorządzie gminnym Raport o stanie Gminy za dany rok zawiera podsumowanie działalności wójta w roku poprzednim, w tym w szczególności m.in. realizację uchwał rady gminy</w:t>
      </w:r>
    </w:p>
    <w:p w:rsidR="00380101" w:rsidRPr="000E2C77" w:rsidRDefault="00380101" w:rsidP="00380101">
      <w:pPr>
        <w:spacing w:line="240" w:lineRule="auto"/>
        <w:ind w:firstLine="708"/>
        <w:jc w:val="both"/>
        <w:rPr>
          <w:lang w:val="pl-PL"/>
        </w:rPr>
      </w:pPr>
      <w:r w:rsidRPr="000E2C77">
        <w:rPr>
          <w:lang w:val="pl-PL"/>
        </w:rPr>
        <w:t xml:space="preserve">W 2020 roku Rada Miasta Torunia na </w:t>
      </w:r>
      <w:r w:rsidRPr="000E2C77">
        <w:rPr>
          <w:b/>
          <w:lang w:val="pl-PL"/>
        </w:rPr>
        <w:t xml:space="preserve">12 sesjach </w:t>
      </w:r>
      <w:r w:rsidRPr="000E2C77">
        <w:rPr>
          <w:lang w:val="pl-PL"/>
        </w:rPr>
        <w:t>(w tym 1 – nadzwyczajnej)</w:t>
      </w:r>
      <w:r>
        <w:rPr>
          <w:lang w:val="pl-PL"/>
        </w:rPr>
        <w:t xml:space="preserve"> </w:t>
      </w:r>
      <w:r w:rsidRPr="000E2C77">
        <w:rPr>
          <w:lang w:val="pl-PL"/>
        </w:rPr>
        <w:t>podjęła</w:t>
      </w:r>
      <w:r w:rsidRPr="000E2C77">
        <w:rPr>
          <w:b/>
          <w:lang w:val="pl-PL"/>
        </w:rPr>
        <w:t xml:space="preserve"> 229 uchwał</w:t>
      </w:r>
      <w:r w:rsidRPr="000E2C77">
        <w:rPr>
          <w:lang w:val="pl-PL"/>
        </w:rPr>
        <w:t xml:space="preserve">, z czego </w:t>
      </w:r>
      <w:r w:rsidRPr="000E2C77">
        <w:rPr>
          <w:b/>
          <w:lang w:val="pl-PL"/>
        </w:rPr>
        <w:t>184</w:t>
      </w:r>
      <w:r w:rsidR="00223809">
        <w:rPr>
          <w:b/>
          <w:lang w:val="pl-PL"/>
        </w:rPr>
        <w:t xml:space="preserve"> </w:t>
      </w:r>
      <w:r w:rsidRPr="000E2C77">
        <w:rPr>
          <w:b/>
          <w:lang w:val="pl-PL"/>
        </w:rPr>
        <w:t>powierzyła do wykonania Prezydentowi Miasta Torunia</w:t>
      </w:r>
      <w:r w:rsidRPr="000E2C77">
        <w:rPr>
          <w:lang w:val="pl-PL"/>
        </w:rPr>
        <w:t xml:space="preserve"> </w:t>
      </w:r>
      <w:r w:rsidR="00223809">
        <w:rPr>
          <w:lang w:val="pl-PL"/>
        </w:rPr>
        <w:br/>
      </w:r>
      <w:r w:rsidRPr="000E2C77">
        <w:rPr>
          <w:lang w:val="pl-PL"/>
        </w:rPr>
        <w:t>(w tym 91 uchwał podlegających publikacji w Dzienniku</w:t>
      </w:r>
      <w:r w:rsidR="002F3694">
        <w:rPr>
          <w:lang w:val="pl-PL"/>
        </w:rPr>
        <w:t xml:space="preserve"> Urzędowym Województwa Kujawsko</w:t>
      </w:r>
      <w:r w:rsidR="00223809">
        <w:rPr>
          <w:lang w:val="pl-PL"/>
        </w:rPr>
        <w:t>-</w:t>
      </w:r>
      <w:r w:rsidRPr="000E2C77">
        <w:rPr>
          <w:lang w:val="pl-PL"/>
        </w:rPr>
        <w:t xml:space="preserve">Pomorskiego). Ponadto, do wykonania przez Prezydenta Miasta, Rada wskazała </w:t>
      </w:r>
      <w:r>
        <w:rPr>
          <w:lang w:val="pl-PL"/>
        </w:rPr>
        <w:br/>
      </w:r>
      <w:r w:rsidRPr="000E2C77">
        <w:rPr>
          <w:b/>
          <w:lang w:val="pl-PL"/>
        </w:rPr>
        <w:t>1 stanowisko.</w:t>
      </w:r>
    </w:p>
    <w:p w:rsidR="00380101" w:rsidRPr="000E40C5" w:rsidRDefault="00380101" w:rsidP="00380101">
      <w:pPr>
        <w:spacing w:line="240" w:lineRule="auto"/>
        <w:jc w:val="both"/>
        <w:rPr>
          <w:b/>
          <w:bCs/>
          <w:u w:val="single"/>
          <w:lang w:val="pl-PL"/>
        </w:rPr>
      </w:pPr>
      <w:r>
        <w:rPr>
          <w:b/>
          <w:bCs/>
          <w:u w:val="single"/>
          <w:lang w:val="pl-PL"/>
        </w:rPr>
        <w:t>PLANOWANIE I NADZÓR FINANSOWY</w:t>
      </w:r>
    </w:p>
    <w:p w:rsidR="00380101" w:rsidRPr="0085559D" w:rsidRDefault="00380101" w:rsidP="00380101">
      <w:pPr>
        <w:spacing w:line="240" w:lineRule="auto"/>
        <w:jc w:val="both"/>
        <w:rPr>
          <w:b/>
          <w:bCs/>
          <w:lang w:val="pl-PL"/>
        </w:rPr>
      </w:pPr>
      <w:r w:rsidRPr="0085559D">
        <w:rPr>
          <w:b/>
          <w:bCs/>
          <w:lang w:val="pl-PL"/>
        </w:rPr>
        <w:t>Budżet miasta na rok 2020:</w:t>
      </w:r>
    </w:p>
    <w:p w:rsidR="00380101" w:rsidRDefault="00380101" w:rsidP="00380101">
      <w:pPr>
        <w:spacing w:line="240" w:lineRule="auto"/>
        <w:jc w:val="both"/>
        <w:rPr>
          <w:lang w:val="pl-PL"/>
        </w:rPr>
      </w:pPr>
      <w:r>
        <w:rPr>
          <w:bCs/>
          <w:lang w:val="pl-PL"/>
        </w:rPr>
        <w:t xml:space="preserve">Realizacja budżetu miasta na rok 2020 - na podstawie uchwał nr: </w:t>
      </w:r>
      <w:r>
        <w:rPr>
          <w:b/>
          <w:bCs/>
          <w:lang w:val="pl-PL"/>
        </w:rPr>
        <w:t>320/20</w:t>
      </w:r>
      <w:r>
        <w:rPr>
          <w:bCs/>
          <w:lang w:val="pl-PL"/>
        </w:rPr>
        <w:t xml:space="preserve"> w sprawie Wieloletniej Prognozy Finansowej na lata 2020–2050 oraz 321/20 w sprawie </w:t>
      </w:r>
      <w:r>
        <w:rPr>
          <w:lang w:val="pl-PL"/>
        </w:rPr>
        <w:t xml:space="preserve">budżetu miasta Torunia na rok 2020. Zmiany na przestrzeni roku budżetowego wprowadzono na podstawie uchwał Rady Miasta Torunia: w sprawie zmiany Wieloletniej Prognozy Finansowej </w:t>
      </w:r>
      <w:r>
        <w:rPr>
          <w:lang w:val="pl-PL"/>
        </w:rPr>
        <w:br/>
        <w:t xml:space="preserve">i zmieniających uchwałę w sprawie budżetu miasta nr: </w:t>
      </w:r>
      <w:r>
        <w:rPr>
          <w:b/>
          <w:lang w:val="pl-PL"/>
        </w:rPr>
        <w:t>331/20</w:t>
      </w:r>
      <w:r>
        <w:rPr>
          <w:lang w:val="pl-PL"/>
        </w:rPr>
        <w:t xml:space="preserve"> i </w:t>
      </w:r>
      <w:r>
        <w:rPr>
          <w:b/>
          <w:lang w:val="pl-PL"/>
        </w:rPr>
        <w:t>332/20, 336/19 (WPF), 376/20</w:t>
      </w:r>
      <w:r>
        <w:rPr>
          <w:lang w:val="pl-PL"/>
        </w:rPr>
        <w:t xml:space="preserve"> i </w:t>
      </w:r>
      <w:r>
        <w:rPr>
          <w:b/>
          <w:lang w:val="pl-PL"/>
        </w:rPr>
        <w:t>377/20, 412/20 i 413/20, 437/20 i 438/20, 462/20 i 463/120, 483/20 i 484/20, 505/20 i 506/20, 543/20 i 544/20</w:t>
      </w:r>
      <w:r>
        <w:rPr>
          <w:lang w:val="pl-PL"/>
        </w:rPr>
        <w:t xml:space="preserve">. Ponadto, planowane wielkości budżetu zmieniano w trakcie roku zarządzeniami Prezydenta Miasta nr: </w:t>
      </w:r>
      <w:r>
        <w:rPr>
          <w:b/>
          <w:lang w:val="pl-PL"/>
        </w:rPr>
        <w:t xml:space="preserve">31, 56, 64, 74, 87, 116, 174, 198, 249, 263, 288. </w:t>
      </w:r>
      <w:r w:rsidR="00CB79FB">
        <w:rPr>
          <w:lang w:val="pl-PL"/>
        </w:rPr>
        <w:t>R</w:t>
      </w:r>
      <w:r>
        <w:rPr>
          <w:lang w:val="pl-PL"/>
        </w:rPr>
        <w:t xml:space="preserve">ozwiązania w zakresie blokowania planowanych wydatków budżetu miasta na rok 2020 wdrożono na podstawie zarządzeń Prezydenta Miasta nr: </w:t>
      </w:r>
      <w:r w:rsidRPr="00C913ED">
        <w:rPr>
          <w:b/>
          <w:lang w:val="pl-PL"/>
        </w:rPr>
        <w:t>67, 91, 167.</w:t>
      </w:r>
    </w:p>
    <w:p w:rsidR="00380101" w:rsidRDefault="00380101" w:rsidP="00380101">
      <w:pPr>
        <w:spacing w:line="240" w:lineRule="auto"/>
        <w:jc w:val="both"/>
        <w:rPr>
          <w:bCs/>
          <w:lang w:val="pl-PL"/>
        </w:rPr>
      </w:pPr>
      <w:r>
        <w:rPr>
          <w:b/>
          <w:lang w:val="pl-PL"/>
        </w:rPr>
        <w:t>Dotacje</w:t>
      </w:r>
      <w:r>
        <w:rPr>
          <w:lang w:val="pl-PL"/>
        </w:rPr>
        <w:t xml:space="preserve"> dla Miejskiego Ośrodka Sportu i Rekreacji przekazano zgodnie z uchwałą nr </w:t>
      </w:r>
      <w:r>
        <w:rPr>
          <w:b/>
          <w:lang w:val="pl-PL"/>
        </w:rPr>
        <w:t>375/120</w:t>
      </w:r>
      <w:r>
        <w:rPr>
          <w:lang w:val="pl-PL"/>
        </w:rPr>
        <w:t xml:space="preserve"> w sprawie </w:t>
      </w:r>
      <w:r>
        <w:rPr>
          <w:bCs/>
          <w:lang w:val="pl-PL"/>
        </w:rPr>
        <w:t xml:space="preserve">ustalenia stawek dotacji przedmiotowych udzielanych z budżetu miasta MOSiR </w:t>
      </w:r>
      <w:r>
        <w:rPr>
          <w:bCs/>
          <w:lang w:val="pl-PL"/>
        </w:rPr>
        <w:br/>
        <w:t>w 2020 r.</w:t>
      </w:r>
    </w:p>
    <w:p w:rsidR="00380101" w:rsidRPr="008A22A6" w:rsidRDefault="00380101" w:rsidP="00380101">
      <w:pPr>
        <w:spacing w:line="240" w:lineRule="auto"/>
        <w:jc w:val="both"/>
        <w:rPr>
          <w:bCs/>
          <w:lang w:val="pl-PL"/>
        </w:rPr>
      </w:pPr>
      <w:r w:rsidRPr="008A22A6">
        <w:rPr>
          <w:lang w:val="pl-PL"/>
        </w:rPr>
        <w:t xml:space="preserve">Na podstawie uchwały nr </w:t>
      </w:r>
      <w:r w:rsidRPr="008A22A6">
        <w:rPr>
          <w:b/>
          <w:lang w:val="pl-PL"/>
        </w:rPr>
        <w:t>545/20</w:t>
      </w:r>
      <w:r w:rsidR="00CB79FB">
        <w:rPr>
          <w:b/>
          <w:lang w:val="pl-PL"/>
        </w:rPr>
        <w:t xml:space="preserve"> </w:t>
      </w:r>
      <w:r w:rsidRPr="008A22A6">
        <w:rPr>
          <w:bCs/>
          <w:lang w:val="pl-PL"/>
        </w:rPr>
        <w:t xml:space="preserve">w sprawie emisji obligacji Gminy Miasta Toruń w roku 2020 oraz zasad ich zbywania, nabywania i wykupu, zawarta została umowa z Bankiem PeKaO S.A. w sprawie emisji obligacji (na kwotę 65 mln). </w:t>
      </w:r>
    </w:p>
    <w:p w:rsidR="00380101" w:rsidRDefault="00380101" w:rsidP="00380101">
      <w:pPr>
        <w:spacing w:line="240" w:lineRule="auto"/>
        <w:jc w:val="both"/>
        <w:rPr>
          <w:bCs/>
          <w:lang w:val="pl-PL"/>
        </w:rPr>
      </w:pPr>
      <w:r>
        <w:rPr>
          <w:lang w:val="pl-PL"/>
        </w:rPr>
        <w:t xml:space="preserve">Na podstawie uchwały nr </w:t>
      </w:r>
      <w:r>
        <w:rPr>
          <w:b/>
          <w:lang w:val="pl-PL"/>
        </w:rPr>
        <w:t>546/20</w:t>
      </w:r>
      <w:r>
        <w:rPr>
          <w:lang w:val="pl-PL"/>
        </w:rPr>
        <w:t xml:space="preserve"> w sprawie </w:t>
      </w:r>
      <w:r>
        <w:rPr>
          <w:bCs/>
          <w:lang w:val="pl-PL"/>
        </w:rPr>
        <w:t xml:space="preserve">ustalenia wykazu i planu finansowego </w:t>
      </w:r>
      <w:r w:rsidRPr="0085559D">
        <w:rPr>
          <w:b/>
          <w:bCs/>
          <w:lang w:val="pl-PL"/>
        </w:rPr>
        <w:t>wydatków, które nie wygasają z upływem roku budżetowego 2020,</w:t>
      </w:r>
      <w:r>
        <w:rPr>
          <w:bCs/>
          <w:lang w:val="pl-PL"/>
        </w:rPr>
        <w:t xml:space="preserve"> w 2021 r. przewidzianych do realizacji zostało 40 zadań, zgodnie z wykazem rzeczowym zawartym </w:t>
      </w:r>
      <w:r>
        <w:rPr>
          <w:bCs/>
          <w:lang w:val="pl-PL"/>
        </w:rPr>
        <w:br/>
        <w:t xml:space="preserve">w uchwale oraz terminami wykonania. Sprawozdanie w tym zakresie zostanie złożone Radzie </w:t>
      </w:r>
      <w:r>
        <w:rPr>
          <w:bCs/>
          <w:lang w:val="pl-PL"/>
        </w:rPr>
        <w:lastRenderedPageBreak/>
        <w:t xml:space="preserve">Miasta Torunia do 16.07.2021 r. </w:t>
      </w:r>
    </w:p>
    <w:p w:rsidR="00380101" w:rsidRDefault="00380101" w:rsidP="00380101">
      <w:pPr>
        <w:spacing w:line="240" w:lineRule="auto"/>
        <w:jc w:val="both"/>
        <w:rPr>
          <w:i/>
          <w:lang w:val="pl-PL"/>
        </w:rPr>
      </w:pPr>
      <w:r>
        <w:rPr>
          <w:i/>
          <w:lang w:val="pl-PL"/>
        </w:rPr>
        <w:t xml:space="preserve">Wdrożenie postanowień powyższych uchwał znajduje odzwierciedlenie w sprawozdaniu </w:t>
      </w:r>
      <w:r>
        <w:rPr>
          <w:i/>
          <w:lang w:val="pl-PL"/>
        </w:rPr>
        <w:br/>
        <w:t xml:space="preserve">z wykonania budżetu za rok 2020, przedłożonym Radzie Miasta w dniu 31.03.2021 r. </w:t>
      </w:r>
    </w:p>
    <w:p w:rsidR="00380101" w:rsidRPr="008A22A6" w:rsidRDefault="00380101" w:rsidP="00380101">
      <w:pPr>
        <w:spacing w:line="240" w:lineRule="auto"/>
        <w:jc w:val="both"/>
        <w:rPr>
          <w:lang w:val="pl-PL"/>
        </w:rPr>
      </w:pPr>
      <w:r w:rsidRPr="008A22A6">
        <w:rPr>
          <w:bCs/>
          <w:lang w:val="pl-PL"/>
        </w:rPr>
        <w:t xml:space="preserve">Na podstawie uchwały nr </w:t>
      </w:r>
      <w:r w:rsidRPr="008A22A6">
        <w:rPr>
          <w:b/>
          <w:bCs/>
          <w:lang w:val="pl-PL"/>
        </w:rPr>
        <w:t xml:space="preserve">504/20 </w:t>
      </w:r>
      <w:r w:rsidRPr="008A22A6">
        <w:rPr>
          <w:lang w:val="pl-PL"/>
        </w:rPr>
        <w:t xml:space="preserve">w sprawie wyboru podmiotu uprawnionego do badania sprawozdania finansowego Gminy Miasta Toruń za rok 2020 i 2021, zawarto aneks do umowy z podmiotem wyłonionym w trakcie postępowania, tj. Biura Audytorskiego </w:t>
      </w:r>
      <w:r w:rsidR="00CB79FB">
        <w:rPr>
          <w:lang w:val="pl-PL"/>
        </w:rPr>
        <w:br/>
      </w:r>
      <w:r w:rsidRPr="008A22A6">
        <w:rPr>
          <w:lang w:val="pl-PL"/>
        </w:rPr>
        <w:t>Prowizja sp. z o.o.</w:t>
      </w:r>
    </w:p>
    <w:p w:rsidR="00380101" w:rsidRDefault="00380101" w:rsidP="00380101">
      <w:pPr>
        <w:spacing w:line="240" w:lineRule="auto"/>
        <w:jc w:val="both"/>
        <w:rPr>
          <w:lang w:val="pl-PL"/>
        </w:rPr>
      </w:pPr>
      <w:r w:rsidRPr="00C913ED">
        <w:rPr>
          <w:lang w:val="pl-PL"/>
        </w:rPr>
        <w:t>Ustalenia budżetowe</w:t>
      </w:r>
      <w:r>
        <w:rPr>
          <w:lang w:val="pl-PL"/>
        </w:rPr>
        <w:t xml:space="preserve">, z uwzględnieniem postanowień Stanowiska nr 5/20 w sprawie treści budżetu miasta </w:t>
      </w:r>
      <w:r w:rsidRPr="0085559D">
        <w:rPr>
          <w:b/>
          <w:lang w:val="pl-PL"/>
        </w:rPr>
        <w:t>na rok 2021</w:t>
      </w:r>
      <w:r w:rsidR="00CB79FB">
        <w:rPr>
          <w:b/>
          <w:lang w:val="pl-PL"/>
        </w:rPr>
        <w:t xml:space="preserve"> </w:t>
      </w:r>
      <w:r>
        <w:rPr>
          <w:lang w:val="pl-PL"/>
        </w:rPr>
        <w:t xml:space="preserve">zostały przyjęte uchwałami: </w:t>
      </w:r>
      <w:r>
        <w:rPr>
          <w:b/>
          <w:lang w:val="pl-PL"/>
        </w:rPr>
        <w:t>547/20</w:t>
      </w:r>
      <w:r>
        <w:rPr>
          <w:lang w:val="pl-PL"/>
        </w:rPr>
        <w:t xml:space="preserve"> (WPF na lata 2021–2050) </w:t>
      </w:r>
      <w:r>
        <w:rPr>
          <w:lang w:val="pl-PL"/>
        </w:rPr>
        <w:br/>
        <w:t xml:space="preserve">i </w:t>
      </w:r>
      <w:r>
        <w:rPr>
          <w:b/>
          <w:lang w:val="pl-PL"/>
        </w:rPr>
        <w:t>548/20</w:t>
      </w:r>
      <w:r>
        <w:rPr>
          <w:lang w:val="pl-PL"/>
        </w:rPr>
        <w:t>. Realizacja – od 01.01.2021 r.</w:t>
      </w:r>
    </w:p>
    <w:p w:rsidR="00380101" w:rsidRDefault="00380101" w:rsidP="00380101">
      <w:pPr>
        <w:spacing w:line="240" w:lineRule="auto"/>
        <w:rPr>
          <w:b/>
          <w:lang w:val="pl-PL"/>
        </w:rPr>
      </w:pPr>
      <w:r>
        <w:rPr>
          <w:b/>
          <w:u w:val="single"/>
          <w:lang w:val="pl-PL"/>
        </w:rPr>
        <w:t>NADZÓR WŁAŚCICIELSKI</w:t>
      </w:r>
    </w:p>
    <w:p w:rsidR="00380101" w:rsidRDefault="00380101" w:rsidP="00380101">
      <w:pPr>
        <w:spacing w:line="240" w:lineRule="auto"/>
        <w:jc w:val="both"/>
        <w:rPr>
          <w:i/>
          <w:lang w:val="pl-PL"/>
        </w:rPr>
      </w:pPr>
      <w:r>
        <w:rPr>
          <w:lang w:val="pl-PL"/>
        </w:rPr>
        <w:t xml:space="preserve">Zapisy uchwały nr </w:t>
      </w:r>
      <w:r>
        <w:rPr>
          <w:b/>
          <w:lang w:val="pl-PL"/>
        </w:rPr>
        <w:t>368/20</w:t>
      </w:r>
      <w:r>
        <w:rPr>
          <w:lang w:val="pl-PL"/>
        </w:rPr>
        <w:t xml:space="preserve"> w sprawie wieloletniego planu rozwoju i modernizacji urządzeń wodociągowych i urządzeń kanalizacyjnych Toruńskich Wodociągów Sp. z o.o. w Toruniu. (zmieniająca) - przyjęto do realizacji w ramach działań inwestycyjnych, zgodnie </w:t>
      </w:r>
      <w:r w:rsidR="000A60EB">
        <w:rPr>
          <w:lang w:val="pl-PL"/>
        </w:rPr>
        <w:br/>
      </w:r>
      <w:r>
        <w:rPr>
          <w:lang w:val="pl-PL"/>
        </w:rPr>
        <w:t>z uchwalonym planem.</w:t>
      </w:r>
      <w:r w:rsidR="002F3694">
        <w:rPr>
          <w:i/>
          <w:lang w:val="pl-PL"/>
        </w:rPr>
        <w:t xml:space="preserve"> </w:t>
      </w:r>
      <w:r>
        <w:rPr>
          <w:i/>
          <w:lang w:val="pl-PL"/>
        </w:rPr>
        <w:t xml:space="preserve">Informacje dotyczące realizacji powyższej uchwały – w dziale </w:t>
      </w:r>
      <w:r w:rsidR="00185C94">
        <w:rPr>
          <w:i/>
          <w:lang w:val="pl-PL"/>
        </w:rPr>
        <w:t>XVII</w:t>
      </w:r>
      <w:r w:rsidR="00223809">
        <w:rPr>
          <w:i/>
          <w:lang w:val="pl-PL"/>
        </w:rPr>
        <w:t>.</w:t>
      </w:r>
      <w:r w:rsidR="00185C94">
        <w:rPr>
          <w:i/>
          <w:lang w:val="pl-PL"/>
        </w:rPr>
        <w:t xml:space="preserve"> </w:t>
      </w:r>
      <w:r>
        <w:rPr>
          <w:i/>
          <w:lang w:val="pl-PL"/>
        </w:rPr>
        <w:t>„Infra</w:t>
      </w:r>
      <w:r w:rsidR="00185C94">
        <w:rPr>
          <w:i/>
          <w:lang w:val="pl-PL"/>
        </w:rPr>
        <w:t>struktura techniczna”.</w:t>
      </w:r>
    </w:p>
    <w:p w:rsidR="00380101" w:rsidRPr="00BF0055" w:rsidRDefault="00380101" w:rsidP="00380101">
      <w:pPr>
        <w:spacing w:line="240" w:lineRule="auto"/>
        <w:jc w:val="both"/>
        <w:rPr>
          <w:b/>
          <w:u w:val="single"/>
          <w:lang w:val="pl-PL"/>
        </w:rPr>
      </w:pPr>
      <w:r>
        <w:rPr>
          <w:b/>
          <w:u w:val="single"/>
          <w:lang w:val="pl-PL"/>
        </w:rPr>
        <w:t>STATUTY</w:t>
      </w:r>
      <w:r w:rsidRPr="00BF0055">
        <w:rPr>
          <w:b/>
          <w:u w:val="single"/>
          <w:lang w:val="pl-PL"/>
        </w:rPr>
        <w:t xml:space="preserve">/ZMIANY </w:t>
      </w:r>
      <w:r>
        <w:rPr>
          <w:b/>
          <w:u w:val="single"/>
          <w:lang w:val="pl-PL"/>
        </w:rPr>
        <w:t>STATUTÓW JEDNOSTEK</w:t>
      </w:r>
      <w:r w:rsidRPr="00BF0055">
        <w:rPr>
          <w:b/>
          <w:u w:val="single"/>
          <w:lang w:val="pl-PL"/>
        </w:rPr>
        <w:t xml:space="preserve"> ORGANIZACYJNYCH</w:t>
      </w:r>
    </w:p>
    <w:p w:rsidR="00380101" w:rsidRPr="001F1B08" w:rsidRDefault="00380101" w:rsidP="00380101">
      <w:pPr>
        <w:spacing w:line="240" w:lineRule="auto"/>
        <w:jc w:val="both"/>
        <w:rPr>
          <w:bCs/>
          <w:lang w:val="pl-PL"/>
        </w:rPr>
      </w:pPr>
      <w:r w:rsidRPr="001F1B08">
        <w:rPr>
          <w:lang w:val="pl-PL"/>
        </w:rPr>
        <w:t>U</w:t>
      </w:r>
      <w:r w:rsidRPr="00C913ED">
        <w:rPr>
          <w:lang w:val="pl-PL"/>
        </w:rPr>
        <w:t>chwały</w:t>
      </w:r>
      <w:r>
        <w:rPr>
          <w:lang w:val="pl-PL"/>
        </w:rPr>
        <w:t>:</w:t>
      </w:r>
      <w:r w:rsidRPr="00C913ED">
        <w:rPr>
          <w:lang w:val="pl-PL"/>
        </w:rPr>
        <w:t xml:space="preserve"> nr </w:t>
      </w:r>
      <w:r w:rsidRPr="00C913ED">
        <w:rPr>
          <w:b/>
          <w:lang w:val="pl-PL"/>
        </w:rPr>
        <w:t>392/20</w:t>
      </w:r>
      <w:r w:rsidRPr="00C913ED">
        <w:rPr>
          <w:lang w:val="pl-PL"/>
        </w:rPr>
        <w:t xml:space="preserve"> oraz </w:t>
      </w:r>
      <w:r w:rsidRPr="00C913ED">
        <w:rPr>
          <w:b/>
          <w:lang w:val="pl-PL"/>
        </w:rPr>
        <w:t>450/20</w:t>
      </w:r>
      <w:r w:rsidR="00CB79FB">
        <w:rPr>
          <w:b/>
          <w:lang w:val="pl-PL"/>
        </w:rPr>
        <w:t xml:space="preserve"> </w:t>
      </w:r>
      <w:r w:rsidRPr="00C913ED">
        <w:rPr>
          <w:bCs/>
          <w:lang w:val="pl-PL"/>
        </w:rPr>
        <w:t xml:space="preserve">zmieniające uchwałę w sprawie utworzenia samorządowej jednostki organizacyjnej "Toruńskie Centrum Usług Wspólnych", nadania jej statutu oraz wspólnej obsługi jednostek organizacyjnych Gminy Miasta Toruń </w:t>
      </w:r>
      <w:r w:rsidRPr="001F1B08">
        <w:rPr>
          <w:bCs/>
          <w:lang w:val="pl-PL"/>
        </w:rPr>
        <w:t>poszerzyły katalog jednostek obsługiwanych przez Centrum o placówki oświatowe oraz zakres obsługi</w:t>
      </w:r>
      <w:r>
        <w:rPr>
          <w:bCs/>
          <w:lang w:val="pl-PL"/>
        </w:rPr>
        <w:t xml:space="preserve"> (dostosowano Regulamin Organizacyjny jednostki).</w:t>
      </w:r>
    </w:p>
    <w:p w:rsidR="00CB79FB" w:rsidRDefault="00380101" w:rsidP="00380101">
      <w:pPr>
        <w:spacing w:line="240" w:lineRule="auto"/>
        <w:jc w:val="both"/>
        <w:rPr>
          <w:lang w:val="pl-PL"/>
        </w:rPr>
      </w:pPr>
      <w:r w:rsidRPr="00DD7681">
        <w:rPr>
          <w:lang w:val="pl-PL"/>
        </w:rPr>
        <w:t>Zmiany statutów</w:t>
      </w:r>
      <w:r w:rsidRPr="007D6F95">
        <w:rPr>
          <w:lang w:val="pl-PL"/>
        </w:rPr>
        <w:t xml:space="preserve"> jednostek, </w:t>
      </w:r>
      <w:r>
        <w:rPr>
          <w:lang w:val="pl-PL"/>
        </w:rPr>
        <w:t>wdrożone</w:t>
      </w:r>
      <w:r w:rsidRPr="007D6F95">
        <w:rPr>
          <w:lang w:val="pl-PL"/>
        </w:rPr>
        <w:t xml:space="preserve"> zostały prz</w:t>
      </w:r>
      <w:r>
        <w:rPr>
          <w:lang w:val="pl-PL"/>
        </w:rPr>
        <w:t xml:space="preserve">ez ich dyrektorów, na podstawie </w:t>
      </w:r>
      <w:r w:rsidRPr="007D6F95">
        <w:rPr>
          <w:lang w:val="pl-PL"/>
        </w:rPr>
        <w:t>uchwał nr:</w:t>
      </w:r>
    </w:p>
    <w:p w:rsidR="00380101" w:rsidRPr="00C037D4" w:rsidRDefault="00380101" w:rsidP="00380101">
      <w:pPr>
        <w:spacing w:line="240" w:lineRule="auto"/>
        <w:jc w:val="both"/>
        <w:rPr>
          <w:lang w:val="pl-PL"/>
        </w:rPr>
      </w:pPr>
      <w:r>
        <w:rPr>
          <w:b/>
          <w:lang w:val="pl-PL"/>
        </w:rPr>
        <w:t xml:space="preserve">* </w:t>
      </w:r>
      <w:r w:rsidRPr="00C037D4">
        <w:rPr>
          <w:b/>
          <w:lang w:val="pl-PL"/>
        </w:rPr>
        <w:t>434/20</w:t>
      </w:r>
      <w:r w:rsidRPr="00C037D4">
        <w:rPr>
          <w:lang w:val="pl-PL"/>
        </w:rPr>
        <w:t xml:space="preserve"> – S</w:t>
      </w:r>
      <w:r>
        <w:rPr>
          <w:lang w:val="pl-PL"/>
        </w:rPr>
        <w:t xml:space="preserve">pecjalistycznego </w:t>
      </w:r>
      <w:r w:rsidRPr="00C037D4">
        <w:rPr>
          <w:lang w:val="pl-PL"/>
        </w:rPr>
        <w:t>S</w:t>
      </w:r>
      <w:r>
        <w:rPr>
          <w:lang w:val="pl-PL"/>
        </w:rPr>
        <w:t xml:space="preserve">zpitala </w:t>
      </w:r>
      <w:r w:rsidRPr="00C037D4">
        <w:rPr>
          <w:lang w:val="pl-PL"/>
        </w:rPr>
        <w:t>M</w:t>
      </w:r>
      <w:r>
        <w:rPr>
          <w:lang w:val="pl-PL"/>
        </w:rPr>
        <w:t>iejskiego im. M. Kopernika</w:t>
      </w:r>
      <w:r w:rsidRPr="00C037D4">
        <w:rPr>
          <w:lang w:val="pl-PL"/>
        </w:rPr>
        <w:t>,</w:t>
      </w:r>
    </w:p>
    <w:p w:rsidR="00380101" w:rsidRPr="007178B7" w:rsidRDefault="00380101" w:rsidP="00380101">
      <w:pPr>
        <w:spacing w:line="240" w:lineRule="auto"/>
        <w:jc w:val="both"/>
        <w:rPr>
          <w:lang w:val="pl-PL"/>
        </w:rPr>
      </w:pPr>
      <w:r>
        <w:rPr>
          <w:lang w:val="pl-PL"/>
        </w:rPr>
        <w:t>*</w:t>
      </w:r>
      <w:r w:rsidR="00CB79FB">
        <w:rPr>
          <w:lang w:val="pl-PL"/>
        </w:rPr>
        <w:t xml:space="preserve"> </w:t>
      </w:r>
      <w:r w:rsidRPr="007178B7">
        <w:rPr>
          <w:b/>
          <w:lang w:val="pl-PL"/>
        </w:rPr>
        <w:t>451/20</w:t>
      </w:r>
      <w:r w:rsidRPr="007178B7">
        <w:rPr>
          <w:lang w:val="pl-PL"/>
        </w:rPr>
        <w:t xml:space="preserve"> – D</w:t>
      </w:r>
      <w:r>
        <w:rPr>
          <w:lang w:val="pl-PL"/>
        </w:rPr>
        <w:t xml:space="preserve">omu </w:t>
      </w:r>
      <w:r w:rsidRPr="007178B7">
        <w:rPr>
          <w:lang w:val="pl-PL"/>
        </w:rPr>
        <w:t>P</w:t>
      </w:r>
      <w:r>
        <w:rPr>
          <w:lang w:val="pl-PL"/>
        </w:rPr>
        <w:t xml:space="preserve">omocy </w:t>
      </w:r>
      <w:r w:rsidRPr="007178B7">
        <w:rPr>
          <w:lang w:val="pl-PL"/>
        </w:rPr>
        <w:t>S</w:t>
      </w:r>
      <w:r>
        <w:rPr>
          <w:lang w:val="pl-PL"/>
        </w:rPr>
        <w:t>połecznej im. dr L. Szumana</w:t>
      </w:r>
      <w:r w:rsidRPr="007178B7">
        <w:rPr>
          <w:lang w:val="pl-PL"/>
        </w:rPr>
        <w:t>,</w:t>
      </w:r>
    </w:p>
    <w:p w:rsidR="00380101" w:rsidRPr="007178B7" w:rsidRDefault="00380101" w:rsidP="00380101">
      <w:pPr>
        <w:spacing w:line="240" w:lineRule="auto"/>
        <w:jc w:val="both"/>
        <w:rPr>
          <w:lang w:val="pl-PL"/>
        </w:rPr>
      </w:pPr>
      <w:r>
        <w:rPr>
          <w:lang w:val="pl-PL"/>
        </w:rPr>
        <w:t>*</w:t>
      </w:r>
      <w:r w:rsidR="00CB79FB">
        <w:rPr>
          <w:lang w:val="pl-PL"/>
        </w:rPr>
        <w:t xml:space="preserve"> </w:t>
      </w:r>
      <w:r w:rsidRPr="007178B7">
        <w:rPr>
          <w:b/>
          <w:lang w:val="pl-PL"/>
        </w:rPr>
        <w:t>452/20</w:t>
      </w:r>
      <w:r w:rsidRPr="007178B7">
        <w:rPr>
          <w:lang w:val="pl-PL"/>
        </w:rPr>
        <w:t xml:space="preserve"> – D</w:t>
      </w:r>
      <w:r>
        <w:rPr>
          <w:lang w:val="pl-PL"/>
        </w:rPr>
        <w:t xml:space="preserve">ziennego </w:t>
      </w:r>
      <w:r w:rsidRPr="007178B7">
        <w:rPr>
          <w:lang w:val="pl-PL"/>
        </w:rPr>
        <w:t>D</w:t>
      </w:r>
      <w:r>
        <w:rPr>
          <w:lang w:val="pl-PL"/>
        </w:rPr>
        <w:t xml:space="preserve">omu </w:t>
      </w:r>
      <w:r w:rsidRPr="007178B7">
        <w:rPr>
          <w:lang w:val="pl-PL"/>
        </w:rPr>
        <w:t>P</w:t>
      </w:r>
      <w:r>
        <w:rPr>
          <w:lang w:val="pl-PL"/>
        </w:rPr>
        <w:t xml:space="preserve">omocy </w:t>
      </w:r>
      <w:r w:rsidRPr="007178B7">
        <w:rPr>
          <w:lang w:val="pl-PL"/>
        </w:rPr>
        <w:t>S</w:t>
      </w:r>
      <w:r>
        <w:rPr>
          <w:lang w:val="pl-PL"/>
        </w:rPr>
        <w:t>połecznej</w:t>
      </w:r>
      <w:r w:rsidRPr="007178B7">
        <w:rPr>
          <w:lang w:val="pl-PL"/>
        </w:rPr>
        <w:t>,</w:t>
      </w:r>
    </w:p>
    <w:p w:rsidR="00380101" w:rsidRDefault="00380101" w:rsidP="00380101">
      <w:pPr>
        <w:spacing w:line="240" w:lineRule="auto"/>
        <w:jc w:val="both"/>
        <w:rPr>
          <w:lang w:val="pl-PL"/>
        </w:rPr>
      </w:pPr>
      <w:r>
        <w:rPr>
          <w:b/>
          <w:lang w:val="pl-PL"/>
        </w:rPr>
        <w:t>* 453/20</w:t>
      </w:r>
      <w:r>
        <w:rPr>
          <w:lang w:val="pl-PL"/>
        </w:rPr>
        <w:t xml:space="preserve"> – Miejskiego Schroniska dla Bezdomnych Mężczyzn,</w:t>
      </w:r>
    </w:p>
    <w:p w:rsidR="00380101" w:rsidRDefault="00380101" w:rsidP="00380101">
      <w:pPr>
        <w:spacing w:line="240" w:lineRule="auto"/>
        <w:jc w:val="both"/>
        <w:rPr>
          <w:lang w:val="pl-PL"/>
        </w:rPr>
      </w:pPr>
      <w:r>
        <w:rPr>
          <w:b/>
          <w:lang w:val="pl-PL"/>
        </w:rPr>
        <w:t xml:space="preserve">* 454/20 </w:t>
      </w:r>
      <w:r>
        <w:rPr>
          <w:lang w:val="pl-PL"/>
        </w:rPr>
        <w:t>– Zakładu Pielęgnacyjno-Opiekuńczego.</w:t>
      </w:r>
    </w:p>
    <w:p w:rsidR="00380101" w:rsidRPr="00DD7681" w:rsidRDefault="00380101" w:rsidP="00380101">
      <w:pPr>
        <w:spacing w:line="240" w:lineRule="auto"/>
        <w:jc w:val="both"/>
        <w:rPr>
          <w:lang w:val="pl-PL"/>
        </w:rPr>
      </w:pPr>
      <w:r w:rsidRPr="00DD7681">
        <w:rPr>
          <w:lang w:val="pl-PL"/>
        </w:rPr>
        <w:t xml:space="preserve">Na podstawie uchwały nr </w:t>
      </w:r>
      <w:r w:rsidRPr="00DD7681">
        <w:rPr>
          <w:b/>
          <w:lang w:val="pl-PL"/>
        </w:rPr>
        <w:t>534/20</w:t>
      </w:r>
      <w:r w:rsidRPr="00DD7681">
        <w:rPr>
          <w:lang w:val="pl-PL"/>
        </w:rPr>
        <w:t xml:space="preserve"> w sprawie zmiany statutu Powiatowego Urzędu Pracy dla Miasta Torunia zmieniono Regulamin Organizacyjny jednostki.</w:t>
      </w:r>
    </w:p>
    <w:p w:rsidR="00380101" w:rsidRPr="005D6851" w:rsidRDefault="00380101" w:rsidP="00380101">
      <w:pPr>
        <w:spacing w:line="240" w:lineRule="auto"/>
        <w:jc w:val="both"/>
        <w:rPr>
          <w:color w:val="FF0000"/>
          <w:lang w:val="pl-PL"/>
        </w:rPr>
      </w:pPr>
      <w:r>
        <w:rPr>
          <w:lang w:val="pl-PL"/>
        </w:rPr>
        <w:t xml:space="preserve">Uchwała nr </w:t>
      </w:r>
      <w:r>
        <w:rPr>
          <w:b/>
          <w:lang w:val="pl-PL"/>
        </w:rPr>
        <w:t>536/20</w:t>
      </w:r>
      <w:r>
        <w:rPr>
          <w:lang w:val="pl-PL"/>
        </w:rPr>
        <w:t xml:space="preserve"> pozwoliła na utworzenie Ośrodka Interwencji Kryzysowej w Toruniu </w:t>
      </w:r>
      <w:r w:rsidR="000A60EB">
        <w:rPr>
          <w:lang w:val="pl-PL"/>
        </w:rPr>
        <w:br/>
      </w:r>
      <w:r>
        <w:rPr>
          <w:lang w:val="pl-PL"/>
        </w:rPr>
        <w:t xml:space="preserve">z dniem 01.01.2021r., który prowadzi działalność </w:t>
      </w:r>
      <w:r w:rsidRPr="008504A8">
        <w:rPr>
          <w:sz w:val="23"/>
          <w:szCs w:val="23"/>
          <w:lang w:val="pl-PL"/>
        </w:rPr>
        <w:t>działa na bazie majątku Miejskiego Ośrodka Pomocy Rodzinie w Toruniu zlokalizowanego przy ul. M. Skłodowskiej – Curie 82-84.</w:t>
      </w:r>
    </w:p>
    <w:p w:rsidR="00380101" w:rsidRPr="000E40C5" w:rsidRDefault="00380101" w:rsidP="00380101">
      <w:pPr>
        <w:spacing w:line="240" w:lineRule="auto"/>
        <w:jc w:val="both"/>
        <w:rPr>
          <w:b/>
          <w:u w:val="single"/>
          <w:lang w:val="pl-PL"/>
        </w:rPr>
      </w:pPr>
      <w:r>
        <w:rPr>
          <w:b/>
          <w:u w:val="single"/>
          <w:lang w:val="pl-PL"/>
        </w:rPr>
        <w:t xml:space="preserve">PODATKI </w:t>
      </w:r>
    </w:p>
    <w:p w:rsidR="00380101" w:rsidRPr="004551C4" w:rsidRDefault="00380101" w:rsidP="00380101">
      <w:pPr>
        <w:spacing w:line="240" w:lineRule="auto"/>
        <w:jc w:val="both"/>
        <w:rPr>
          <w:lang w:val="pl-PL"/>
        </w:rPr>
      </w:pPr>
      <w:r w:rsidRPr="004551C4">
        <w:rPr>
          <w:lang w:val="pl-PL"/>
        </w:rPr>
        <w:t>Wdrożono zmiany w procedurze, wprowadzone uchwałą</w:t>
      </w:r>
      <w:r w:rsidR="00185C94">
        <w:rPr>
          <w:lang w:val="pl-PL"/>
        </w:rPr>
        <w:t xml:space="preserve"> </w:t>
      </w:r>
      <w:r w:rsidRPr="004551C4">
        <w:rPr>
          <w:lang w:val="pl-PL"/>
        </w:rPr>
        <w:t>nr</w:t>
      </w:r>
      <w:r w:rsidRPr="004551C4">
        <w:rPr>
          <w:b/>
          <w:lang w:val="pl-PL"/>
        </w:rPr>
        <w:t xml:space="preserve"> 369/20 </w:t>
      </w:r>
      <w:r w:rsidRPr="004551C4">
        <w:rPr>
          <w:lang w:val="pl-PL"/>
        </w:rPr>
        <w:t xml:space="preserve">zmieniającą uchwałę </w:t>
      </w:r>
      <w:r w:rsidR="000A60EB">
        <w:rPr>
          <w:lang w:val="pl-PL"/>
        </w:rPr>
        <w:br/>
      </w:r>
      <w:r w:rsidRPr="004551C4">
        <w:rPr>
          <w:lang w:val="pl-PL"/>
        </w:rPr>
        <w:t>w sprawie określenia zasad, sposobu i trybu udzielania ulg w spłacie należności pieniężnych mających charakter cywilnoprawny.</w:t>
      </w:r>
    </w:p>
    <w:p w:rsidR="00380101" w:rsidRPr="004551C4" w:rsidRDefault="00380101" w:rsidP="00380101">
      <w:pPr>
        <w:spacing w:line="240" w:lineRule="auto"/>
        <w:jc w:val="both"/>
        <w:rPr>
          <w:lang w:val="pl-PL"/>
        </w:rPr>
      </w:pPr>
      <w:r w:rsidRPr="004551C4">
        <w:rPr>
          <w:lang w:val="pl-PL"/>
        </w:rPr>
        <w:t xml:space="preserve">Na podstawie uchwał: nr </w:t>
      </w:r>
      <w:r w:rsidRPr="004551C4">
        <w:rPr>
          <w:b/>
          <w:lang w:val="pl-PL"/>
        </w:rPr>
        <w:t>370/20</w:t>
      </w:r>
      <w:r w:rsidRPr="004551C4">
        <w:rPr>
          <w:lang w:val="pl-PL"/>
        </w:rPr>
        <w:t xml:space="preserve"> w sprawie przesunięcia terminu płatności podatku od nieruchomości oraz nr</w:t>
      </w:r>
      <w:r w:rsidR="00CB79FB">
        <w:rPr>
          <w:lang w:val="pl-PL"/>
        </w:rPr>
        <w:t xml:space="preserve"> </w:t>
      </w:r>
      <w:r>
        <w:rPr>
          <w:b/>
          <w:lang w:val="pl-PL"/>
        </w:rPr>
        <w:t>371/20</w:t>
      </w:r>
      <w:r>
        <w:rPr>
          <w:lang w:val="pl-PL"/>
        </w:rPr>
        <w:t xml:space="preserve"> w sprawie zwolnienia od podatku od nieruchomości podatników prowadzących działalność gospodarczą, których płynność finansowa uległa pogorszenia w związku z ponoszeniem negatywnych konsekwencji ekonomicznych z powodu COVID-19, </w:t>
      </w:r>
      <w:r w:rsidRPr="004551C4">
        <w:rPr>
          <w:lang w:val="pl-PL"/>
        </w:rPr>
        <w:t xml:space="preserve">rozpatrywanie oświadczeń od przedsiębiorców, których płynność finansowa uległa pogorszeniu w związku z ponoszeniem negatywnych konsekwencji ekonomicznych </w:t>
      </w:r>
      <w:r w:rsidR="00CB79FB">
        <w:rPr>
          <w:lang w:val="pl-PL"/>
        </w:rPr>
        <w:br/>
      </w:r>
      <w:r w:rsidRPr="004551C4">
        <w:rPr>
          <w:lang w:val="pl-PL"/>
        </w:rPr>
        <w:t>z powodu COVID-19 do 15.09.2020</w:t>
      </w:r>
      <w:r w:rsidR="00CB79FB">
        <w:rPr>
          <w:lang w:val="pl-PL"/>
        </w:rPr>
        <w:t xml:space="preserve"> </w:t>
      </w:r>
      <w:r w:rsidRPr="004551C4">
        <w:rPr>
          <w:lang w:val="pl-PL"/>
        </w:rPr>
        <w:t xml:space="preserve">r. </w:t>
      </w:r>
    </w:p>
    <w:p w:rsidR="00380101" w:rsidRDefault="00380101" w:rsidP="00380101">
      <w:pPr>
        <w:spacing w:line="240" w:lineRule="auto"/>
        <w:jc w:val="both"/>
        <w:rPr>
          <w:b/>
          <w:lang w:val="pl-PL"/>
        </w:rPr>
      </w:pPr>
      <w:r>
        <w:rPr>
          <w:lang w:val="pl-PL"/>
        </w:rPr>
        <w:t>Pozostałe zmiany w obowiązujących regulacjach podatkowych dotyczących zwolnień wdrożone zostały na podstawie uchwał nr:</w:t>
      </w:r>
    </w:p>
    <w:p w:rsidR="00380101" w:rsidRDefault="00380101" w:rsidP="00380101">
      <w:pPr>
        <w:spacing w:line="240" w:lineRule="auto"/>
        <w:jc w:val="both"/>
        <w:rPr>
          <w:b/>
          <w:lang w:val="pl-PL"/>
        </w:rPr>
      </w:pPr>
      <w:r>
        <w:rPr>
          <w:b/>
          <w:lang w:val="pl-PL"/>
        </w:rPr>
        <w:t xml:space="preserve">* 373/20, 501/20, 527/20 </w:t>
      </w:r>
      <w:r>
        <w:rPr>
          <w:rStyle w:val="b"/>
          <w:lang w:val="pl-PL"/>
        </w:rPr>
        <w:t>w sprawie zmiany uchwały w sprawie zwolnienia od podatku od nieruchomości w ramach pomocy de minimis na tworzenie nowych miejsc pracy,</w:t>
      </w:r>
    </w:p>
    <w:p w:rsidR="00380101" w:rsidRDefault="00380101" w:rsidP="00380101">
      <w:pPr>
        <w:spacing w:line="240" w:lineRule="auto"/>
        <w:jc w:val="both"/>
        <w:rPr>
          <w:b/>
          <w:bCs/>
          <w:lang w:val="pl-PL"/>
        </w:rPr>
      </w:pPr>
      <w:r>
        <w:rPr>
          <w:b/>
          <w:lang w:val="pl-PL"/>
        </w:rPr>
        <w:t xml:space="preserve">* 374/20, 503/20 </w:t>
      </w:r>
      <w:r>
        <w:rPr>
          <w:bCs/>
          <w:lang w:val="pl-PL"/>
        </w:rPr>
        <w:t>w sprawie zmiany uchwały w sprawie zwolnienia od podatku od nieruchomości nowo wybudowanych budynków mieszkalnych,</w:t>
      </w:r>
    </w:p>
    <w:p w:rsidR="00380101" w:rsidRDefault="00CB79FB" w:rsidP="00380101">
      <w:pPr>
        <w:spacing w:line="240" w:lineRule="auto"/>
        <w:jc w:val="both"/>
        <w:rPr>
          <w:b/>
          <w:lang w:val="pl-PL"/>
        </w:rPr>
      </w:pPr>
      <w:r>
        <w:rPr>
          <w:b/>
          <w:bCs/>
          <w:lang w:val="pl-PL"/>
        </w:rPr>
        <w:lastRenderedPageBreak/>
        <w:t xml:space="preserve">* </w:t>
      </w:r>
      <w:r w:rsidR="00380101">
        <w:rPr>
          <w:b/>
          <w:bCs/>
          <w:lang w:val="pl-PL"/>
        </w:rPr>
        <w:t xml:space="preserve">498/20 </w:t>
      </w:r>
      <w:r w:rsidR="00380101">
        <w:rPr>
          <w:lang w:val="pl-PL"/>
        </w:rPr>
        <w:t>w sprawie zwolnienia od podatku od nieruchomości w zakresie branż chronionych, zanikających i preferowanych,</w:t>
      </w:r>
    </w:p>
    <w:p w:rsidR="00380101" w:rsidRDefault="00CB79FB" w:rsidP="00380101">
      <w:pPr>
        <w:spacing w:line="240" w:lineRule="auto"/>
        <w:jc w:val="both"/>
        <w:rPr>
          <w:b/>
          <w:lang w:val="pl-PL"/>
        </w:rPr>
      </w:pPr>
      <w:r>
        <w:rPr>
          <w:b/>
          <w:lang w:val="pl-PL"/>
        </w:rPr>
        <w:t xml:space="preserve">* </w:t>
      </w:r>
      <w:r w:rsidR="00380101">
        <w:rPr>
          <w:b/>
          <w:lang w:val="pl-PL"/>
        </w:rPr>
        <w:t xml:space="preserve">499/20 </w:t>
      </w:r>
      <w:r w:rsidR="00380101">
        <w:rPr>
          <w:lang w:val="pl-PL"/>
        </w:rPr>
        <w:t>w sprawie zwolnienia od podatku od nieruchomości na terenie Strefy Staromiejskiej,</w:t>
      </w:r>
    </w:p>
    <w:p w:rsidR="00380101" w:rsidRDefault="00380101" w:rsidP="00380101">
      <w:pPr>
        <w:spacing w:line="240" w:lineRule="auto"/>
        <w:jc w:val="both"/>
        <w:rPr>
          <w:b/>
          <w:lang w:val="pl-PL"/>
        </w:rPr>
      </w:pPr>
      <w:r>
        <w:rPr>
          <w:b/>
          <w:lang w:val="pl-PL"/>
        </w:rPr>
        <w:t xml:space="preserve">* 500/20 </w:t>
      </w:r>
      <w:r>
        <w:rPr>
          <w:lang w:val="pl-PL"/>
        </w:rPr>
        <w:t xml:space="preserve">w sprawie zwolnienia od podatku od nieruchomości nowych inwestycji na terenie GMT w ramach pomocy de minimis, </w:t>
      </w:r>
    </w:p>
    <w:p w:rsidR="00380101" w:rsidRDefault="00380101" w:rsidP="00380101">
      <w:pPr>
        <w:spacing w:line="240" w:lineRule="auto"/>
        <w:jc w:val="both"/>
        <w:rPr>
          <w:lang w:val="pl-PL"/>
        </w:rPr>
      </w:pPr>
      <w:r>
        <w:rPr>
          <w:b/>
          <w:lang w:val="pl-PL"/>
        </w:rPr>
        <w:t xml:space="preserve"> * 502/20</w:t>
      </w:r>
      <w:r w:rsidR="00CB79FB">
        <w:rPr>
          <w:lang w:val="pl-PL"/>
        </w:rPr>
        <w:t xml:space="preserve"> </w:t>
      </w:r>
      <w:r>
        <w:rPr>
          <w:lang w:val="pl-PL"/>
        </w:rPr>
        <w:t xml:space="preserve">w sprawie zwolnienia od podatku od nieruchomości gruntów, budynków </w:t>
      </w:r>
      <w:r w:rsidR="00AE2896">
        <w:rPr>
          <w:lang w:val="pl-PL"/>
        </w:rPr>
        <w:br/>
      </w:r>
      <w:r>
        <w:rPr>
          <w:lang w:val="pl-PL"/>
        </w:rPr>
        <w:t xml:space="preserve">i budowli związanych  z funkcjonowaniem placów zabaw dla dzieci, sportowych boisk </w:t>
      </w:r>
      <w:r w:rsidR="00AE2896">
        <w:rPr>
          <w:lang w:val="pl-PL"/>
        </w:rPr>
        <w:br/>
      </w:r>
      <w:r>
        <w:rPr>
          <w:lang w:val="pl-PL"/>
        </w:rPr>
        <w:t>i stadionów oraz basenów kąpielowych odkrytych udostępnionych do użytku publicznego.</w:t>
      </w:r>
    </w:p>
    <w:p w:rsidR="00380101" w:rsidRPr="000E2C77" w:rsidRDefault="00380101" w:rsidP="00380101">
      <w:pPr>
        <w:spacing w:line="240" w:lineRule="auto"/>
        <w:jc w:val="both"/>
        <w:rPr>
          <w:lang w:val="pl-PL"/>
        </w:rPr>
      </w:pPr>
      <w:r>
        <w:rPr>
          <w:lang w:val="pl-PL"/>
        </w:rPr>
        <w:t>N</w:t>
      </w:r>
      <w:r w:rsidRPr="00A61584">
        <w:rPr>
          <w:lang w:val="pl-PL"/>
        </w:rPr>
        <w:t xml:space="preserve">a podstawie uchwały nr </w:t>
      </w:r>
      <w:r w:rsidRPr="00A61584">
        <w:rPr>
          <w:b/>
          <w:lang w:val="pl-PL"/>
        </w:rPr>
        <w:t>372/20</w:t>
      </w:r>
      <w:r w:rsidRPr="00A61584">
        <w:rPr>
          <w:lang w:val="pl-PL"/>
        </w:rPr>
        <w:t xml:space="preserve"> uchylającej uchwałę w sprawie wprowadze</w:t>
      </w:r>
      <w:r w:rsidR="00CB79FB">
        <w:rPr>
          <w:lang w:val="pl-PL"/>
        </w:rPr>
        <w:t xml:space="preserve">nia </w:t>
      </w:r>
      <w:r>
        <w:rPr>
          <w:lang w:val="pl-PL"/>
        </w:rPr>
        <w:t>opłaty</w:t>
      </w:r>
      <w:r w:rsidR="00CB79FB">
        <w:rPr>
          <w:lang w:val="pl-PL"/>
        </w:rPr>
        <w:t xml:space="preserve"> prolongacyjnej</w:t>
      </w:r>
      <w:r>
        <w:rPr>
          <w:lang w:val="pl-PL"/>
        </w:rPr>
        <w:t xml:space="preserve"> </w:t>
      </w:r>
      <w:r w:rsidRPr="00A61584">
        <w:rPr>
          <w:lang w:val="pl-PL"/>
        </w:rPr>
        <w:t xml:space="preserve">nastąpiło </w:t>
      </w:r>
      <w:r>
        <w:rPr>
          <w:lang w:val="pl-PL"/>
        </w:rPr>
        <w:t>z</w:t>
      </w:r>
      <w:r w:rsidRPr="00A61584">
        <w:rPr>
          <w:lang w:val="pl-PL"/>
        </w:rPr>
        <w:t xml:space="preserve">aprzestanie poboru </w:t>
      </w:r>
      <w:r w:rsidR="00CB79FB">
        <w:rPr>
          <w:lang w:val="pl-PL"/>
        </w:rPr>
        <w:t xml:space="preserve">tej opłaty. </w:t>
      </w:r>
    </w:p>
    <w:p w:rsidR="00380101" w:rsidRDefault="00380101" w:rsidP="00380101">
      <w:pPr>
        <w:spacing w:line="240" w:lineRule="auto"/>
        <w:jc w:val="both"/>
        <w:rPr>
          <w:i/>
          <w:lang w:val="pl-PL"/>
        </w:rPr>
      </w:pPr>
      <w:r w:rsidRPr="00A61584">
        <w:rPr>
          <w:i/>
          <w:lang w:val="pl-PL"/>
        </w:rPr>
        <w:t>Informacje dotyczące zastosowanych na podstawie uchwał r</w:t>
      </w:r>
      <w:r>
        <w:rPr>
          <w:i/>
          <w:lang w:val="pl-PL"/>
        </w:rPr>
        <w:t>ozwiązań podatkowych w związku ze skutkami pandemii COVID – 19</w:t>
      </w:r>
      <w:r w:rsidR="00AE2896">
        <w:rPr>
          <w:i/>
          <w:lang w:val="pl-PL"/>
        </w:rPr>
        <w:t xml:space="preserve"> – w dziale III</w:t>
      </w:r>
      <w:r>
        <w:rPr>
          <w:i/>
          <w:lang w:val="pl-PL"/>
        </w:rPr>
        <w:t xml:space="preserve"> </w:t>
      </w:r>
      <w:r w:rsidR="00185C94">
        <w:rPr>
          <w:i/>
          <w:lang w:val="pl-PL"/>
        </w:rPr>
        <w:t>„</w:t>
      </w:r>
      <w:r w:rsidR="00AE2896">
        <w:rPr>
          <w:i/>
          <w:lang w:val="pl-PL"/>
        </w:rPr>
        <w:t>Rok 2020 – rokiem epidemii COVID-19</w:t>
      </w:r>
      <w:r w:rsidR="00185C94">
        <w:rPr>
          <w:i/>
          <w:lang w:val="pl-PL"/>
        </w:rPr>
        <w:t>”.</w:t>
      </w:r>
    </w:p>
    <w:p w:rsidR="00380101" w:rsidRDefault="00380101" w:rsidP="00380101">
      <w:pPr>
        <w:spacing w:line="240" w:lineRule="auto"/>
        <w:jc w:val="both"/>
        <w:rPr>
          <w:b/>
          <w:bCs/>
          <w:lang w:val="pl-PL"/>
        </w:rPr>
      </w:pPr>
      <w:r>
        <w:rPr>
          <w:bCs/>
          <w:lang w:val="pl-PL"/>
        </w:rPr>
        <w:t xml:space="preserve">Na podstawie uchwał: nr </w:t>
      </w:r>
      <w:r>
        <w:rPr>
          <w:b/>
          <w:bCs/>
          <w:lang w:val="pl-PL"/>
        </w:rPr>
        <w:t>471/20</w:t>
      </w:r>
      <w:r>
        <w:rPr>
          <w:bCs/>
          <w:lang w:val="pl-PL"/>
        </w:rPr>
        <w:t xml:space="preserve"> – dotyczącej wysokości stawek podatku od środków transportowych oraz nr </w:t>
      </w:r>
      <w:r>
        <w:rPr>
          <w:b/>
          <w:bCs/>
          <w:lang w:val="pl-PL"/>
        </w:rPr>
        <w:t xml:space="preserve">472/20 – </w:t>
      </w:r>
      <w:r>
        <w:rPr>
          <w:bCs/>
          <w:lang w:val="pl-PL"/>
        </w:rPr>
        <w:t>dotyczącej wysokości stawek podatku od nieruchomości, od 01.01.2021 r. zastosowanie mają uchwalone wysokości stawek ww. podatków.</w:t>
      </w:r>
    </w:p>
    <w:p w:rsidR="00380101" w:rsidRPr="000E40C5" w:rsidRDefault="00380101" w:rsidP="00380101">
      <w:pPr>
        <w:spacing w:line="240" w:lineRule="auto"/>
        <w:jc w:val="both"/>
        <w:rPr>
          <w:b/>
          <w:color w:val="000000"/>
          <w:u w:val="single"/>
          <w:lang w:val="pl-PL"/>
        </w:rPr>
      </w:pPr>
      <w:r>
        <w:rPr>
          <w:b/>
          <w:color w:val="000000"/>
          <w:u w:val="single"/>
          <w:lang w:val="pl-PL"/>
        </w:rPr>
        <w:t>KOMUNIKACJA SPOŁECZNA I INFORMACJA</w:t>
      </w:r>
    </w:p>
    <w:p w:rsidR="00380101" w:rsidRPr="0085559D" w:rsidRDefault="00380101" w:rsidP="00380101">
      <w:pPr>
        <w:spacing w:line="240" w:lineRule="auto"/>
        <w:jc w:val="both"/>
        <w:rPr>
          <w:lang w:val="pl-PL"/>
        </w:rPr>
      </w:pPr>
      <w:r>
        <w:rPr>
          <w:color w:val="000000"/>
          <w:lang w:val="pl-PL"/>
        </w:rPr>
        <w:t xml:space="preserve">Plan konsultacji społecznych na 2020 r. został przyjęty uchwałą nr </w:t>
      </w:r>
      <w:r>
        <w:rPr>
          <w:b/>
          <w:color w:val="000000"/>
          <w:lang w:val="pl-PL"/>
        </w:rPr>
        <w:t>326/20</w:t>
      </w:r>
      <w:r>
        <w:rPr>
          <w:color w:val="000000"/>
          <w:lang w:val="pl-PL"/>
        </w:rPr>
        <w:t xml:space="preserve"> (zmiana – uchwałą nr </w:t>
      </w:r>
      <w:r>
        <w:rPr>
          <w:b/>
          <w:color w:val="000000"/>
          <w:lang w:val="pl-PL"/>
        </w:rPr>
        <w:t>533/20</w:t>
      </w:r>
      <w:r>
        <w:rPr>
          <w:color w:val="000000"/>
          <w:lang w:val="pl-PL"/>
        </w:rPr>
        <w:t xml:space="preserve">). </w:t>
      </w:r>
      <w:r>
        <w:rPr>
          <w:bCs/>
          <w:lang w:val="pl-PL"/>
        </w:rPr>
        <w:t xml:space="preserve">Uchwałą nr </w:t>
      </w:r>
      <w:r>
        <w:rPr>
          <w:b/>
          <w:bCs/>
          <w:lang w:val="pl-PL"/>
        </w:rPr>
        <w:t>381/20</w:t>
      </w:r>
      <w:r>
        <w:rPr>
          <w:bCs/>
          <w:lang w:val="pl-PL"/>
        </w:rPr>
        <w:t xml:space="preserve"> Rada Miasta przyjęła zmiany dotyczące procedur Regulaminu konsultacji społecznych</w:t>
      </w:r>
      <w:r>
        <w:rPr>
          <w:lang w:val="pl-PL"/>
        </w:rPr>
        <w:t>.</w:t>
      </w:r>
    </w:p>
    <w:p w:rsidR="00380101" w:rsidRPr="00E36B34" w:rsidRDefault="00380101" w:rsidP="00380101">
      <w:pPr>
        <w:spacing w:line="240" w:lineRule="auto"/>
        <w:jc w:val="both"/>
        <w:rPr>
          <w:i/>
          <w:lang w:val="pl-PL"/>
        </w:rPr>
      </w:pPr>
      <w:r w:rsidRPr="00E36B34">
        <w:rPr>
          <w:i/>
          <w:lang w:val="pl-PL"/>
        </w:rPr>
        <w:t>Informacje dotyczące realizacji powyższych uchwał – w dziale</w:t>
      </w:r>
      <w:r w:rsidR="00185C94">
        <w:rPr>
          <w:i/>
          <w:lang w:val="pl-PL"/>
        </w:rPr>
        <w:t xml:space="preserve"> V</w:t>
      </w:r>
      <w:r w:rsidR="00223809">
        <w:rPr>
          <w:i/>
          <w:lang w:val="pl-PL"/>
        </w:rPr>
        <w:t>.</w:t>
      </w:r>
      <w:r w:rsidRPr="00E36B34">
        <w:rPr>
          <w:i/>
          <w:lang w:val="pl-PL"/>
        </w:rPr>
        <w:t xml:space="preserve"> „Partycypacja społeczna </w:t>
      </w:r>
      <w:r w:rsidR="00185C94">
        <w:rPr>
          <w:i/>
          <w:lang w:val="pl-PL"/>
        </w:rPr>
        <w:br/>
        <w:t>i budżet obywatelski”.</w:t>
      </w:r>
    </w:p>
    <w:p w:rsidR="00380101" w:rsidRDefault="00380101" w:rsidP="00380101">
      <w:pPr>
        <w:spacing w:line="240" w:lineRule="auto"/>
        <w:jc w:val="both"/>
        <w:rPr>
          <w:lang w:val="pl-PL"/>
        </w:rPr>
      </w:pPr>
      <w:r>
        <w:rPr>
          <w:lang w:val="pl-PL"/>
        </w:rPr>
        <w:t xml:space="preserve">Uchwałą nr </w:t>
      </w:r>
      <w:r>
        <w:rPr>
          <w:b/>
          <w:lang w:val="pl-PL"/>
        </w:rPr>
        <w:t>522/20</w:t>
      </w:r>
      <w:r>
        <w:rPr>
          <w:lang w:val="pl-PL"/>
        </w:rPr>
        <w:t xml:space="preserve"> przyjęty został, realizowany obecnie, Program Współpracy Gminy Miasta Toruń z organizacjami pozarządowymi w 2021 r.</w:t>
      </w:r>
    </w:p>
    <w:p w:rsidR="00380101" w:rsidRPr="000E40C5" w:rsidRDefault="00380101" w:rsidP="00380101">
      <w:pPr>
        <w:spacing w:line="240" w:lineRule="auto"/>
        <w:jc w:val="both"/>
        <w:rPr>
          <w:b/>
          <w:u w:val="single"/>
          <w:lang w:val="pl-PL"/>
        </w:rPr>
      </w:pPr>
      <w:r>
        <w:rPr>
          <w:b/>
          <w:u w:val="single"/>
          <w:lang w:val="pl-PL"/>
        </w:rPr>
        <w:t>ZDROWIE I POLITYKA SPOŁECZNA</w:t>
      </w:r>
    </w:p>
    <w:p w:rsidR="00380101" w:rsidRDefault="00380101" w:rsidP="00380101">
      <w:pPr>
        <w:spacing w:line="240" w:lineRule="auto"/>
        <w:jc w:val="both"/>
        <w:rPr>
          <w:lang w:val="pl-PL"/>
        </w:rPr>
      </w:pPr>
      <w:r>
        <w:rPr>
          <w:b/>
          <w:lang w:val="pl-PL"/>
        </w:rPr>
        <w:t>Polityki i programy uchwalone w 2020 roku:</w:t>
      </w:r>
    </w:p>
    <w:p w:rsidR="00380101" w:rsidRDefault="00380101" w:rsidP="00380101">
      <w:pPr>
        <w:pStyle w:val="NormalnyWeb"/>
        <w:spacing w:before="0" w:beforeAutospacing="0" w:after="0"/>
        <w:jc w:val="both"/>
      </w:pPr>
      <w:r>
        <w:t>*</w:t>
      </w:r>
      <w:r w:rsidR="00CB79FB">
        <w:t xml:space="preserve"> </w:t>
      </w:r>
      <w:r>
        <w:rPr>
          <w:b/>
        </w:rPr>
        <w:t>325/20</w:t>
      </w:r>
      <w:r>
        <w:t xml:space="preserve"> – sprawie przystąpienia do programu „Asystent osobisty </w:t>
      </w:r>
      <w:r w:rsidR="00CB79FB">
        <w:t xml:space="preserve">osoby niepełnosprawnej”- edycja </w:t>
      </w:r>
      <w:r>
        <w:t>2019/2020 w ramach Solidarno</w:t>
      </w:r>
      <w:r w:rsidR="002F3694">
        <w:t xml:space="preserve">ściowego Funduszu Wsparcia Osób </w:t>
      </w:r>
      <w:r>
        <w:t>Niepełnosprawnych,</w:t>
      </w:r>
    </w:p>
    <w:p w:rsidR="00380101" w:rsidRDefault="00380101" w:rsidP="00380101">
      <w:pPr>
        <w:pStyle w:val="NormalnyWeb"/>
        <w:spacing w:before="0" w:beforeAutospacing="0" w:after="0"/>
        <w:jc w:val="both"/>
      </w:pPr>
      <w:r>
        <w:t>*</w:t>
      </w:r>
      <w:r w:rsidR="00CB79FB">
        <w:t xml:space="preserve"> </w:t>
      </w:r>
      <w:r>
        <w:rPr>
          <w:b/>
        </w:rPr>
        <w:t>341/20</w:t>
      </w:r>
      <w:r w:rsidR="00CB79FB">
        <w:t xml:space="preserve"> </w:t>
      </w:r>
      <w:r>
        <w:t>w sprawie przyjęcia programu polityki zdrowotnej pn."Qźnia zdrowia kids– program wczesnego wykrywania nadwagi i otyłości wśród dzieci i młodzieży w Toruniu" na lata 2020-2025,</w:t>
      </w:r>
    </w:p>
    <w:p w:rsidR="00380101" w:rsidRPr="00B5258B" w:rsidRDefault="00380101" w:rsidP="00380101">
      <w:pPr>
        <w:pStyle w:val="western"/>
        <w:spacing w:before="0" w:after="0" w:line="240" w:lineRule="auto"/>
        <w:jc w:val="both"/>
        <w:rPr>
          <w:bCs/>
          <w:sz w:val="24"/>
          <w:szCs w:val="24"/>
          <w:lang w:val="pl-PL"/>
        </w:rPr>
      </w:pPr>
      <w:r>
        <w:rPr>
          <w:sz w:val="24"/>
          <w:szCs w:val="24"/>
          <w:lang w:val="pl-PL"/>
        </w:rPr>
        <w:t>*</w:t>
      </w:r>
      <w:r w:rsidR="00CB79FB">
        <w:rPr>
          <w:sz w:val="24"/>
          <w:szCs w:val="24"/>
          <w:lang w:val="pl-PL"/>
        </w:rPr>
        <w:t xml:space="preserve"> </w:t>
      </w:r>
      <w:r w:rsidRPr="00B5258B">
        <w:rPr>
          <w:b/>
          <w:sz w:val="24"/>
          <w:szCs w:val="24"/>
          <w:lang w:val="pl-PL"/>
        </w:rPr>
        <w:t>405/20</w:t>
      </w:r>
      <w:r w:rsidR="00CB79FB">
        <w:rPr>
          <w:sz w:val="24"/>
          <w:szCs w:val="24"/>
          <w:lang w:val="pl-PL"/>
        </w:rPr>
        <w:t xml:space="preserve"> </w:t>
      </w:r>
      <w:r w:rsidRPr="00B5258B">
        <w:rPr>
          <w:sz w:val="24"/>
          <w:szCs w:val="24"/>
          <w:lang w:val="pl-PL"/>
        </w:rPr>
        <w:t>w sprawie przystąpienia do realizacji Programu „Opieka wytchnieniowa”- edycja 2020 w ramach Solidarnościowego Funduszu Wsparcia Osób Niepełnosprawnych</w:t>
      </w:r>
      <w:r w:rsidRPr="00B5258B">
        <w:rPr>
          <w:bCs/>
          <w:sz w:val="24"/>
          <w:szCs w:val="24"/>
          <w:lang w:val="pl-PL"/>
        </w:rPr>
        <w:t>,</w:t>
      </w:r>
    </w:p>
    <w:p w:rsidR="00380101" w:rsidRPr="00B5258B" w:rsidRDefault="00CB79FB" w:rsidP="00380101">
      <w:pPr>
        <w:pStyle w:val="NormalnyWeb"/>
        <w:spacing w:before="0" w:beforeAutospacing="0" w:after="0"/>
        <w:jc w:val="both"/>
        <w:rPr>
          <w:bCs/>
        </w:rPr>
      </w:pPr>
      <w:r>
        <w:rPr>
          <w:b/>
          <w:bCs/>
        </w:rPr>
        <w:t xml:space="preserve">* </w:t>
      </w:r>
      <w:r w:rsidR="00380101" w:rsidRPr="00B5258B">
        <w:rPr>
          <w:b/>
          <w:bCs/>
        </w:rPr>
        <w:t>406/20</w:t>
      </w:r>
      <w:r>
        <w:rPr>
          <w:bCs/>
        </w:rPr>
        <w:t xml:space="preserve"> w </w:t>
      </w:r>
      <w:r w:rsidR="00380101" w:rsidRPr="00B5258B">
        <w:t>sprawie przyjęcia programu profilaktyki szczepień przeciw HPV pn. „HPV- odporni w Toruniu” na lata 2020-2025</w:t>
      </w:r>
      <w:r w:rsidR="00380101">
        <w:rPr>
          <w:bCs/>
        </w:rPr>
        <w:t>,</w:t>
      </w:r>
    </w:p>
    <w:p w:rsidR="00380101" w:rsidRDefault="00380101" w:rsidP="00380101">
      <w:pPr>
        <w:pStyle w:val="NormalnyWeb"/>
        <w:spacing w:before="0" w:beforeAutospacing="0" w:after="0"/>
        <w:jc w:val="both"/>
      </w:pPr>
      <w:r>
        <w:rPr>
          <w:b/>
          <w:bCs/>
        </w:rPr>
        <w:t xml:space="preserve">* 407/20 </w:t>
      </w:r>
      <w:r w:rsidR="00CB79FB" w:rsidRPr="00CB79FB">
        <w:rPr>
          <w:i/>
        </w:rPr>
        <w:t>w</w:t>
      </w:r>
      <w:r>
        <w:rPr>
          <w:i/>
        </w:rPr>
        <w:t xml:space="preserve"> </w:t>
      </w:r>
      <w:r>
        <w:t xml:space="preserve">sprawie przyjęcia programu polityki zdrowotnej wczesnego wykrywania wad wzroku u dzieci w wieku 5 lat zamieszkałych na terenie Miasta Torunia na lata 2020-2025 </w:t>
      </w:r>
      <w:r w:rsidR="00CB79FB">
        <w:br/>
      </w:r>
      <w:r>
        <w:t>pn. „Toruń ma oko na dzieciaki”,</w:t>
      </w:r>
    </w:p>
    <w:p w:rsidR="00380101" w:rsidRDefault="00380101" w:rsidP="00380101">
      <w:pPr>
        <w:spacing w:line="240" w:lineRule="auto"/>
        <w:jc w:val="both"/>
        <w:rPr>
          <w:i/>
          <w:lang w:val="pl-PL"/>
        </w:rPr>
      </w:pPr>
      <w:r>
        <w:rPr>
          <w:i/>
          <w:lang w:val="pl-PL"/>
        </w:rPr>
        <w:t xml:space="preserve">Informacje dotyczące realizacji powyższych uchwał – w działach: </w:t>
      </w:r>
      <w:r w:rsidR="00185C94">
        <w:rPr>
          <w:i/>
          <w:lang w:val="pl-PL"/>
        </w:rPr>
        <w:t>VIII</w:t>
      </w:r>
      <w:r w:rsidR="00223809">
        <w:rPr>
          <w:i/>
          <w:lang w:val="pl-PL"/>
        </w:rPr>
        <w:t>.</w:t>
      </w:r>
      <w:r w:rsidR="00185C94">
        <w:rPr>
          <w:i/>
          <w:lang w:val="pl-PL"/>
        </w:rPr>
        <w:t xml:space="preserve"> </w:t>
      </w:r>
      <w:r>
        <w:rPr>
          <w:i/>
          <w:lang w:val="pl-PL"/>
        </w:rPr>
        <w:t xml:space="preserve">„Polityka społeczna, działania na rzecz seniorów i osób niepełnosprawnych” oraz </w:t>
      </w:r>
      <w:r w:rsidR="00185C94">
        <w:rPr>
          <w:i/>
          <w:lang w:val="pl-PL"/>
        </w:rPr>
        <w:t>IX</w:t>
      </w:r>
      <w:r w:rsidR="00CB79FB">
        <w:rPr>
          <w:i/>
          <w:lang w:val="pl-PL"/>
        </w:rPr>
        <w:t>.</w:t>
      </w:r>
      <w:r w:rsidR="00185C94">
        <w:rPr>
          <w:i/>
          <w:lang w:val="pl-PL"/>
        </w:rPr>
        <w:t xml:space="preserve"> „Ochrona zdrowia”.</w:t>
      </w:r>
    </w:p>
    <w:p w:rsidR="00380101" w:rsidRPr="00DF5CF0" w:rsidRDefault="00CB79FB" w:rsidP="00380101">
      <w:pPr>
        <w:pStyle w:val="NormalnyWeb"/>
        <w:spacing w:before="0" w:beforeAutospacing="0" w:after="0"/>
        <w:jc w:val="both"/>
      </w:pPr>
      <w:r>
        <w:t xml:space="preserve">Uchwałą nr </w:t>
      </w:r>
      <w:r w:rsidR="00380101" w:rsidRPr="00DF5CF0">
        <w:rPr>
          <w:b/>
        </w:rPr>
        <w:t>537/20</w:t>
      </w:r>
      <w:r>
        <w:t xml:space="preserve">  przyjęty został Gminny</w:t>
      </w:r>
      <w:r w:rsidR="00380101" w:rsidRPr="00DF5CF0">
        <w:t xml:space="preserve"> Programu Profilaktyki i Rozwiązywania Problemów Alkoholowych, Narkomanii oraz Innych Uzależnień na rok 2021</w:t>
      </w:r>
      <w:r w:rsidR="00380101">
        <w:t>.</w:t>
      </w:r>
    </w:p>
    <w:p w:rsidR="00380101" w:rsidRPr="0085559D" w:rsidRDefault="00380101" w:rsidP="00380101">
      <w:pPr>
        <w:spacing w:line="240" w:lineRule="auto"/>
        <w:jc w:val="both"/>
        <w:rPr>
          <w:lang w:val="pl-PL"/>
        </w:rPr>
      </w:pPr>
      <w:r>
        <w:rPr>
          <w:bCs/>
          <w:lang w:val="pl-PL"/>
        </w:rPr>
        <w:t xml:space="preserve">W 2020 r. wdrożono procedury na podstawie uchwały nr </w:t>
      </w:r>
      <w:r>
        <w:rPr>
          <w:b/>
          <w:bCs/>
          <w:lang w:val="pl-PL"/>
        </w:rPr>
        <w:t>365/20</w:t>
      </w:r>
      <w:r w:rsidR="00185C94">
        <w:rPr>
          <w:b/>
          <w:bCs/>
          <w:lang w:val="pl-PL"/>
        </w:rPr>
        <w:t xml:space="preserve"> </w:t>
      </w:r>
      <w:r>
        <w:rPr>
          <w:rStyle w:val="b"/>
          <w:lang w:val="pl-PL"/>
        </w:rPr>
        <w:t>w sprawie określenia zadań z zakresu rehabilitacji zawodowej i społecznej osób niepełnosprawnych, na realizację których przeznacza s</w:t>
      </w:r>
      <w:r w:rsidR="00CB79FB">
        <w:rPr>
          <w:rStyle w:val="b"/>
          <w:lang w:val="pl-PL"/>
        </w:rPr>
        <w:t>ię środki PFRON. Zmiany uchwały</w:t>
      </w:r>
      <w:r>
        <w:rPr>
          <w:rStyle w:val="b"/>
          <w:lang w:val="pl-PL"/>
        </w:rPr>
        <w:t xml:space="preserve"> uchwałami nr</w:t>
      </w:r>
      <w:r w:rsidR="00CB79FB">
        <w:rPr>
          <w:rStyle w:val="b"/>
          <w:lang w:val="pl-PL"/>
        </w:rPr>
        <w:t>:</w:t>
      </w:r>
      <w:r>
        <w:rPr>
          <w:rStyle w:val="b"/>
          <w:lang w:val="pl-PL"/>
        </w:rPr>
        <w:t xml:space="preserve"> </w:t>
      </w:r>
      <w:r w:rsidRPr="00CB79FB">
        <w:rPr>
          <w:rStyle w:val="b"/>
          <w:b/>
          <w:lang w:val="pl-PL"/>
        </w:rPr>
        <w:t>494/20, 524/20, 538/20</w:t>
      </w:r>
      <w:r>
        <w:rPr>
          <w:rStyle w:val="b"/>
          <w:lang w:val="pl-PL"/>
        </w:rPr>
        <w:t xml:space="preserve">. </w:t>
      </w:r>
    </w:p>
    <w:p w:rsidR="00380101" w:rsidRDefault="00380101" w:rsidP="00380101">
      <w:pPr>
        <w:spacing w:line="240" w:lineRule="auto"/>
        <w:jc w:val="both"/>
        <w:rPr>
          <w:i/>
          <w:lang w:val="pl-PL"/>
        </w:rPr>
      </w:pPr>
      <w:r>
        <w:rPr>
          <w:i/>
          <w:lang w:val="pl-PL"/>
        </w:rPr>
        <w:t xml:space="preserve">Informacje dotyczące realizacji powyższych uchwał – w dziale </w:t>
      </w:r>
      <w:r w:rsidR="00185C94">
        <w:rPr>
          <w:i/>
          <w:lang w:val="pl-PL"/>
        </w:rPr>
        <w:t>VIII</w:t>
      </w:r>
      <w:r w:rsidR="00223809">
        <w:rPr>
          <w:i/>
          <w:lang w:val="pl-PL"/>
        </w:rPr>
        <w:t>.</w:t>
      </w:r>
      <w:r w:rsidR="00185C94">
        <w:rPr>
          <w:i/>
          <w:lang w:val="pl-PL"/>
        </w:rPr>
        <w:t xml:space="preserve"> </w:t>
      </w:r>
      <w:r>
        <w:rPr>
          <w:i/>
          <w:lang w:val="pl-PL"/>
        </w:rPr>
        <w:t xml:space="preserve">„Polityka społeczna, działania na rzecz seniorów </w:t>
      </w:r>
      <w:r w:rsidR="00185C94">
        <w:rPr>
          <w:i/>
          <w:lang w:val="pl-PL"/>
        </w:rPr>
        <w:t>i osób niepełnosprawnych”.</w:t>
      </w:r>
    </w:p>
    <w:p w:rsidR="00380101" w:rsidRDefault="00380101" w:rsidP="00380101">
      <w:pPr>
        <w:spacing w:line="240" w:lineRule="auto"/>
        <w:jc w:val="both"/>
        <w:rPr>
          <w:lang w:val="pl-PL"/>
        </w:rPr>
      </w:pPr>
      <w:r>
        <w:rPr>
          <w:lang w:val="pl-PL"/>
        </w:rPr>
        <w:t xml:space="preserve">Realizowano działania w zakresie organizacji wykonywania prac społecznie użytecznych – na podstawie przyjętego przez RMT planu potrzeb w tym zakresie (uchwałą nr </w:t>
      </w:r>
      <w:r>
        <w:rPr>
          <w:b/>
          <w:lang w:val="pl-PL"/>
        </w:rPr>
        <w:t>324/20</w:t>
      </w:r>
      <w:r>
        <w:rPr>
          <w:lang w:val="pl-PL"/>
        </w:rPr>
        <w:t>).</w:t>
      </w:r>
    </w:p>
    <w:p w:rsidR="00380101" w:rsidRDefault="00380101" w:rsidP="00380101">
      <w:pPr>
        <w:spacing w:line="240" w:lineRule="auto"/>
        <w:jc w:val="both"/>
        <w:rPr>
          <w:rStyle w:val="b"/>
          <w:lang w:val="pl-PL"/>
        </w:rPr>
      </w:pPr>
      <w:r>
        <w:rPr>
          <w:b/>
          <w:lang w:val="pl-PL"/>
        </w:rPr>
        <w:t>Sprawy finansowe</w:t>
      </w:r>
    </w:p>
    <w:p w:rsidR="00380101" w:rsidRPr="00DF5CF0" w:rsidRDefault="00380101" w:rsidP="00380101">
      <w:pPr>
        <w:spacing w:line="240" w:lineRule="auto"/>
        <w:jc w:val="both"/>
        <w:rPr>
          <w:lang w:val="pl-PL"/>
        </w:rPr>
      </w:pPr>
      <w:r>
        <w:rPr>
          <w:rStyle w:val="b"/>
          <w:lang w:val="pl-PL"/>
        </w:rPr>
        <w:lastRenderedPageBreak/>
        <w:t xml:space="preserve">Zatwierdzone przez RMT </w:t>
      </w:r>
      <w:r>
        <w:rPr>
          <w:rStyle w:val="b"/>
          <w:u w:val="single"/>
          <w:lang w:val="pl-PL"/>
        </w:rPr>
        <w:t>sprawozdania finansowe za 2019 rok</w:t>
      </w:r>
      <w:r>
        <w:rPr>
          <w:rStyle w:val="b"/>
          <w:lang w:val="pl-PL"/>
        </w:rPr>
        <w:t xml:space="preserve"> placówek opieki zdrowotnej uchwałami nr: </w:t>
      </w:r>
      <w:r w:rsidRPr="00CB79FB">
        <w:rPr>
          <w:rStyle w:val="b"/>
          <w:b/>
          <w:lang w:val="pl-PL"/>
        </w:rPr>
        <w:t>382/20</w:t>
      </w:r>
      <w:r>
        <w:rPr>
          <w:rStyle w:val="b"/>
          <w:lang w:val="pl-PL"/>
        </w:rPr>
        <w:t xml:space="preserve"> – dotyczącą Miejskiej Przychodni Specjalistycznej, </w:t>
      </w:r>
      <w:r w:rsidRPr="00CB79FB">
        <w:rPr>
          <w:rStyle w:val="b"/>
          <w:b/>
          <w:lang w:val="pl-PL"/>
        </w:rPr>
        <w:t>383/20</w:t>
      </w:r>
      <w:r>
        <w:rPr>
          <w:rStyle w:val="b"/>
          <w:lang w:val="pl-PL"/>
        </w:rPr>
        <w:t xml:space="preserve"> – dotyczącą Zakładu P</w:t>
      </w:r>
      <w:r w:rsidR="00CB79FB">
        <w:rPr>
          <w:rStyle w:val="b"/>
          <w:lang w:val="pl-PL"/>
        </w:rPr>
        <w:t xml:space="preserve">ielęgnacyjno–Opiekuńczego, </w:t>
      </w:r>
      <w:r w:rsidR="00CB79FB" w:rsidRPr="00CB79FB">
        <w:rPr>
          <w:rStyle w:val="b"/>
          <w:b/>
          <w:lang w:val="pl-PL"/>
        </w:rPr>
        <w:t>384/</w:t>
      </w:r>
      <w:r w:rsidRPr="00CB79FB">
        <w:rPr>
          <w:rStyle w:val="b"/>
          <w:b/>
          <w:lang w:val="pl-PL"/>
        </w:rPr>
        <w:t>20</w:t>
      </w:r>
      <w:r>
        <w:rPr>
          <w:rStyle w:val="b"/>
          <w:lang w:val="pl-PL"/>
        </w:rPr>
        <w:t xml:space="preserve"> – dotyczącą Specjalistycznego Szpitala Miejskiego (włącznie z pokryciem straty netto), przekazano dyrektorom tych placówek.</w:t>
      </w:r>
    </w:p>
    <w:p w:rsidR="00380101" w:rsidRPr="00DF5CF0" w:rsidRDefault="00380101" w:rsidP="00380101">
      <w:pPr>
        <w:spacing w:line="240" w:lineRule="auto"/>
        <w:jc w:val="both"/>
        <w:rPr>
          <w:u w:val="single"/>
          <w:lang w:val="pl-PL"/>
        </w:rPr>
      </w:pPr>
      <w:r w:rsidRPr="00DF5CF0">
        <w:rPr>
          <w:u w:val="single"/>
          <w:lang w:val="pl-PL"/>
        </w:rPr>
        <w:t>Dotacje na 2021r.:</w:t>
      </w:r>
    </w:p>
    <w:p w:rsidR="00380101" w:rsidRDefault="00380101" w:rsidP="00380101">
      <w:pPr>
        <w:spacing w:line="240" w:lineRule="auto"/>
        <w:jc w:val="both"/>
        <w:rPr>
          <w:lang w:val="pl-PL"/>
        </w:rPr>
      </w:pPr>
      <w:r>
        <w:rPr>
          <w:lang w:val="pl-PL"/>
        </w:rPr>
        <w:t xml:space="preserve">* uchwała nr </w:t>
      </w:r>
      <w:r>
        <w:rPr>
          <w:b/>
          <w:lang w:val="pl-PL"/>
        </w:rPr>
        <w:t>493/20</w:t>
      </w:r>
      <w:r>
        <w:rPr>
          <w:lang w:val="pl-PL"/>
        </w:rPr>
        <w:t xml:space="preserve"> – ustaliła wysokość dotacji na rok 2021 dla Centrum Integracji Społecznej Cistor Stowarzyszenie Partnerstwo Społeczne z siedzibą w Toruniu,</w:t>
      </w:r>
    </w:p>
    <w:p w:rsidR="00380101" w:rsidRDefault="00380101" w:rsidP="00380101">
      <w:pPr>
        <w:spacing w:line="240" w:lineRule="auto"/>
        <w:jc w:val="both"/>
        <w:rPr>
          <w:lang w:val="pl-PL"/>
        </w:rPr>
      </w:pPr>
      <w:r>
        <w:rPr>
          <w:lang w:val="pl-PL"/>
        </w:rPr>
        <w:t xml:space="preserve">* dla niepublicznych podmiotów prowadzących żłobki na obszarze gminy Miasta Toruń, wysokość dotacji została ustalona na rok 2021 uchwałą nr </w:t>
      </w:r>
      <w:r>
        <w:rPr>
          <w:b/>
          <w:lang w:val="pl-PL"/>
        </w:rPr>
        <w:t>523/20</w:t>
      </w:r>
      <w:r w:rsidR="001D3C50">
        <w:rPr>
          <w:lang w:val="pl-PL"/>
        </w:rPr>
        <w:t>.</w:t>
      </w:r>
    </w:p>
    <w:p w:rsidR="00380101" w:rsidRDefault="00380101" w:rsidP="00380101">
      <w:pPr>
        <w:spacing w:line="240" w:lineRule="auto"/>
        <w:jc w:val="both"/>
        <w:rPr>
          <w:b/>
          <w:lang w:val="pl-PL"/>
        </w:rPr>
      </w:pPr>
      <w:r>
        <w:rPr>
          <w:b/>
          <w:lang w:val="pl-PL"/>
        </w:rPr>
        <w:t>Sprawy organizacyjne</w:t>
      </w:r>
    </w:p>
    <w:p w:rsidR="00380101" w:rsidRDefault="00380101" w:rsidP="00380101">
      <w:pPr>
        <w:spacing w:line="240" w:lineRule="auto"/>
        <w:jc w:val="both"/>
        <w:rPr>
          <w:lang w:val="pl-PL"/>
        </w:rPr>
      </w:pPr>
      <w:r>
        <w:rPr>
          <w:lang w:val="pl-PL"/>
        </w:rPr>
        <w:t>Zapewniono u</w:t>
      </w:r>
      <w:r w:rsidRPr="0072253C">
        <w:rPr>
          <w:lang w:val="pl-PL"/>
        </w:rPr>
        <w:t>dział osób wsk</w:t>
      </w:r>
      <w:r>
        <w:rPr>
          <w:lang w:val="pl-PL"/>
        </w:rPr>
        <w:t>azanych przez Radę Miasta Torunia w gremiach</w:t>
      </w:r>
      <w:r w:rsidRPr="0072253C">
        <w:rPr>
          <w:lang w:val="pl-PL"/>
        </w:rPr>
        <w:t xml:space="preserve">, </w:t>
      </w:r>
      <w:r>
        <w:rPr>
          <w:lang w:val="pl-PL"/>
        </w:rPr>
        <w:t xml:space="preserve">których dotyczyły </w:t>
      </w:r>
      <w:r w:rsidRPr="0072253C">
        <w:rPr>
          <w:lang w:val="pl-PL"/>
        </w:rPr>
        <w:t>uchwał</w:t>
      </w:r>
      <w:r>
        <w:rPr>
          <w:lang w:val="pl-PL"/>
        </w:rPr>
        <w:t>y nr</w:t>
      </w:r>
      <w:r w:rsidRPr="0072253C">
        <w:rPr>
          <w:lang w:val="pl-PL"/>
        </w:rPr>
        <w:t xml:space="preserve">: </w:t>
      </w:r>
    </w:p>
    <w:p w:rsidR="00380101" w:rsidRPr="0072253C" w:rsidRDefault="00380101" w:rsidP="00380101">
      <w:pPr>
        <w:spacing w:line="240" w:lineRule="auto"/>
        <w:jc w:val="both"/>
        <w:rPr>
          <w:lang w:val="pl-PL"/>
        </w:rPr>
      </w:pPr>
      <w:r>
        <w:rPr>
          <w:lang w:val="pl-PL"/>
        </w:rPr>
        <w:t xml:space="preserve">* </w:t>
      </w:r>
      <w:r w:rsidRPr="005D6851">
        <w:rPr>
          <w:b/>
          <w:lang w:val="pl-PL"/>
        </w:rPr>
        <w:t>455/20</w:t>
      </w:r>
      <w:r w:rsidR="00185C94">
        <w:rPr>
          <w:lang w:val="pl-PL"/>
        </w:rPr>
        <w:t xml:space="preserve"> </w:t>
      </w:r>
      <w:r>
        <w:rPr>
          <w:lang w:val="pl-PL"/>
        </w:rPr>
        <w:t xml:space="preserve">w sprawie powołania Rady Społecznej działającej przy Specjalistycznym Szpitalu Miejskim im. M. Kopernika, </w:t>
      </w:r>
      <w:r w:rsidRPr="00B7266B">
        <w:rPr>
          <w:lang w:val="pl-PL"/>
        </w:rPr>
        <w:t>przekazując uchwałę dyrektorowi placówki.</w:t>
      </w:r>
      <w:r w:rsidR="001D3C50">
        <w:rPr>
          <w:lang w:val="pl-PL"/>
        </w:rPr>
        <w:t xml:space="preserve"> Obsługa administracyjna</w:t>
      </w:r>
      <w:r w:rsidRPr="00B7266B">
        <w:rPr>
          <w:lang w:val="pl-PL"/>
        </w:rPr>
        <w:t xml:space="preserve"> – Urząd Miasta Torunia – Wydzia</w:t>
      </w:r>
      <w:r w:rsidR="001D3C50">
        <w:rPr>
          <w:lang w:val="pl-PL"/>
        </w:rPr>
        <w:t>ł Zdrowia i Polityki Społecznej,</w:t>
      </w:r>
    </w:p>
    <w:p w:rsidR="00380101" w:rsidRPr="00B7266B" w:rsidRDefault="00380101" w:rsidP="00380101">
      <w:pPr>
        <w:spacing w:line="240" w:lineRule="auto"/>
        <w:jc w:val="both"/>
        <w:rPr>
          <w:lang w:val="pl-PL"/>
        </w:rPr>
      </w:pPr>
      <w:r>
        <w:rPr>
          <w:b/>
          <w:lang w:val="pl-PL"/>
        </w:rPr>
        <w:t xml:space="preserve">* 380/20 </w:t>
      </w:r>
      <w:r w:rsidRPr="0072253C">
        <w:rPr>
          <w:lang w:val="pl-PL"/>
        </w:rPr>
        <w:t>w sprawie powołania Komisji Konk</w:t>
      </w:r>
      <w:r>
        <w:rPr>
          <w:lang w:val="pl-PL"/>
        </w:rPr>
        <w:t xml:space="preserve">ursowej w celu przeprowadzenia </w:t>
      </w:r>
      <w:r w:rsidRPr="0072253C">
        <w:rPr>
          <w:lang w:val="pl-PL"/>
        </w:rPr>
        <w:t>po</w:t>
      </w:r>
      <w:r>
        <w:rPr>
          <w:lang w:val="pl-PL"/>
        </w:rPr>
        <w:t>s</w:t>
      </w:r>
      <w:r w:rsidRPr="0072253C">
        <w:rPr>
          <w:lang w:val="pl-PL"/>
        </w:rPr>
        <w:t>tępowania konkursowego na stanowisko dyrektora Miejskiej Przychodni Specjalistycznej (zm</w:t>
      </w:r>
      <w:r>
        <w:rPr>
          <w:lang w:val="pl-PL"/>
        </w:rPr>
        <w:t>i</w:t>
      </w:r>
      <w:r w:rsidRPr="0072253C">
        <w:rPr>
          <w:lang w:val="pl-PL"/>
        </w:rPr>
        <w:t xml:space="preserve">ana uchwałą nr </w:t>
      </w:r>
      <w:r w:rsidRPr="0072253C">
        <w:rPr>
          <w:b/>
          <w:lang w:val="pl-PL"/>
        </w:rPr>
        <w:t>399</w:t>
      </w:r>
      <w:r>
        <w:rPr>
          <w:b/>
          <w:lang w:val="pl-PL"/>
        </w:rPr>
        <w:t xml:space="preserve">/20):  </w:t>
      </w:r>
      <w:r w:rsidRPr="00B7266B">
        <w:rPr>
          <w:lang w:val="pl-PL"/>
        </w:rPr>
        <w:t>Zarządzeniem Prezydenta Miasta Torunia nr 85 z dnia 25.05.2020</w:t>
      </w:r>
      <w:r w:rsidR="001D3C50">
        <w:rPr>
          <w:lang w:val="pl-PL"/>
        </w:rPr>
        <w:t xml:space="preserve"> </w:t>
      </w:r>
      <w:r w:rsidRPr="00B7266B">
        <w:rPr>
          <w:lang w:val="pl-PL"/>
        </w:rPr>
        <w:t xml:space="preserve">r. ogłoszony został konkurs na stanowisko dyrektora MPS. Obsługa prac Komisji  - </w:t>
      </w:r>
      <w:r w:rsidR="00185C94">
        <w:rPr>
          <w:lang w:val="pl-PL"/>
        </w:rPr>
        <w:t>Urząd Miasta Torunia (</w:t>
      </w:r>
      <w:r w:rsidRPr="00B7266B">
        <w:rPr>
          <w:lang w:val="pl-PL"/>
        </w:rPr>
        <w:t>Biuro Kadr i</w:t>
      </w:r>
      <w:r w:rsidR="00185C94">
        <w:rPr>
          <w:lang w:val="pl-PL"/>
        </w:rPr>
        <w:t xml:space="preserve"> </w:t>
      </w:r>
      <w:r w:rsidRPr="00B7266B">
        <w:rPr>
          <w:lang w:val="pl-PL"/>
        </w:rPr>
        <w:t>Płac</w:t>
      </w:r>
      <w:r w:rsidR="00185C94">
        <w:rPr>
          <w:lang w:val="pl-PL"/>
        </w:rPr>
        <w:t>)</w:t>
      </w:r>
      <w:r w:rsidRPr="00B7266B">
        <w:rPr>
          <w:lang w:val="pl-PL"/>
        </w:rPr>
        <w:t>.</w:t>
      </w:r>
      <w:r w:rsidR="00185C94">
        <w:rPr>
          <w:lang w:val="pl-PL"/>
        </w:rPr>
        <w:t xml:space="preserve"> </w:t>
      </w:r>
      <w:r w:rsidRPr="00B7266B">
        <w:rPr>
          <w:lang w:val="pl-PL"/>
        </w:rPr>
        <w:t xml:space="preserve">Zarządzeniem Prezydenta Miasta nr 160/2020 </w:t>
      </w:r>
      <w:r w:rsidR="00185C94">
        <w:rPr>
          <w:lang w:val="pl-PL"/>
        </w:rPr>
        <w:br/>
      </w:r>
      <w:r w:rsidRPr="00B7266B">
        <w:rPr>
          <w:lang w:val="pl-PL"/>
        </w:rPr>
        <w:t>z dnia 27.07.2020</w:t>
      </w:r>
      <w:r w:rsidR="001D3C50">
        <w:rPr>
          <w:lang w:val="pl-PL"/>
        </w:rPr>
        <w:t xml:space="preserve"> </w:t>
      </w:r>
      <w:r w:rsidRPr="00B7266B">
        <w:rPr>
          <w:lang w:val="pl-PL"/>
        </w:rPr>
        <w:t>r. powołano dyrektor</w:t>
      </w:r>
      <w:r w:rsidR="001D3C50">
        <w:rPr>
          <w:lang w:val="pl-PL"/>
        </w:rPr>
        <w:t>a placówki,</w:t>
      </w:r>
    </w:p>
    <w:p w:rsidR="00380101" w:rsidRPr="0072253C" w:rsidRDefault="00380101" w:rsidP="00380101">
      <w:pPr>
        <w:spacing w:line="240" w:lineRule="auto"/>
        <w:jc w:val="both"/>
        <w:rPr>
          <w:lang w:val="pl-PL"/>
        </w:rPr>
      </w:pPr>
      <w:r w:rsidRPr="0072253C">
        <w:rPr>
          <w:b/>
          <w:lang w:val="pl-PL"/>
        </w:rPr>
        <w:t>* 436</w:t>
      </w:r>
      <w:r>
        <w:rPr>
          <w:b/>
          <w:lang w:val="pl-PL"/>
        </w:rPr>
        <w:t xml:space="preserve">/20 </w:t>
      </w:r>
      <w:r w:rsidRPr="0072253C">
        <w:rPr>
          <w:lang w:val="pl-PL"/>
        </w:rPr>
        <w:t>w sprawie wskazania przedstawiciela Rady Miasta Torunia do składu komisji konkursowej mającej na celu wyłonienie zastępcy dyrektora Miejsk</w:t>
      </w:r>
      <w:r>
        <w:rPr>
          <w:lang w:val="pl-PL"/>
        </w:rPr>
        <w:t xml:space="preserve">iej Przychodni Specjalistycznej, </w:t>
      </w:r>
      <w:r w:rsidRPr="00B7266B">
        <w:rPr>
          <w:lang w:val="pl-PL"/>
        </w:rPr>
        <w:t>przekazując dyrektorowi placówki.</w:t>
      </w:r>
      <w:r w:rsidR="00185C94">
        <w:rPr>
          <w:lang w:val="pl-PL"/>
        </w:rPr>
        <w:t xml:space="preserve"> </w:t>
      </w:r>
      <w:r w:rsidRPr="00B7266B">
        <w:rPr>
          <w:lang w:val="pl-PL"/>
        </w:rPr>
        <w:t>Obsługa administracyjna - Urząd Miasta Torunia – Wydział Zdrowia i Polityki Społecznej</w:t>
      </w:r>
      <w:r>
        <w:rPr>
          <w:color w:val="FF0000"/>
          <w:lang w:val="pl-PL"/>
        </w:rPr>
        <w:t>.</w:t>
      </w:r>
    </w:p>
    <w:p w:rsidR="00380101" w:rsidRDefault="00380101" w:rsidP="00380101">
      <w:pPr>
        <w:spacing w:line="240" w:lineRule="auto"/>
        <w:jc w:val="both"/>
        <w:rPr>
          <w:lang w:val="pl-PL"/>
        </w:rPr>
      </w:pPr>
      <w:r>
        <w:rPr>
          <w:lang w:val="pl-PL"/>
        </w:rPr>
        <w:t xml:space="preserve">Na podstawie uchwały nr </w:t>
      </w:r>
      <w:r w:rsidRPr="00B5258B">
        <w:rPr>
          <w:b/>
          <w:lang w:val="pl-PL"/>
        </w:rPr>
        <w:t>404/20</w:t>
      </w:r>
      <w:r>
        <w:rPr>
          <w:lang w:val="pl-PL"/>
        </w:rPr>
        <w:t xml:space="preserve"> likwidacji uległa placówka opiekuńczo-wychowawcza typu rodzinnego – Dom Rodzinny przy ul. Smoczej 11/13. </w:t>
      </w:r>
    </w:p>
    <w:p w:rsidR="00380101" w:rsidRPr="00783C0F" w:rsidRDefault="00380101" w:rsidP="00380101">
      <w:pPr>
        <w:spacing w:line="240" w:lineRule="auto"/>
        <w:jc w:val="both"/>
        <w:rPr>
          <w:lang w:val="pl-PL"/>
        </w:rPr>
      </w:pPr>
      <w:r w:rsidRPr="00783C0F">
        <w:rPr>
          <w:lang w:val="pl-PL"/>
        </w:rPr>
        <w:t xml:space="preserve">Na podstawie uchwały nr </w:t>
      </w:r>
      <w:r w:rsidRPr="00783C0F">
        <w:rPr>
          <w:b/>
          <w:lang w:val="pl-PL"/>
        </w:rPr>
        <w:t>456/20</w:t>
      </w:r>
      <w:r w:rsidRPr="00783C0F">
        <w:rPr>
          <w:lang w:val="pl-PL"/>
        </w:rPr>
        <w:t xml:space="preserve"> zawarto porozumienia pomiędzy GMT a Gminami: Lubicz</w:t>
      </w:r>
      <w:r w:rsidR="001D3C50">
        <w:rPr>
          <w:lang w:val="pl-PL"/>
        </w:rPr>
        <w:t xml:space="preserve"> (19.11.2020 </w:t>
      </w:r>
      <w:r>
        <w:rPr>
          <w:lang w:val="pl-PL"/>
        </w:rPr>
        <w:t>r.)</w:t>
      </w:r>
      <w:r w:rsidRPr="00783C0F">
        <w:rPr>
          <w:lang w:val="pl-PL"/>
        </w:rPr>
        <w:t>, Zławieś Wielka</w:t>
      </w:r>
      <w:r w:rsidR="00185C94">
        <w:rPr>
          <w:lang w:val="pl-PL"/>
        </w:rPr>
        <w:t xml:space="preserve"> (25.09.2020</w:t>
      </w:r>
      <w:r w:rsidR="001D3C50">
        <w:rPr>
          <w:lang w:val="pl-PL"/>
        </w:rPr>
        <w:t xml:space="preserve"> </w:t>
      </w:r>
      <w:r>
        <w:rPr>
          <w:lang w:val="pl-PL"/>
        </w:rPr>
        <w:t>r.)</w:t>
      </w:r>
      <w:r w:rsidRPr="00783C0F">
        <w:rPr>
          <w:lang w:val="pl-PL"/>
        </w:rPr>
        <w:t>, Łysomice,</w:t>
      </w:r>
      <w:r w:rsidR="00185C94">
        <w:rPr>
          <w:lang w:val="pl-PL"/>
        </w:rPr>
        <w:t xml:space="preserve"> (29.10.2020</w:t>
      </w:r>
      <w:r w:rsidR="001D3C50">
        <w:rPr>
          <w:lang w:val="pl-PL"/>
        </w:rPr>
        <w:t xml:space="preserve"> </w:t>
      </w:r>
      <w:r>
        <w:rPr>
          <w:lang w:val="pl-PL"/>
        </w:rPr>
        <w:t>r.)</w:t>
      </w:r>
      <w:r w:rsidRPr="00783C0F">
        <w:rPr>
          <w:lang w:val="pl-PL"/>
        </w:rPr>
        <w:t xml:space="preserve"> a także podmiotem realizującym zadanie publiczne – prowadzenie Środowiskowego Domu Samopomocy „Arkadia”, na okres do 31.12.2020</w:t>
      </w:r>
      <w:r w:rsidR="001D3C50">
        <w:rPr>
          <w:lang w:val="pl-PL"/>
        </w:rPr>
        <w:t xml:space="preserve"> </w:t>
      </w:r>
      <w:r w:rsidRPr="00783C0F">
        <w:rPr>
          <w:lang w:val="pl-PL"/>
        </w:rPr>
        <w:t xml:space="preserve">r. </w:t>
      </w:r>
      <w:r w:rsidR="00185C94">
        <w:rPr>
          <w:lang w:val="pl-PL"/>
        </w:rPr>
        <w:t>(na rok 2021</w:t>
      </w:r>
      <w:r w:rsidR="001D3C50">
        <w:rPr>
          <w:lang w:val="pl-PL"/>
        </w:rPr>
        <w:t xml:space="preserve"> </w:t>
      </w:r>
      <w:r>
        <w:rPr>
          <w:lang w:val="pl-PL"/>
        </w:rPr>
        <w:t>r. – zawarto aneksy do ww. porozumień).</w:t>
      </w:r>
    </w:p>
    <w:p w:rsidR="00380101" w:rsidRPr="000E40C5" w:rsidRDefault="00380101" w:rsidP="00380101">
      <w:pPr>
        <w:spacing w:line="240" w:lineRule="auto"/>
        <w:jc w:val="both"/>
        <w:rPr>
          <w:b/>
          <w:u w:val="single"/>
          <w:lang w:val="pl-PL"/>
        </w:rPr>
      </w:pPr>
      <w:bookmarkStart w:id="233" w:name="_GoBack"/>
      <w:bookmarkEnd w:id="233"/>
      <w:r>
        <w:rPr>
          <w:b/>
          <w:u w:val="single"/>
          <w:lang w:val="pl-PL"/>
        </w:rPr>
        <w:t>EDUKACJA</w:t>
      </w:r>
    </w:p>
    <w:p w:rsidR="00380101" w:rsidRDefault="00380101" w:rsidP="00380101">
      <w:pPr>
        <w:spacing w:line="240" w:lineRule="auto"/>
        <w:jc w:val="both"/>
        <w:rPr>
          <w:color w:val="FF0000"/>
          <w:lang w:val="pl-PL"/>
        </w:rPr>
      </w:pPr>
      <w:r w:rsidRPr="009370C6">
        <w:rPr>
          <w:lang w:val="pl-PL"/>
        </w:rPr>
        <w:t xml:space="preserve">Wdrożono zasady w procedurze udzielania i rozliczania dotacji, określone uchwałą </w:t>
      </w:r>
      <w:r w:rsidR="00185C94">
        <w:rPr>
          <w:lang w:val="pl-PL"/>
        </w:rPr>
        <w:br/>
      </w:r>
      <w:r w:rsidRPr="009370C6">
        <w:rPr>
          <w:lang w:val="pl-PL"/>
        </w:rPr>
        <w:t xml:space="preserve">nr </w:t>
      </w:r>
      <w:r w:rsidRPr="009370C6">
        <w:rPr>
          <w:b/>
          <w:lang w:val="pl-PL"/>
        </w:rPr>
        <w:t>403/20</w:t>
      </w:r>
      <w:r w:rsidR="00185C94">
        <w:rPr>
          <w:b/>
          <w:lang w:val="pl-PL"/>
        </w:rPr>
        <w:t xml:space="preserve"> </w:t>
      </w:r>
      <w:r>
        <w:rPr>
          <w:bCs/>
          <w:lang w:val="pl-PL"/>
        </w:rPr>
        <w:t>w sprawie trybu udzielania i rozliczania dotacji dla przedszkoli, innych form wychowania przedszkolnego, szkół i placówek oświatowych, poradni psychologiczno – pedagogicznych prowadzonych na terenie miasta Toruń przez osoby fizyczne lub osoby prawne inne niż Gmina Miasta Toruń oraz trybu przeprowadzania kontroli prawidłowości ich pobrania i wykorzystania, w tym poprzez system elektroniczny do obsługi procesu rozpatrywania wniosków o dotację i rozliczania środków w Toruńskim Centrum Usług Wspólnych.</w:t>
      </w:r>
    </w:p>
    <w:p w:rsidR="00380101" w:rsidRDefault="00380101" w:rsidP="00380101">
      <w:pPr>
        <w:spacing w:line="240" w:lineRule="auto"/>
        <w:jc w:val="both"/>
        <w:rPr>
          <w:lang w:val="pl-PL"/>
        </w:rPr>
      </w:pPr>
      <w:r>
        <w:rPr>
          <w:b/>
          <w:lang w:val="pl-PL"/>
        </w:rPr>
        <w:t xml:space="preserve">Sprawy organizacyjne jednostek </w:t>
      </w:r>
      <w:r>
        <w:rPr>
          <w:lang w:val="pl-PL"/>
        </w:rPr>
        <w:t>– wdrożono procedury na podstawie uchwał nr:</w:t>
      </w:r>
    </w:p>
    <w:p w:rsidR="00380101" w:rsidRPr="0045675B" w:rsidRDefault="001D3C50" w:rsidP="00380101">
      <w:pPr>
        <w:spacing w:line="240" w:lineRule="auto"/>
        <w:jc w:val="both"/>
        <w:rPr>
          <w:color w:val="FF0000"/>
          <w:lang w:val="pl-PL"/>
        </w:rPr>
      </w:pPr>
      <w:r>
        <w:rPr>
          <w:lang w:val="pl-PL"/>
        </w:rPr>
        <w:t xml:space="preserve">*  </w:t>
      </w:r>
      <w:r w:rsidR="00380101" w:rsidRPr="0045675B">
        <w:rPr>
          <w:b/>
          <w:lang w:val="pl-PL"/>
        </w:rPr>
        <w:t xml:space="preserve">362/20 </w:t>
      </w:r>
      <w:r w:rsidR="00380101">
        <w:rPr>
          <w:lang w:val="pl-PL"/>
        </w:rPr>
        <w:t>–</w:t>
      </w:r>
      <w:r>
        <w:rPr>
          <w:lang w:val="pl-PL"/>
        </w:rPr>
        <w:t xml:space="preserve"> </w:t>
      </w:r>
      <w:r w:rsidR="00380101">
        <w:rPr>
          <w:lang w:val="pl-PL"/>
        </w:rPr>
        <w:t>nastąpiło nadanie</w:t>
      </w:r>
      <w:r w:rsidR="00380101" w:rsidRPr="0045675B">
        <w:rPr>
          <w:lang w:val="pl-PL"/>
        </w:rPr>
        <w:t xml:space="preserve"> Szkole Podstawowej nr 14 imię Błękitnej Armii</w:t>
      </w:r>
      <w:r w:rsidR="00380101">
        <w:rPr>
          <w:lang w:val="pl-PL"/>
        </w:rPr>
        <w:t>,</w:t>
      </w:r>
    </w:p>
    <w:p w:rsidR="00380101" w:rsidRPr="0045675B" w:rsidRDefault="00380101" w:rsidP="00380101">
      <w:pPr>
        <w:spacing w:line="240" w:lineRule="auto"/>
        <w:jc w:val="both"/>
        <w:rPr>
          <w:lang w:val="pl-PL"/>
        </w:rPr>
      </w:pPr>
      <w:r>
        <w:rPr>
          <w:lang w:val="pl-PL"/>
        </w:rPr>
        <w:t xml:space="preserve">* </w:t>
      </w:r>
      <w:r w:rsidRPr="002C743C">
        <w:rPr>
          <w:b/>
          <w:lang w:val="pl-PL"/>
        </w:rPr>
        <w:t>364/20</w:t>
      </w:r>
      <w:r w:rsidRPr="002C743C">
        <w:rPr>
          <w:lang w:val="pl-PL"/>
        </w:rPr>
        <w:t xml:space="preserve"> w </w:t>
      </w:r>
      <w:r>
        <w:rPr>
          <w:lang w:val="pl-PL"/>
        </w:rPr>
        <w:t>T</w:t>
      </w:r>
      <w:r w:rsidRPr="002C743C">
        <w:rPr>
          <w:lang w:val="pl-PL"/>
        </w:rPr>
        <w:t>echnikum Nr 4 w Zespole Szkół T</w:t>
      </w:r>
      <w:r>
        <w:rPr>
          <w:lang w:val="pl-PL"/>
        </w:rPr>
        <w:t>echnicznych, związane z utworzeniem</w:t>
      </w:r>
      <w:r w:rsidRPr="002C743C">
        <w:rPr>
          <w:lang w:val="pl-PL"/>
        </w:rPr>
        <w:t xml:space="preserve"> oddział</w:t>
      </w:r>
      <w:r>
        <w:rPr>
          <w:lang w:val="pl-PL"/>
        </w:rPr>
        <w:t>u</w:t>
      </w:r>
      <w:r w:rsidRPr="002C743C">
        <w:rPr>
          <w:lang w:val="pl-PL"/>
        </w:rPr>
        <w:t xml:space="preserve"> przygotowania wojskowego (zgodnie z zezwoleniem</w:t>
      </w:r>
      <w:r w:rsidR="001D3C50">
        <w:rPr>
          <w:lang w:val="pl-PL"/>
        </w:rPr>
        <w:t xml:space="preserve"> MON) na rok szkolny 2020/2021,</w:t>
      </w:r>
    </w:p>
    <w:p w:rsidR="00380101" w:rsidRDefault="00380101" w:rsidP="00380101">
      <w:pPr>
        <w:spacing w:line="240" w:lineRule="auto"/>
        <w:jc w:val="both"/>
        <w:rPr>
          <w:rStyle w:val="b"/>
          <w:lang w:val="pl-PL"/>
        </w:rPr>
      </w:pPr>
      <w:r>
        <w:rPr>
          <w:b/>
          <w:lang w:val="pl-PL"/>
        </w:rPr>
        <w:t xml:space="preserve">* </w:t>
      </w:r>
      <w:r w:rsidRPr="006B11ED">
        <w:rPr>
          <w:b/>
          <w:lang w:val="pl-PL"/>
        </w:rPr>
        <w:t>363/20</w:t>
      </w:r>
      <w:r w:rsidR="006152C8">
        <w:rPr>
          <w:b/>
          <w:lang w:val="pl-PL"/>
        </w:rPr>
        <w:t xml:space="preserve"> </w:t>
      </w:r>
      <w:r w:rsidRPr="006B11ED">
        <w:rPr>
          <w:rStyle w:val="b"/>
          <w:lang w:val="pl-PL"/>
        </w:rPr>
        <w:t xml:space="preserve">w sprawie zasad rozliczania tygodniowego obowiązkowego wymiaru godzin zajęć nauczycieli, dla których ustalony plan zajęć jest różny w poszczególnych okresach roku szkolnego, zasad udzielania rozmiaru obniżek tygodniowego obowiązkowego wymiaru godzin zajęć dyrektorom, wicedyrektorom szkół, nauczycielom, pełniącym inne stanowisko </w:t>
      </w:r>
      <w:r w:rsidRPr="006B11ED">
        <w:rPr>
          <w:rStyle w:val="b"/>
          <w:lang w:val="pl-PL"/>
        </w:rPr>
        <w:lastRenderedPageBreak/>
        <w:t xml:space="preserve">kierownicze w szkole, a także nauczycielom którzy obowiązki kierownicze pełnią </w:t>
      </w:r>
      <w:r w:rsidR="006152C8">
        <w:rPr>
          <w:rStyle w:val="b"/>
          <w:lang w:val="pl-PL"/>
        </w:rPr>
        <w:br/>
      </w:r>
      <w:r w:rsidRPr="006B11ED">
        <w:rPr>
          <w:rStyle w:val="b"/>
          <w:lang w:val="pl-PL"/>
        </w:rPr>
        <w:t xml:space="preserve">w zastępstwie nauczyciela któremu powierzono stanowisko kierownicze, określenia tygodniowego obowiązkowego wymiaru godzin zajęć nauczycieli szkół niewymienionych </w:t>
      </w:r>
      <w:r w:rsidR="006152C8">
        <w:rPr>
          <w:rStyle w:val="b"/>
          <w:lang w:val="pl-PL"/>
        </w:rPr>
        <w:br/>
      </w:r>
      <w:r w:rsidRPr="006B11ED">
        <w:rPr>
          <w:rStyle w:val="b"/>
          <w:lang w:val="pl-PL"/>
        </w:rPr>
        <w:t xml:space="preserve">w art. 42. ust. 3 Karty Nauczyciela, nauczycieli prowadzących kształcenie w formie zaocznej, nauczycieli kształcenia na odległość oraz zasad zaliczania do wymiaru godzin poszczególnych zajęć w formie zaocznej i w kształceniu na odległość - w szkołach prowadzonych przez Gminę Miasta Toruń (zmienioną uchwałą nr </w:t>
      </w:r>
      <w:r w:rsidRPr="006152C8">
        <w:rPr>
          <w:rStyle w:val="b"/>
          <w:b/>
          <w:lang w:val="pl-PL"/>
        </w:rPr>
        <w:t>402/20</w:t>
      </w:r>
      <w:r w:rsidRPr="006B11ED">
        <w:rPr>
          <w:rStyle w:val="b"/>
          <w:lang w:val="pl-PL"/>
        </w:rPr>
        <w:t>)</w:t>
      </w:r>
      <w:r w:rsidR="00223809">
        <w:rPr>
          <w:rStyle w:val="b"/>
          <w:lang w:val="pl-PL"/>
        </w:rPr>
        <w:t>.</w:t>
      </w:r>
    </w:p>
    <w:p w:rsidR="00380101" w:rsidRPr="001D2FF6" w:rsidRDefault="00380101" w:rsidP="00380101">
      <w:pPr>
        <w:spacing w:line="240" w:lineRule="auto"/>
        <w:jc w:val="both"/>
        <w:rPr>
          <w:bCs/>
          <w:lang w:val="pl-PL"/>
        </w:rPr>
      </w:pPr>
      <w:r>
        <w:rPr>
          <w:lang w:val="pl-PL"/>
        </w:rPr>
        <w:t xml:space="preserve">* </w:t>
      </w:r>
      <w:r w:rsidRPr="001D2FF6">
        <w:rPr>
          <w:b/>
          <w:lang w:val="pl-PL"/>
        </w:rPr>
        <w:t>433/20</w:t>
      </w:r>
      <w:r w:rsidR="006152C8">
        <w:rPr>
          <w:lang w:val="pl-PL"/>
        </w:rPr>
        <w:t xml:space="preserve"> </w:t>
      </w:r>
      <w:r w:rsidRPr="001D2FF6">
        <w:rPr>
          <w:lang w:val="pl-PL"/>
        </w:rPr>
        <w:t xml:space="preserve">w sprawie </w:t>
      </w:r>
      <w:r w:rsidRPr="001D2FF6">
        <w:rPr>
          <w:bCs/>
          <w:lang w:val="pl-PL"/>
        </w:rPr>
        <w:t>ustalenia średniej ceny paliwa w Gminie Miasta Toruń na rok szkolny 2020/2021</w:t>
      </w:r>
      <w:r>
        <w:rPr>
          <w:bCs/>
          <w:lang w:val="pl-PL"/>
        </w:rPr>
        <w:t xml:space="preserve">, </w:t>
      </w:r>
      <w:r w:rsidRPr="001D2FF6">
        <w:rPr>
          <w:bCs/>
          <w:lang w:val="pl-PL"/>
        </w:rPr>
        <w:t xml:space="preserve">do realizacji od 01.09.2020r. przekazano dyrektorom TCUW oraz przedszkoli </w:t>
      </w:r>
      <w:r w:rsidR="006152C8">
        <w:rPr>
          <w:bCs/>
          <w:lang w:val="pl-PL"/>
        </w:rPr>
        <w:br/>
      </w:r>
      <w:r w:rsidRPr="001D2FF6">
        <w:rPr>
          <w:bCs/>
          <w:lang w:val="pl-PL"/>
        </w:rPr>
        <w:t>i szkół prowadzonych przez Gminę.</w:t>
      </w:r>
    </w:p>
    <w:p w:rsidR="00380101" w:rsidRDefault="00380101" w:rsidP="00380101">
      <w:pPr>
        <w:spacing w:line="240" w:lineRule="auto"/>
        <w:jc w:val="both"/>
        <w:rPr>
          <w:bCs/>
          <w:lang w:val="pl-PL"/>
        </w:rPr>
      </w:pPr>
      <w:r>
        <w:rPr>
          <w:b/>
          <w:bCs/>
          <w:u w:val="single"/>
          <w:lang w:val="pl-PL"/>
        </w:rPr>
        <w:t>OCHRONA LUDNOŚCI</w:t>
      </w:r>
    </w:p>
    <w:p w:rsidR="00380101" w:rsidRDefault="00380101" w:rsidP="00380101">
      <w:pPr>
        <w:spacing w:line="240" w:lineRule="auto"/>
        <w:jc w:val="both"/>
        <w:rPr>
          <w:bCs/>
          <w:lang w:val="pl-PL"/>
        </w:rPr>
      </w:pPr>
      <w:r>
        <w:rPr>
          <w:bCs/>
          <w:lang w:val="pl-PL"/>
        </w:rPr>
        <w:t xml:space="preserve">Treść uchwały nr </w:t>
      </w:r>
      <w:r>
        <w:rPr>
          <w:b/>
          <w:bCs/>
          <w:lang w:val="pl-PL"/>
        </w:rPr>
        <w:t>323/20</w:t>
      </w:r>
      <w:r>
        <w:rPr>
          <w:bCs/>
          <w:lang w:val="pl-PL"/>
        </w:rPr>
        <w:t xml:space="preserve"> – w sprawie przyjęcia sprawozdania z działalności Komisji Bezpieczeństwa i Porządku dla Gminy miasta Toruń i Powiatu Toruńskiego za 2019 r. przekazano do Starostwa Powiatowego.</w:t>
      </w:r>
    </w:p>
    <w:p w:rsidR="00380101" w:rsidRDefault="00380101" w:rsidP="00380101">
      <w:pPr>
        <w:spacing w:line="240" w:lineRule="auto"/>
        <w:jc w:val="both"/>
        <w:rPr>
          <w:lang w:val="pl-PL"/>
        </w:rPr>
      </w:pPr>
      <w:r>
        <w:rPr>
          <w:b/>
          <w:u w:val="single"/>
          <w:lang w:val="pl-PL"/>
        </w:rPr>
        <w:t>ŚRODOWISKO I EKOLOGIA</w:t>
      </w:r>
    </w:p>
    <w:p w:rsidR="00380101" w:rsidRDefault="00380101" w:rsidP="00380101">
      <w:pPr>
        <w:spacing w:line="240" w:lineRule="auto"/>
        <w:jc w:val="both"/>
        <w:rPr>
          <w:b/>
          <w:lang w:val="pl-PL"/>
        </w:rPr>
      </w:pPr>
      <w:r>
        <w:rPr>
          <w:lang w:val="pl-PL"/>
        </w:rPr>
        <w:t>Wdrożono procedury określone uchwałami nr:</w:t>
      </w:r>
    </w:p>
    <w:p w:rsidR="00380101" w:rsidRDefault="00380101" w:rsidP="00380101">
      <w:pPr>
        <w:spacing w:line="240" w:lineRule="auto"/>
        <w:jc w:val="both"/>
        <w:rPr>
          <w:b/>
          <w:lang w:val="pl-PL"/>
        </w:rPr>
      </w:pPr>
      <w:r>
        <w:rPr>
          <w:b/>
          <w:lang w:val="pl-PL"/>
        </w:rPr>
        <w:t>* 400/20</w:t>
      </w:r>
      <w:r w:rsidR="006152C8">
        <w:rPr>
          <w:lang w:val="pl-PL"/>
        </w:rPr>
        <w:t xml:space="preserve"> </w:t>
      </w:r>
      <w:r>
        <w:rPr>
          <w:lang w:val="pl-PL"/>
        </w:rPr>
        <w:t>zmieniająca uchwałę w sprawie określenia zasad udzielania i rozliczania dotacji celowych z budżetu Miasta Torunia na dofinansowanie kosztów inwestycji służących ochronie powietrza, realizowanych na terenie GMT,</w:t>
      </w:r>
    </w:p>
    <w:p w:rsidR="00380101" w:rsidRDefault="00380101" w:rsidP="00380101">
      <w:pPr>
        <w:spacing w:line="240" w:lineRule="auto"/>
        <w:jc w:val="both"/>
        <w:rPr>
          <w:i/>
          <w:color w:val="FF0000"/>
          <w:lang w:val="pl-PL"/>
        </w:rPr>
      </w:pPr>
      <w:r>
        <w:rPr>
          <w:b/>
          <w:lang w:val="pl-PL"/>
        </w:rPr>
        <w:t>* 401/20</w:t>
      </w:r>
      <w:r w:rsidR="006152C8">
        <w:rPr>
          <w:lang w:val="pl-PL"/>
        </w:rPr>
        <w:t xml:space="preserve"> </w:t>
      </w:r>
      <w:r>
        <w:rPr>
          <w:lang w:val="pl-PL"/>
        </w:rPr>
        <w:t xml:space="preserve">w sprawie zasad udzielania dotacji celowej na zadania służące ochronie zasobów wodnych, polegające na gromadzeniu i wykorzystaniu wód opadowych i roztopowych </w:t>
      </w:r>
      <w:r w:rsidR="006152C8">
        <w:rPr>
          <w:lang w:val="pl-PL"/>
        </w:rPr>
        <w:br/>
      </w:r>
      <w:r>
        <w:rPr>
          <w:lang w:val="pl-PL"/>
        </w:rPr>
        <w:t>w miejscu ich powstania, realizowane na terenie Gminy Miasta Toruń - program pilotażowy na rok 2020.</w:t>
      </w:r>
    </w:p>
    <w:p w:rsidR="00380101" w:rsidRPr="001D2FF6" w:rsidRDefault="00380101" w:rsidP="00380101">
      <w:pPr>
        <w:spacing w:line="240" w:lineRule="auto"/>
        <w:jc w:val="both"/>
        <w:rPr>
          <w:i/>
          <w:lang w:val="pl-PL"/>
        </w:rPr>
      </w:pPr>
      <w:r w:rsidRPr="001D2FF6">
        <w:rPr>
          <w:i/>
          <w:lang w:val="pl-PL"/>
        </w:rPr>
        <w:t>Informacje dotyczące realizacji</w:t>
      </w:r>
      <w:r>
        <w:rPr>
          <w:i/>
          <w:lang w:val="pl-PL"/>
        </w:rPr>
        <w:t xml:space="preserve"> powyższych uchwał</w:t>
      </w:r>
      <w:r w:rsidRPr="001D2FF6">
        <w:rPr>
          <w:i/>
          <w:lang w:val="pl-PL"/>
        </w:rPr>
        <w:t xml:space="preserve"> – w dziale</w:t>
      </w:r>
      <w:r w:rsidR="006152C8">
        <w:rPr>
          <w:i/>
          <w:lang w:val="pl-PL"/>
        </w:rPr>
        <w:t xml:space="preserve"> XIII</w:t>
      </w:r>
      <w:r w:rsidR="00223809">
        <w:rPr>
          <w:i/>
          <w:lang w:val="pl-PL"/>
        </w:rPr>
        <w:t>.</w:t>
      </w:r>
      <w:r w:rsidRPr="001D2FF6">
        <w:rPr>
          <w:i/>
          <w:lang w:val="pl-PL"/>
        </w:rPr>
        <w:t xml:space="preserve"> „O</w:t>
      </w:r>
      <w:r w:rsidR="006152C8">
        <w:rPr>
          <w:i/>
          <w:lang w:val="pl-PL"/>
        </w:rPr>
        <w:t>chrona środowiska naturalnego”.</w:t>
      </w:r>
    </w:p>
    <w:p w:rsidR="00380101" w:rsidRDefault="00380101" w:rsidP="00380101">
      <w:pPr>
        <w:spacing w:line="240" w:lineRule="auto"/>
        <w:jc w:val="both"/>
        <w:rPr>
          <w:lang w:val="pl-PL"/>
        </w:rPr>
      </w:pPr>
      <w:r>
        <w:rPr>
          <w:b/>
          <w:u w:val="single"/>
          <w:lang w:val="pl-PL"/>
        </w:rPr>
        <w:t>KULTURA I OCHRONA DZIEDZICTWA</w:t>
      </w:r>
    </w:p>
    <w:p w:rsidR="00380101" w:rsidRPr="001D2FF6" w:rsidRDefault="00380101" w:rsidP="00380101">
      <w:pPr>
        <w:spacing w:line="240" w:lineRule="auto"/>
        <w:jc w:val="both"/>
        <w:rPr>
          <w:bCs/>
          <w:color w:val="FF0000"/>
          <w:lang w:val="pl-PL"/>
        </w:rPr>
      </w:pPr>
      <w:r>
        <w:rPr>
          <w:lang w:val="pl-PL"/>
        </w:rPr>
        <w:t xml:space="preserve">Na podstawie uchwały nr </w:t>
      </w:r>
      <w:r>
        <w:rPr>
          <w:b/>
          <w:lang w:val="pl-PL"/>
        </w:rPr>
        <w:t>397/20</w:t>
      </w:r>
      <w:r>
        <w:rPr>
          <w:lang w:val="pl-PL"/>
        </w:rPr>
        <w:t xml:space="preserve">, nastąpiła zmiana umowy o </w:t>
      </w:r>
      <w:r>
        <w:rPr>
          <w:bCs/>
          <w:lang w:val="pl-PL"/>
        </w:rPr>
        <w:t xml:space="preserve">wspólnym utworzeniu </w:t>
      </w:r>
      <w:r w:rsidR="006152C8">
        <w:rPr>
          <w:bCs/>
          <w:lang w:val="pl-PL"/>
        </w:rPr>
        <w:br/>
      </w:r>
      <w:r>
        <w:rPr>
          <w:bCs/>
          <w:lang w:val="pl-PL"/>
        </w:rPr>
        <w:t xml:space="preserve">i współprowadzeniu państwowej instytucji kultury pod nazwą Europejskie Centrum Filmowe CAMERIMAGE – </w:t>
      </w:r>
      <w:r w:rsidRPr="00E31966">
        <w:rPr>
          <w:bCs/>
          <w:lang w:val="pl-PL"/>
        </w:rPr>
        <w:t>aneks został podpisany w</w:t>
      </w:r>
      <w:r w:rsidR="006152C8">
        <w:rPr>
          <w:bCs/>
          <w:lang w:val="pl-PL"/>
        </w:rPr>
        <w:t xml:space="preserve"> dniu </w:t>
      </w:r>
      <w:r w:rsidRPr="00E31966">
        <w:rPr>
          <w:bCs/>
          <w:lang w:val="pl-PL"/>
        </w:rPr>
        <w:t xml:space="preserve">18.06.2020r. </w:t>
      </w:r>
    </w:p>
    <w:p w:rsidR="00380101" w:rsidRPr="001D2FF6" w:rsidRDefault="00380101" w:rsidP="00380101">
      <w:pPr>
        <w:spacing w:line="240" w:lineRule="auto"/>
        <w:jc w:val="both"/>
        <w:rPr>
          <w:i/>
          <w:lang w:val="pl-PL"/>
        </w:rPr>
      </w:pPr>
      <w:r w:rsidRPr="001D2FF6">
        <w:rPr>
          <w:bCs/>
          <w:lang w:val="pl-PL"/>
        </w:rPr>
        <w:t xml:space="preserve">Uchwała nr </w:t>
      </w:r>
      <w:r w:rsidRPr="001D2FF6">
        <w:rPr>
          <w:b/>
          <w:bCs/>
          <w:lang w:val="pl-PL"/>
        </w:rPr>
        <w:t>535/20</w:t>
      </w:r>
      <w:r w:rsidRPr="001D2FF6">
        <w:rPr>
          <w:bCs/>
          <w:lang w:val="pl-PL"/>
        </w:rPr>
        <w:t xml:space="preserve"> Rada Miasta wydłużyła okres obowiązywania „Strategii Rozwoju Kultury Miasta Torunia do roku 2020” do 30.06.2022r.</w:t>
      </w:r>
    </w:p>
    <w:p w:rsidR="00380101" w:rsidRDefault="00380101" w:rsidP="00380101">
      <w:pPr>
        <w:spacing w:line="240" w:lineRule="auto"/>
        <w:jc w:val="both"/>
        <w:rPr>
          <w:i/>
          <w:lang w:val="pl-PL"/>
        </w:rPr>
      </w:pPr>
      <w:r w:rsidRPr="002C743C">
        <w:rPr>
          <w:i/>
          <w:lang w:val="pl-PL"/>
        </w:rPr>
        <w:t>Informacje dotyczące realizacji powyższych uchwał – w dziale</w:t>
      </w:r>
      <w:r w:rsidR="006152C8">
        <w:rPr>
          <w:i/>
          <w:lang w:val="pl-PL"/>
        </w:rPr>
        <w:t xml:space="preserve"> XIV</w:t>
      </w:r>
      <w:r w:rsidR="00223809">
        <w:rPr>
          <w:i/>
          <w:lang w:val="pl-PL"/>
        </w:rPr>
        <w:t>.</w:t>
      </w:r>
      <w:r w:rsidRPr="002C743C">
        <w:rPr>
          <w:i/>
          <w:lang w:val="pl-PL"/>
        </w:rPr>
        <w:t xml:space="preserve"> „Kultura, ochrona dzied</w:t>
      </w:r>
      <w:r w:rsidR="006152C8">
        <w:rPr>
          <w:i/>
          <w:lang w:val="pl-PL"/>
        </w:rPr>
        <w:t>zictwa kulturowego i turystyka”.</w:t>
      </w:r>
    </w:p>
    <w:p w:rsidR="00380101" w:rsidRPr="00B856DC" w:rsidRDefault="00380101" w:rsidP="00380101">
      <w:pPr>
        <w:spacing w:line="240" w:lineRule="auto"/>
        <w:jc w:val="both"/>
        <w:rPr>
          <w:lang w:val="pl-PL"/>
        </w:rPr>
      </w:pPr>
      <w:r w:rsidRPr="00B856DC">
        <w:rPr>
          <w:lang w:val="pl-PL"/>
        </w:rPr>
        <w:t xml:space="preserve">Na podstawie uchwały nr </w:t>
      </w:r>
      <w:r w:rsidRPr="00B856DC">
        <w:rPr>
          <w:b/>
          <w:lang w:val="pl-PL"/>
        </w:rPr>
        <w:t>449/20</w:t>
      </w:r>
      <w:r w:rsidRPr="00B856DC">
        <w:rPr>
          <w:lang w:val="pl-PL"/>
        </w:rPr>
        <w:t xml:space="preserve"> w sprawie wskazania kandydata do </w:t>
      </w:r>
      <w:r>
        <w:rPr>
          <w:lang w:val="pl-PL"/>
        </w:rPr>
        <w:t>Rady Muzeum Etnograficznego im.</w:t>
      </w:r>
      <w:r w:rsidR="00223809">
        <w:rPr>
          <w:lang w:val="pl-PL"/>
        </w:rPr>
        <w:t xml:space="preserve"> </w:t>
      </w:r>
      <w:r>
        <w:rPr>
          <w:lang w:val="pl-PL"/>
        </w:rPr>
        <w:t>M</w:t>
      </w:r>
      <w:r w:rsidRPr="00B856DC">
        <w:rPr>
          <w:lang w:val="pl-PL"/>
        </w:rPr>
        <w:t>arii</w:t>
      </w:r>
      <w:r w:rsidR="00223809">
        <w:rPr>
          <w:lang w:val="pl-PL"/>
        </w:rPr>
        <w:t xml:space="preserve"> </w:t>
      </w:r>
      <w:r w:rsidRPr="00B856DC">
        <w:rPr>
          <w:lang w:val="pl-PL"/>
        </w:rPr>
        <w:t>Znamierowskiej</w:t>
      </w:r>
      <w:r w:rsidR="00223809">
        <w:rPr>
          <w:lang w:val="pl-PL"/>
        </w:rPr>
        <w:t xml:space="preserve"> </w:t>
      </w:r>
      <w:r w:rsidRPr="00B856DC">
        <w:rPr>
          <w:lang w:val="pl-PL"/>
        </w:rPr>
        <w:t>-</w:t>
      </w:r>
      <w:r w:rsidR="00223809">
        <w:rPr>
          <w:lang w:val="pl-PL"/>
        </w:rPr>
        <w:t xml:space="preserve"> </w:t>
      </w:r>
      <w:r w:rsidRPr="00B856DC">
        <w:rPr>
          <w:lang w:val="pl-PL"/>
        </w:rPr>
        <w:t>Pr</w:t>
      </w:r>
      <w:r w:rsidRPr="00B856DC">
        <w:rPr>
          <w:rFonts w:cs="Times New Roman"/>
          <w:lang w:val="pl-PL"/>
        </w:rPr>
        <w:t>ü</w:t>
      </w:r>
      <w:r w:rsidRPr="00B856DC">
        <w:rPr>
          <w:lang w:val="pl-PL"/>
        </w:rPr>
        <w:t>fferowej</w:t>
      </w:r>
      <w:r w:rsidR="006152C8">
        <w:rPr>
          <w:lang w:val="pl-PL"/>
        </w:rPr>
        <w:t xml:space="preserve"> </w:t>
      </w:r>
      <w:r>
        <w:rPr>
          <w:lang w:val="pl-PL"/>
        </w:rPr>
        <w:t xml:space="preserve">- o wyborze poinformowano powołaną uchwałą osobę oraz Marszałka Województwa Kujawsko-Pomorskiego. </w:t>
      </w:r>
    </w:p>
    <w:p w:rsidR="00380101" w:rsidRDefault="00380101" w:rsidP="00380101">
      <w:pPr>
        <w:spacing w:line="240" w:lineRule="auto"/>
        <w:jc w:val="both"/>
        <w:rPr>
          <w:lang w:val="pl-PL"/>
        </w:rPr>
      </w:pPr>
      <w:r>
        <w:rPr>
          <w:b/>
          <w:lang w:val="pl-PL"/>
        </w:rPr>
        <w:t>Dotacje konserwatorskie</w:t>
      </w:r>
    </w:p>
    <w:p w:rsidR="00380101" w:rsidRPr="004667BF" w:rsidRDefault="00380101" w:rsidP="00380101">
      <w:pPr>
        <w:spacing w:line="240" w:lineRule="auto"/>
        <w:jc w:val="both"/>
        <w:rPr>
          <w:bCs/>
          <w:lang w:val="pl-PL"/>
        </w:rPr>
      </w:pPr>
      <w:r>
        <w:rPr>
          <w:lang w:val="pl-PL"/>
        </w:rPr>
        <w:t xml:space="preserve">Na podstawie uchwały nr </w:t>
      </w:r>
      <w:r>
        <w:rPr>
          <w:b/>
          <w:lang w:val="pl-PL"/>
        </w:rPr>
        <w:t>347/20</w:t>
      </w:r>
      <w:r w:rsidR="006152C8">
        <w:rPr>
          <w:lang w:val="pl-PL"/>
        </w:rPr>
        <w:t xml:space="preserve"> </w:t>
      </w:r>
      <w:r>
        <w:rPr>
          <w:lang w:val="pl-PL"/>
        </w:rPr>
        <w:t xml:space="preserve">w sprawie </w:t>
      </w:r>
      <w:r>
        <w:rPr>
          <w:bCs/>
          <w:lang w:val="pl-PL"/>
        </w:rPr>
        <w:t>przyznania w roku 2020 dotacji na prace konserwatorskie, restauratorskie lub roboty budowlane przy zabytku wpisanym do rejestru zabytków lub znajdującej się w gminnej ewidencji zabytków na terenie Gminy Miasta T</w:t>
      </w:r>
      <w:r w:rsidR="001D3C50">
        <w:rPr>
          <w:bCs/>
          <w:lang w:val="pl-PL"/>
        </w:rPr>
        <w:t>oruń, zawarto umowy o dotacje. W</w:t>
      </w:r>
      <w:r w:rsidR="006152C8">
        <w:rPr>
          <w:bCs/>
          <w:lang w:val="pl-PL"/>
        </w:rPr>
        <w:t xml:space="preserve"> </w:t>
      </w:r>
      <w:r w:rsidRPr="004667BF">
        <w:rPr>
          <w:bCs/>
          <w:lang w:val="pl-PL"/>
        </w:rPr>
        <w:t>2020 r. przyznano 39 dotacji na kwotę ogólną 1.769.350 zł.</w:t>
      </w:r>
    </w:p>
    <w:p w:rsidR="00380101" w:rsidRPr="00EC282C" w:rsidRDefault="00380101" w:rsidP="00380101">
      <w:pPr>
        <w:spacing w:line="240" w:lineRule="auto"/>
        <w:jc w:val="both"/>
        <w:rPr>
          <w:bCs/>
          <w:i/>
          <w:lang w:val="pl-PL"/>
        </w:rPr>
      </w:pPr>
      <w:r w:rsidRPr="00205271">
        <w:rPr>
          <w:lang w:val="pl-PL"/>
        </w:rPr>
        <w:t xml:space="preserve">Uchwałą nr </w:t>
      </w:r>
      <w:r w:rsidRPr="00205271">
        <w:rPr>
          <w:b/>
          <w:lang w:val="pl-PL"/>
        </w:rPr>
        <w:t>529/20</w:t>
      </w:r>
      <w:r w:rsidRPr="00205271">
        <w:rPr>
          <w:lang w:val="pl-PL"/>
        </w:rPr>
        <w:t xml:space="preserve"> oraz </w:t>
      </w:r>
      <w:r w:rsidRPr="00205271">
        <w:rPr>
          <w:b/>
          <w:lang w:val="pl-PL"/>
        </w:rPr>
        <w:t>549/20</w:t>
      </w:r>
      <w:r w:rsidRPr="00205271">
        <w:rPr>
          <w:lang w:val="pl-PL"/>
        </w:rPr>
        <w:t xml:space="preserve"> wdrożone zostały zmiany zasad udzielania dotacji na prace konserwatorskie, restauratorskie lub roboty budowlane przy zabytku wpisanym do rejestru zabytków lub znajdującej w gminnej ewidencji zabytków na Terenia Gminy Miasta Toruń – </w:t>
      </w:r>
      <w:r>
        <w:rPr>
          <w:lang w:val="pl-PL"/>
        </w:rPr>
        <w:t xml:space="preserve">w tym w zakresie </w:t>
      </w:r>
      <w:r w:rsidRPr="00EC282C">
        <w:rPr>
          <w:lang w:val="pl-PL"/>
        </w:rPr>
        <w:t>rozpatrywania wniosków o dotację na rok 2021 składanych do 31.01.2021r.</w:t>
      </w:r>
    </w:p>
    <w:p w:rsidR="00380101" w:rsidRDefault="00380101" w:rsidP="00380101">
      <w:pPr>
        <w:spacing w:line="240" w:lineRule="auto"/>
        <w:jc w:val="both"/>
        <w:rPr>
          <w:lang w:val="pl-PL"/>
        </w:rPr>
      </w:pPr>
      <w:r>
        <w:rPr>
          <w:b/>
          <w:bCs/>
          <w:u w:val="single"/>
          <w:lang w:val="pl-PL"/>
        </w:rPr>
        <w:t>PROMOCJA I TURYSTYKA</w:t>
      </w:r>
    </w:p>
    <w:p w:rsidR="00380101" w:rsidRPr="001D6708" w:rsidRDefault="00380101" w:rsidP="00380101">
      <w:pPr>
        <w:spacing w:line="240" w:lineRule="auto"/>
        <w:jc w:val="both"/>
        <w:rPr>
          <w:color w:val="FF0000"/>
          <w:lang w:val="pl-PL"/>
        </w:rPr>
      </w:pPr>
      <w:r w:rsidRPr="001D6708">
        <w:rPr>
          <w:lang w:val="pl-PL"/>
        </w:rPr>
        <w:t xml:space="preserve">Na podstawie stanowiska nr </w:t>
      </w:r>
      <w:r w:rsidRPr="001D6708">
        <w:rPr>
          <w:b/>
          <w:lang w:val="pl-PL"/>
        </w:rPr>
        <w:t>3/20</w:t>
      </w:r>
      <w:r w:rsidRPr="001D6708">
        <w:rPr>
          <w:lang w:val="pl-PL"/>
        </w:rPr>
        <w:t xml:space="preserve"> podjęte zostały działania w celu ustanowienia roku 2023 rokiem 550. rocznicy uro</w:t>
      </w:r>
      <w:r w:rsidR="001D3C50">
        <w:rPr>
          <w:lang w:val="pl-PL"/>
        </w:rPr>
        <w:t xml:space="preserve">dzin Mikołaja Kopernika, w tym </w:t>
      </w:r>
      <w:r>
        <w:rPr>
          <w:lang w:val="pl-PL"/>
        </w:rPr>
        <w:t xml:space="preserve">podjęta została współpraca </w:t>
      </w:r>
      <w:r w:rsidR="006152C8">
        <w:rPr>
          <w:lang w:val="pl-PL"/>
        </w:rPr>
        <w:br/>
      </w:r>
      <w:r>
        <w:rPr>
          <w:lang w:val="pl-PL"/>
        </w:rPr>
        <w:t xml:space="preserve">z Uniwersytetami: Mikołaja Kopernika, </w:t>
      </w:r>
      <w:r w:rsidRPr="001D6708">
        <w:rPr>
          <w:lang w:val="pl-PL"/>
        </w:rPr>
        <w:t>War</w:t>
      </w:r>
      <w:r>
        <w:rPr>
          <w:lang w:val="pl-PL"/>
        </w:rPr>
        <w:t xml:space="preserve">mińsko-Mazurskim i </w:t>
      </w:r>
      <w:r w:rsidRPr="001D6708">
        <w:rPr>
          <w:lang w:val="pl-PL"/>
        </w:rPr>
        <w:t>Jagiellońskim, władzami samorządowymi poszczególnych województw i miast oraz władzami ko</w:t>
      </w:r>
      <w:r>
        <w:rPr>
          <w:lang w:val="pl-PL"/>
        </w:rPr>
        <w:t>ścielnymi</w:t>
      </w:r>
      <w:r w:rsidRPr="001D6708">
        <w:rPr>
          <w:lang w:val="pl-PL"/>
        </w:rPr>
        <w:t xml:space="preserve">. Aktualnie </w:t>
      </w:r>
      <w:r w:rsidRPr="001D6708">
        <w:rPr>
          <w:lang w:val="pl-PL"/>
        </w:rPr>
        <w:lastRenderedPageBreak/>
        <w:t>trwają prace ogólnopolskiego oraz lokalnego komitetu organizacyjnego nad przygotowaniem wspólnego wykazu przedsięwzięć wp</w:t>
      </w:r>
      <w:r>
        <w:rPr>
          <w:lang w:val="pl-PL"/>
        </w:rPr>
        <w:t>isujących się w obchody</w:t>
      </w:r>
      <w:r w:rsidRPr="001D6708">
        <w:rPr>
          <w:lang w:val="pl-PL"/>
        </w:rPr>
        <w:t>.</w:t>
      </w:r>
    </w:p>
    <w:p w:rsidR="00380101" w:rsidRDefault="00380101" w:rsidP="00380101">
      <w:pPr>
        <w:spacing w:line="240" w:lineRule="auto"/>
        <w:jc w:val="both"/>
        <w:rPr>
          <w:lang w:val="pl-PL"/>
        </w:rPr>
      </w:pPr>
      <w:r w:rsidRPr="00E31966">
        <w:rPr>
          <w:lang w:val="pl-PL"/>
        </w:rPr>
        <w:t xml:space="preserve">W wykonaniu uchwały nr </w:t>
      </w:r>
      <w:r w:rsidRPr="00E31966">
        <w:rPr>
          <w:b/>
          <w:lang w:val="pl-PL"/>
        </w:rPr>
        <w:t>469/20</w:t>
      </w:r>
      <w:r w:rsidRPr="00E31966">
        <w:rPr>
          <w:lang w:val="pl-PL"/>
        </w:rPr>
        <w:t xml:space="preserve"> w sprawie nadania nazwy „Park 100-lecia powr</w:t>
      </w:r>
      <w:r w:rsidR="001D3C50">
        <w:rPr>
          <w:lang w:val="pl-PL"/>
        </w:rPr>
        <w:t xml:space="preserve">otu Torunia do wolnej Polski” </w:t>
      </w:r>
      <w:r w:rsidRPr="00E31966">
        <w:rPr>
          <w:lang w:val="pl-PL"/>
        </w:rPr>
        <w:t xml:space="preserve">oznakowano tabliczkami z nazwą parku oraz tablicami z informacjami historycznymi </w:t>
      </w:r>
      <w:r w:rsidR="001D3C50">
        <w:rPr>
          <w:lang w:val="pl-PL"/>
        </w:rPr>
        <w:t xml:space="preserve">- </w:t>
      </w:r>
      <w:r w:rsidRPr="00E31966">
        <w:rPr>
          <w:lang w:val="pl-PL"/>
        </w:rPr>
        <w:t>do 10.11.2020 r.</w:t>
      </w:r>
    </w:p>
    <w:p w:rsidR="00380101" w:rsidRDefault="00380101" w:rsidP="00380101">
      <w:pPr>
        <w:spacing w:line="240" w:lineRule="auto"/>
        <w:jc w:val="both"/>
        <w:rPr>
          <w:bCs/>
          <w:lang w:val="pl-PL"/>
        </w:rPr>
      </w:pPr>
      <w:r w:rsidRPr="00E97004">
        <w:rPr>
          <w:bCs/>
          <w:lang w:val="pl-PL"/>
        </w:rPr>
        <w:t xml:space="preserve">Uchwałą nr </w:t>
      </w:r>
      <w:r w:rsidRPr="00E97004">
        <w:rPr>
          <w:b/>
          <w:bCs/>
          <w:lang w:val="pl-PL"/>
        </w:rPr>
        <w:t>470/20</w:t>
      </w:r>
      <w:r w:rsidRPr="00E97004">
        <w:rPr>
          <w:bCs/>
          <w:lang w:val="pl-PL"/>
        </w:rPr>
        <w:t xml:space="preserve"> Rada Miasta wydłużyła okres </w:t>
      </w:r>
      <w:r w:rsidRPr="00A12774">
        <w:rPr>
          <w:bCs/>
          <w:lang w:val="pl-PL"/>
        </w:rPr>
        <w:t>obowiązywania „Strategii Rozwoju Turystyki Miasta Torunia do roku 2020”</w:t>
      </w:r>
      <w:r w:rsidRPr="00E97004">
        <w:rPr>
          <w:bCs/>
          <w:lang w:val="pl-PL"/>
        </w:rPr>
        <w:t xml:space="preserve"> do 31.12.2021</w:t>
      </w:r>
      <w:r w:rsidR="001D3C50">
        <w:rPr>
          <w:bCs/>
          <w:lang w:val="pl-PL"/>
        </w:rPr>
        <w:t xml:space="preserve"> </w:t>
      </w:r>
      <w:r w:rsidRPr="00E97004">
        <w:rPr>
          <w:bCs/>
          <w:lang w:val="pl-PL"/>
        </w:rPr>
        <w:t>r.</w:t>
      </w:r>
    </w:p>
    <w:p w:rsidR="00380101" w:rsidRDefault="00380101" w:rsidP="00380101">
      <w:pPr>
        <w:spacing w:line="240" w:lineRule="auto"/>
        <w:jc w:val="both"/>
        <w:rPr>
          <w:i/>
          <w:lang w:val="pl-PL"/>
        </w:rPr>
      </w:pPr>
      <w:r w:rsidRPr="005D6851">
        <w:rPr>
          <w:i/>
          <w:lang w:val="pl-PL"/>
        </w:rPr>
        <w:t>Informacje dotyczące realizacji powyższej uchwały – w dziale</w:t>
      </w:r>
      <w:r w:rsidR="006152C8">
        <w:rPr>
          <w:i/>
          <w:lang w:val="pl-PL"/>
        </w:rPr>
        <w:t xml:space="preserve"> XV</w:t>
      </w:r>
      <w:r w:rsidR="00223809">
        <w:rPr>
          <w:i/>
          <w:lang w:val="pl-PL"/>
        </w:rPr>
        <w:t>.</w:t>
      </w:r>
      <w:r w:rsidR="006152C8">
        <w:rPr>
          <w:i/>
          <w:lang w:val="pl-PL"/>
        </w:rPr>
        <w:t xml:space="preserve"> „Promocja i współpraca międzynarodowa”.</w:t>
      </w:r>
    </w:p>
    <w:p w:rsidR="00380101" w:rsidRDefault="00380101" w:rsidP="00380101">
      <w:pPr>
        <w:pStyle w:val="Bezodstpw1"/>
        <w:spacing w:line="240" w:lineRule="auto"/>
        <w:jc w:val="both"/>
      </w:pPr>
      <w:r>
        <w:rPr>
          <w:rFonts w:ascii="Times New Roman" w:hAnsi="Times New Roman"/>
          <w:b/>
          <w:u w:val="single"/>
        </w:rPr>
        <w:t>GOSPODARKA KOMUNALNA</w:t>
      </w:r>
    </w:p>
    <w:p w:rsidR="00380101" w:rsidRPr="00A12774" w:rsidRDefault="00380101" w:rsidP="00380101">
      <w:pPr>
        <w:spacing w:line="240" w:lineRule="auto"/>
        <w:jc w:val="both"/>
        <w:rPr>
          <w:i/>
          <w:color w:val="FF0000"/>
          <w:lang w:val="pl-PL"/>
        </w:rPr>
      </w:pPr>
      <w:r>
        <w:rPr>
          <w:lang w:val="pl-PL"/>
        </w:rPr>
        <w:t xml:space="preserve">Wdrożono działania na podstawie uchwały nr </w:t>
      </w:r>
      <w:r>
        <w:rPr>
          <w:b/>
          <w:lang w:val="pl-PL"/>
        </w:rPr>
        <w:t>366/20</w:t>
      </w:r>
      <w:r>
        <w:rPr>
          <w:lang w:val="pl-PL"/>
        </w:rPr>
        <w:t xml:space="preserve"> w sprawie </w:t>
      </w:r>
      <w:r w:rsidR="001D3C50">
        <w:rPr>
          <w:lang w:val="pl-PL"/>
        </w:rPr>
        <w:t>„</w:t>
      </w:r>
      <w:r w:rsidRPr="00A12774">
        <w:rPr>
          <w:lang w:val="pl-PL"/>
        </w:rPr>
        <w:t>Programu opieki nad zwierzętami bezdomnymi oraz zapobiegania bezdomności zwierząt w Toruniu na rok 2020”.</w:t>
      </w:r>
    </w:p>
    <w:p w:rsidR="00380101" w:rsidRDefault="00380101" w:rsidP="00380101">
      <w:pPr>
        <w:spacing w:line="240" w:lineRule="auto"/>
        <w:jc w:val="both"/>
        <w:rPr>
          <w:i/>
          <w:lang w:val="pl-PL"/>
        </w:rPr>
      </w:pPr>
      <w:r w:rsidRPr="0072253C">
        <w:rPr>
          <w:i/>
          <w:lang w:val="pl-PL"/>
        </w:rPr>
        <w:t xml:space="preserve">Informacje dotyczące realizacji powyższej uchwały – w dziale </w:t>
      </w:r>
      <w:r w:rsidR="006152C8">
        <w:rPr>
          <w:i/>
          <w:lang w:val="pl-PL"/>
        </w:rPr>
        <w:t>XIII</w:t>
      </w:r>
      <w:r w:rsidR="00223809">
        <w:rPr>
          <w:i/>
          <w:lang w:val="pl-PL"/>
        </w:rPr>
        <w:t>.</w:t>
      </w:r>
      <w:r w:rsidR="006152C8">
        <w:rPr>
          <w:i/>
          <w:lang w:val="pl-PL"/>
        </w:rPr>
        <w:t xml:space="preserve"> </w:t>
      </w:r>
      <w:r w:rsidRPr="0072253C">
        <w:rPr>
          <w:i/>
          <w:lang w:val="pl-PL"/>
        </w:rPr>
        <w:t>„O</w:t>
      </w:r>
      <w:r w:rsidR="006152C8">
        <w:rPr>
          <w:i/>
          <w:lang w:val="pl-PL"/>
        </w:rPr>
        <w:t>chrona środowiska naturalnego”.</w:t>
      </w:r>
    </w:p>
    <w:p w:rsidR="00380101" w:rsidRPr="00A12774" w:rsidRDefault="00380101" w:rsidP="00380101">
      <w:pPr>
        <w:spacing w:line="240" w:lineRule="auto"/>
        <w:jc w:val="both"/>
        <w:rPr>
          <w:i/>
          <w:sz w:val="23"/>
          <w:szCs w:val="23"/>
          <w:lang w:val="pl-PL"/>
        </w:rPr>
      </w:pPr>
      <w:r>
        <w:rPr>
          <w:lang w:val="pl-PL"/>
        </w:rPr>
        <w:t>Uchwałą nr</w:t>
      </w:r>
      <w:r>
        <w:rPr>
          <w:b/>
          <w:lang w:val="pl-PL"/>
        </w:rPr>
        <w:t xml:space="preserve"> 446/20 </w:t>
      </w:r>
      <w:r>
        <w:rPr>
          <w:lang w:val="pl-PL"/>
        </w:rPr>
        <w:t>wprowadzone zostały zmiany do</w:t>
      </w:r>
      <w:r w:rsidR="006152C8">
        <w:rPr>
          <w:lang w:val="pl-PL"/>
        </w:rPr>
        <w:t xml:space="preserve"> </w:t>
      </w:r>
      <w:r>
        <w:rPr>
          <w:sz w:val="23"/>
          <w:szCs w:val="23"/>
          <w:lang w:val="pl-PL"/>
        </w:rPr>
        <w:t>programu gospodarczego pn</w:t>
      </w:r>
      <w:r w:rsidRPr="00A12774">
        <w:rPr>
          <w:sz w:val="23"/>
          <w:szCs w:val="23"/>
          <w:lang w:val="pl-PL"/>
        </w:rPr>
        <w:t>. „Program Budowy Dróg Lokalnych na lata 2020 – 2023”.</w:t>
      </w:r>
    </w:p>
    <w:p w:rsidR="00380101" w:rsidRDefault="00380101" w:rsidP="00380101">
      <w:pPr>
        <w:spacing w:line="240" w:lineRule="auto"/>
        <w:jc w:val="both"/>
        <w:rPr>
          <w:lang w:val="pl-PL"/>
        </w:rPr>
      </w:pPr>
      <w:r w:rsidRPr="008504A8">
        <w:rPr>
          <w:lang w:val="pl-PL"/>
        </w:rPr>
        <w:t xml:space="preserve">Na podstawie uchwały nr </w:t>
      </w:r>
      <w:r w:rsidRPr="008504A8">
        <w:rPr>
          <w:b/>
          <w:lang w:val="pl-PL"/>
        </w:rPr>
        <w:t>431/20</w:t>
      </w:r>
      <w:r w:rsidRPr="008504A8">
        <w:rPr>
          <w:lang w:val="pl-PL"/>
        </w:rPr>
        <w:t xml:space="preserve"> w sprawie przyjęcia programu gospodarczego </w:t>
      </w:r>
      <w:r w:rsidR="006152C8">
        <w:rPr>
          <w:lang w:val="pl-PL"/>
        </w:rPr>
        <w:br/>
      </w:r>
      <w:r w:rsidRPr="008504A8">
        <w:rPr>
          <w:lang w:val="pl-PL"/>
        </w:rPr>
        <w:t xml:space="preserve">pn. </w:t>
      </w:r>
      <w:r w:rsidR="001D3C50">
        <w:rPr>
          <w:lang w:val="pl-PL"/>
        </w:rPr>
        <w:t>„Program</w:t>
      </w:r>
      <w:r w:rsidRPr="00A12774">
        <w:rPr>
          <w:lang w:val="pl-PL"/>
        </w:rPr>
        <w:t xml:space="preserve"> rozwoju komunikacji rowerowej w Toruniu”</w:t>
      </w:r>
      <w:r w:rsidR="006152C8">
        <w:rPr>
          <w:lang w:val="pl-PL"/>
        </w:rPr>
        <w:t xml:space="preserve"> </w:t>
      </w:r>
      <w:r w:rsidRPr="008504A8">
        <w:rPr>
          <w:lang w:val="pl-PL"/>
        </w:rPr>
        <w:t>zgłoszono zgodnie z przyjętym harmonogramem (załącznik nr 1 do uchwały) zadania do projektu budżetu miasta na rok 2021.</w:t>
      </w:r>
    </w:p>
    <w:p w:rsidR="00380101" w:rsidRDefault="00380101" w:rsidP="00380101">
      <w:pPr>
        <w:spacing w:line="240" w:lineRule="auto"/>
        <w:jc w:val="both"/>
        <w:rPr>
          <w:color w:val="FF0000"/>
          <w:lang w:val="pl-PL"/>
        </w:rPr>
      </w:pPr>
      <w:r>
        <w:rPr>
          <w:i/>
          <w:sz w:val="23"/>
          <w:szCs w:val="23"/>
          <w:lang w:val="pl-PL"/>
        </w:rPr>
        <w:t xml:space="preserve">Informacje dotyczące realizacji powyższych uchwał – w dziale </w:t>
      </w:r>
      <w:r w:rsidR="00223809">
        <w:rPr>
          <w:i/>
          <w:sz w:val="23"/>
          <w:szCs w:val="23"/>
          <w:lang w:val="pl-PL"/>
        </w:rPr>
        <w:t xml:space="preserve">XVII. </w:t>
      </w:r>
      <w:r>
        <w:rPr>
          <w:i/>
          <w:sz w:val="23"/>
          <w:szCs w:val="23"/>
          <w:lang w:val="pl-PL"/>
        </w:rPr>
        <w:t>„Infrastruktura techniczna”</w:t>
      </w:r>
      <w:r w:rsidR="006152C8">
        <w:rPr>
          <w:i/>
          <w:sz w:val="23"/>
          <w:szCs w:val="23"/>
          <w:lang w:val="pl-PL"/>
        </w:rPr>
        <w:t>.</w:t>
      </w:r>
    </w:p>
    <w:p w:rsidR="00380101" w:rsidRPr="00A12774" w:rsidRDefault="00380101" w:rsidP="00380101">
      <w:pPr>
        <w:spacing w:line="240" w:lineRule="auto"/>
        <w:jc w:val="both"/>
        <w:rPr>
          <w:lang w:val="pl-PL"/>
        </w:rPr>
      </w:pPr>
      <w:r w:rsidRPr="00A12774">
        <w:rPr>
          <w:lang w:val="pl-PL"/>
        </w:rPr>
        <w:t>W wykonaniu uchwały nr</w:t>
      </w:r>
      <w:r w:rsidRPr="00A12774">
        <w:rPr>
          <w:b/>
          <w:lang w:val="pl-PL"/>
        </w:rPr>
        <w:t xml:space="preserve"> 432/20</w:t>
      </w:r>
      <w:r w:rsidR="001D3C50">
        <w:rPr>
          <w:b/>
          <w:lang w:val="pl-PL"/>
        </w:rPr>
        <w:t xml:space="preserve"> </w:t>
      </w:r>
      <w:r w:rsidRPr="00A12774">
        <w:rPr>
          <w:lang w:val="pl-PL"/>
        </w:rPr>
        <w:t xml:space="preserve">w sprawie przyjęcia planu budowy ogólnodostępnych stacji ładowania pojazdów elektrycznych w Toruniu kontynuowana była współpraca z lokalnym Operatorem Systemu Dystrybucyjnego – Energa Operator S.A. W 2020 r. prezes URE wyznaczył operatora stacji – ENERGA Obrót. Na koniec 2020 r. funkcjonowały 4 stacje, trwały przygotowania do budowy dla 46 kolejnych (92 punkty) w I półroczu 2021 r. </w:t>
      </w:r>
      <w:r>
        <w:rPr>
          <w:lang w:val="pl-PL"/>
        </w:rPr>
        <w:t>(uruchomione)</w:t>
      </w:r>
      <w:r w:rsidR="001D3C50">
        <w:rPr>
          <w:lang w:val="pl-PL"/>
        </w:rPr>
        <w:t>.</w:t>
      </w:r>
    </w:p>
    <w:p w:rsidR="00380101" w:rsidRDefault="00380101" w:rsidP="00380101">
      <w:pPr>
        <w:spacing w:line="240" w:lineRule="auto"/>
        <w:jc w:val="both"/>
        <w:rPr>
          <w:lang w:val="pl-PL"/>
        </w:rPr>
      </w:pPr>
      <w:r>
        <w:rPr>
          <w:b/>
          <w:lang w:val="pl-PL"/>
        </w:rPr>
        <w:t>Drogi</w:t>
      </w:r>
    </w:p>
    <w:p w:rsidR="00380101" w:rsidRDefault="00380101" w:rsidP="00380101">
      <w:pPr>
        <w:spacing w:line="240" w:lineRule="auto"/>
        <w:jc w:val="both"/>
        <w:rPr>
          <w:lang w:val="pl-PL"/>
        </w:rPr>
      </w:pPr>
      <w:r>
        <w:rPr>
          <w:lang w:val="pl-PL"/>
        </w:rPr>
        <w:t>Na podstawi</w:t>
      </w:r>
      <w:r w:rsidR="001D3C50">
        <w:rPr>
          <w:lang w:val="pl-PL"/>
        </w:rPr>
        <w:t>e uchwał w sprawie nadania nazw</w:t>
      </w:r>
      <w:r>
        <w:rPr>
          <w:lang w:val="pl-PL"/>
        </w:rPr>
        <w:t xml:space="preserve"> ulic: </w:t>
      </w:r>
    </w:p>
    <w:p w:rsidR="00380101" w:rsidRDefault="00380101" w:rsidP="00380101">
      <w:pPr>
        <w:spacing w:line="240" w:lineRule="auto"/>
        <w:jc w:val="both"/>
        <w:rPr>
          <w:lang w:val="pl-PL"/>
        </w:rPr>
      </w:pPr>
      <w:r>
        <w:rPr>
          <w:lang w:val="pl-PL"/>
        </w:rPr>
        <w:t>*</w:t>
      </w:r>
      <w:r w:rsidR="001D3C50">
        <w:rPr>
          <w:lang w:val="pl-PL"/>
        </w:rPr>
        <w:t xml:space="preserve"> </w:t>
      </w:r>
      <w:r>
        <w:rPr>
          <w:b/>
          <w:lang w:val="pl-PL"/>
        </w:rPr>
        <w:t>349/20</w:t>
      </w:r>
      <w:r>
        <w:rPr>
          <w:lang w:val="pl-PL"/>
        </w:rPr>
        <w:t xml:space="preserve"> – ulica Świdnicka,</w:t>
      </w:r>
    </w:p>
    <w:p w:rsidR="00380101" w:rsidRDefault="00380101" w:rsidP="00380101">
      <w:pPr>
        <w:spacing w:line="240" w:lineRule="auto"/>
        <w:jc w:val="both"/>
        <w:rPr>
          <w:lang w:val="pl-PL"/>
        </w:rPr>
      </w:pPr>
      <w:r>
        <w:rPr>
          <w:lang w:val="pl-PL"/>
        </w:rPr>
        <w:t>*</w:t>
      </w:r>
      <w:r w:rsidR="001D3C50">
        <w:rPr>
          <w:lang w:val="pl-PL"/>
        </w:rPr>
        <w:t xml:space="preserve"> </w:t>
      </w:r>
      <w:r>
        <w:rPr>
          <w:b/>
          <w:lang w:val="pl-PL"/>
        </w:rPr>
        <w:t>444/20</w:t>
      </w:r>
      <w:r>
        <w:rPr>
          <w:lang w:val="pl-PL"/>
        </w:rPr>
        <w:t xml:space="preserve"> – </w:t>
      </w:r>
      <w:r>
        <w:rPr>
          <w:bCs/>
          <w:lang w:val="pl-PL"/>
        </w:rPr>
        <w:t>ulica Cztery Pory Roku.</w:t>
      </w:r>
      <w:r>
        <w:rPr>
          <w:lang w:val="pl-PL"/>
        </w:rPr>
        <w:t>,</w:t>
      </w:r>
    </w:p>
    <w:p w:rsidR="00380101" w:rsidRDefault="00380101" w:rsidP="00380101">
      <w:pPr>
        <w:spacing w:line="240" w:lineRule="auto"/>
        <w:jc w:val="both"/>
        <w:rPr>
          <w:lang w:val="pl-PL"/>
        </w:rPr>
      </w:pPr>
      <w:r>
        <w:rPr>
          <w:lang w:val="pl-PL"/>
        </w:rPr>
        <w:t>*</w:t>
      </w:r>
      <w:r w:rsidR="001D3C50">
        <w:rPr>
          <w:lang w:val="pl-PL"/>
        </w:rPr>
        <w:t xml:space="preserve"> </w:t>
      </w:r>
      <w:r>
        <w:rPr>
          <w:b/>
          <w:lang w:val="pl-PL"/>
        </w:rPr>
        <w:t>445/20</w:t>
      </w:r>
      <w:r>
        <w:rPr>
          <w:lang w:val="pl-PL"/>
        </w:rPr>
        <w:t xml:space="preserve"> – </w:t>
      </w:r>
      <w:r>
        <w:rPr>
          <w:bCs/>
          <w:lang w:val="pl-PL"/>
        </w:rPr>
        <w:t>ulica Świdnicka (zmiana uchwały).</w:t>
      </w:r>
    </w:p>
    <w:p w:rsidR="00380101" w:rsidRDefault="00380101" w:rsidP="00380101">
      <w:pPr>
        <w:spacing w:line="240" w:lineRule="auto"/>
        <w:jc w:val="both"/>
        <w:rPr>
          <w:lang w:val="pl-PL"/>
        </w:rPr>
      </w:pPr>
      <w:r>
        <w:rPr>
          <w:lang w:val="pl-PL"/>
        </w:rPr>
        <w:t>oznakowano tabliczkami w terenie, naniesiono nazwy na mapy i do ewidencji gruntów, wprowadzono do bazy komputerowej i kartoteki adresowej.</w:t>
      </w:r>
    </w:p>
    <w:p w:rsidR="00380101" w:rsidRPr="00962114" w:rsidRDefault="00380101" w:rsidP="00380101">
      <w:pPr>
        <w:spacing w:line="240" w:lineRule="auto"/>
        <w:jc w:val="both"/>
        <w:rPr>
          <w:lang w:val="pl-PL"/>
        </w:rPr>
      </w:pPr>
      <w:r w:rsidRPr="00962114">
        <w:rPr>
          <w:lang w:val="pl-PL"/>
        </w:rPr>
        <w:t>W 2020 r. wdrożono zmiany w strefach SPP na podstawie uchwał nr:</w:t>
      </w:r>
      <w:r w:rsidR="001D3C50">
        <w:rPr>
          <w:lang w:val="pl-PL"/>
        </w:rPr>
        <w:t xml:space="preserve"> </w:t>
      </w:r>
      <w:r w:rsidRPr="00962114">
        <w:rPr>
          <w:b/>
          <w:lang w:val="pl-PL"/>
        </w:rPr>
        <w:t>367/20</w:t>
      </w:r>
      <w:r w:rsidRPr="00962114">
        <w:rPr>
          <w:lang w:val="pl-PL"/>
        </w:rPr>
        <w:t xml:space="preserve">, </w:t>
      </w:r>
      <w:r w:rsidRPr="00962114">
        <w:rPr>
          <w:b/>
          <w:lang w:val="pl-PL"/>
        </w:rPr>
        <w:t xml:space="preserve">385/20, 430/20, 528/20 </w:t>
      </w:r>
      <w:r w:rsidRPr="00962114">
        <w:rPr>
          <w:lang w:val="pl-PL"/>
        </w:rPr>
        <w:t>w sprawie ustalenia strefy płatnego parkowania, opłat za postój pojazdów samochodowych na drogach publicznych w strefie płatnego parkowania w mieście Toruniu (zmieniające).</w:t>
      </w:r>
    </w:p>
    <w:p w:rsidR="00380101" w:rsidRPr="00B856DC" w:rsidRDefault="00380101" w:rsidP="00380101">
      <w:pPr>
        <w:spacing w:line="240" w:lineRule="auto"/>
        <w:jc w:val="both"/>
        <w:rPr>
          <w:lang w:val="pl-PL"/>
        </w:rPr>
      </w:pPr>
      <w:r w:rsidRPr="00B856DC">
        <w:rPr>
          <w:lang w:val="pl-PL"/>
        </w:rPr>
        <w:t xml:space="preserve">Na podstawie uchwały </w:t>
      </w:r>
      <w:r w:rsidRPr="00B856DC">
        <w:rPr>
          <w:b/>
          <w:lang w:val="pl-PL"/>
        </w:rPr>
        <w:t>344/20</w:t>
      </w:r>
      <w:r w:rsidRPr="00B856DC">
        <w:rPr>
          <w:lang w:val="pl-PL"/>
        </w:rPr>
        <w:t xml:space="preserve"> pozbawiono kategorii drogi gminnej poprzez wyłączenie </w:t>
      </w:r>
      <w:r w:rsidR="00A82B13">
        <w:rPr>
          <w:lang w:val="pl-PL"/>
        </w:rPr>
        <w:br/>
      </w:r>
      <w:r w:rsidRPr="00B856DC">
        <w:rPr>
          <w:lang w:val="pl-PL"/>
        </w:rPr>
        <w:t xml:space="preserve">z użytkowania jako drogi publicznej wskazanych ulic w Toruniu. Natomiast uchwałami nr: </w:t>
      </w:r>
      <w:r w:rsidRPr="00B856DC">
        <w:rPr>
          <w:b/>
          <w:lang w:val="pl-PL"/>
        </w:rPr>
        <w:t>409/20</w:t>
      </w:r>
      <w:r w:rsidRPr="00B856DC">
        <w:rPr>
          <w:lang w:val="pl-PL"/>
        </w:rPr>
        <w:t xml:space="preserve"> i </w:t>
      </w:r>
      <w:r w:rsidRPr="00B856DC">
        <w:rPr>
          <w:b/>
          <w:lang w:val="pl-PL"/>
        </w:rPr>
        <w:t>4</w:t>
      </w:r>
      <w:r w:rsidR="001D3C50">
        <w:rPr>
          <w:b/>
          <w:lang w:val="pl-PL"/>
        </w:rPr>
        <w:t>7</w:t>
      </w:r>
      <w:r w:rsidRPr="00B856DC">
        <w:rPr>
          <w:b/>
          <w:lang w:val="pl-PL"/>
        </w:rPr>
        <w:t>3/20</w:t>
      </w:r>
      <w:r w:rsidRPr="00B856DC">
        <w:rPr>
          <w:lang w:val="pl-PL"/>
        </w:rPr>
        <w:t xml:space="preserve"> nadano kategorię dróg publicznych oraz uchwałami nr</w:t>
      </w:r>
      <w:r w:rsidRPr="00B856DC">
        <w:rPr>
          <w:b/>
          <w:lang w:val="pl-PL"/>
        </w:rPr>
        <w:t>: 474/20 i 475/20</w:t>
      </w:r>
      <w:r w:rsidRPr="00B856DC">
        <w:rPr>
          <w:lang w:val="pl-PL"/>
        </w:rPr>
        <w:t xml:space="preserve"> zaliczono do kategorii dróg publicznych wskazane w uchwałach ulice.</w:t>
      </w:r>
    </w:p>
    <w:p w:rsidR="00380101" w:rsidRDefault="00380101" w:rsidP="00380101">
      <w:pPr>
        <w:spacing w:line="240" w:lineRule="auto"/>
        <w:jc w:val="both"/>
        <w:rPr>
          <w:lang w:val="pl-PL"/>
        </w:rPr>
      </w:pPr>
      <w:r w:rsidRPr="00B856DC">
        <w:rPr>
          <w:lang w:val="pl-PL"/>
        </w:rPr>
        <w:t>Stawki za zajęcie pasa drogowego w Toruniu wdrożono na podstawie uchwał</w:t>
      </w:r>
      <w:r>
        <w:rPr>
          <w:lang w:val="pl-PL"/>
        </w:rPr>
        <w:t>y</w:t>
      </w:r>
      <w:r w:rsidRPr="00B856DC">
        <w:rPr>
          <w:lang w:val="pl-PL"/>
        </w:rPr>
        <w:t xml:space="preserve"> </w:t>
      </w:r>
      <w:r w:rsidR="00A82B13">
        <w:rPr>
          <w:lang w:val="pl-PL"/>
        </w:rPr>
        <w:br/>
      </w:r>
      <w:r w:rsidRPr="00B856DC">
        <w:rPr>
          <w:lang w:val="pl-PL"/>
        </w:rPr>
        <w:t xml:space="preserve">nr </w:t>
      </w:r>
      <w:r w:rsidRPr="00B856DC">
        <w:rPr>
          <w:b/>
          <w:lang w:val="pl-PL"/>
        </w:rPr>
        <w:t>328/20</w:t>
      </w:r>
      <w:r w:rsidR="001D3C50">
        <w:rPr>
          <w:b/>
          <w:lang w:val="pl-PL"/>
        </w:rPr>
        <w:t xml:space="preserve"> </w:t>
      </w:r>
      <w:r w:rsidR="001D3C50">
        <w:rPr>
          <w:lang w:val="pl-PL"/>
        </w:rPr>
        <w:t>(zmieniająca)</w:t>
      </w:r>
      <w:r>
        <w:rPr>
          <w:lang w:val="pl-PL"/>
        </w:rPr>
        <w:t xml:space="preserve"> oraz uchwały </w:t>
      </w:r>
      <w:r w:rsidRPr="00B856DC">
        <w:rPr>
          <w:lang w:val="pl-PL"/>
        </w:rPr>
        <w:t>nr</w:t>
      </w:r>
      <w:r w:rsidR="001D3C50">
        <w:rPr>
          <w:lang w:val="pl-PL"/>
        </w:rPr>
        <w:t xml:space="preserve"> </w:t>
      </w:r>
      <w:r w:rsidRPr="00B856DC">
        <w:rPr>
          <w:b/>
          <w:lang w:val="pl-PL"/>
        </w:rPr>
        <w:t>496/20</w:t>
      </w:r>
      <w:r w:rsidRPr="00B856DC">
        <w:rPr>
          <w:lang w:val="pl-PL"/>
        </w:rPr>
        <w:t xml:space="preserve"> w </w:t>
      </w:r>
      <w:r>
        <w:rPr>
          <w:lang w:val="pl-PL"/>
        </w:rPr>
        <w:t xml:space="preserve">sprawie ustalenia </w:t>
      </w:r>
      <w:r w:rsidRPr="00B856DC">
        <w:rPr>
          <w:lang w:val="pl-PL"/>
        </w:rPr>
        <w:t xml:space="preserve">dla dróg publicznych wysokości stawek opłat za zajęcie 1m2 pasa drogowego w mieście Toruniu. </w:t>
      </w:r>
    </w:p>
    <w:p w:rsidR="00380101" w:rsidRPr="00B7266B" w:rsidRDefault="00380101" w:rsidP="00380101">
      <w:pPr>
        <w:spacing w:line="240" w:lineRule="auto"/>
        <w:jc w:val="both"/>
        <w:rPr>
          <w:lang w:val="pl-PL"/>
        </w:rPr>
      </w:pPr>
      <w:r w:rsidRPr="00B7266B">
        <w:rPr>
          <w:lang w:val="pl-PL"/>
        </w:rPr>
        <w:t xml:space="preserve">Zawarto porozumienie (02.03.2020 r.) na podstawie uchwały nr </w:t>
      </w:r>
      <w:r w:rsidRPr="00B7266B">
        <w:rPr>
          <w:b/>
          <w:lang w:val="pl-PL"/>
        </w:rPr>
        <w:t>345/20</w:t>
      </w:r>
      <w:r w:rsidRPr="00B7266B">
        <w:rPr>
          <w:lang w:val="pl-PL"/>
        </w:rPr>
        <w:t xml:space="preserve"> w sprawie wyrażenia zgody na zawarcie porozumienia w sprawie współdziałania Gminy Miasta Toruń z Gminą Lubicz przy realizacji zadania inwestycyjnego pn. "Rozbudowa drogi gminnej nr 100707C </w:t>
      </w:r>
      <w:r w:rsidR="00A82B13">
        <w:rPr>
          <w:lang w:val="pl-PL"/>
        </w:rPr>
        <w:br/>
      </w:r>
      <w:r w:rsidRPr="00B7266B">
        <w:rPr>
          <w:lang w:val="pl-PL"/>
        </w:rPr>
        <w:t>ul. Toruńska w Grębocinie/ul. Kresowa w Toruniu".</w:t>
      </w:r>
    </w:p>
    <w:p w:rsidR="00380101" w:rsidRDefault="00380101" w:rsidP="00380101">
      <w:pPr>
        <w:spacing w:line="240" w:lineRule="auto"/>
        <w:jc w:val="both"/>
        <w:rPr>
          <w:lang w:val="pl-PL"/>
        </w:rPr>
      </w:pPr>
      <w:r>
        <w:rPr>
          <w:lang w:val="pl-PL"/>
        </w:rPr>
        <w:t xml:space="preserve">Uchwałą </w:t>
      </w:r>
      <w:r>
        <w:rPr>
          <w:b/>
          <w:lang w:val="pl-PL"/>
        </w:rPr>
        <w:t>525/20</w:t>
      </w:r>
      <w:r>
        <w:rPr>
          <w:lang w:val="pl-PL"/>
        </w:rPr>
        <w:t xml:space="preserve"> ustalone zostały </w:t>
      </w:r>
      <w:r>
        <w:rPr>
          <w:color w:val="000000"/>
          <w:lang w:val="pl-PL"/>
        </w:rPr>
        <w:t xml:space="preserve">wysokości opłaty za usuwanie pojazdów z dróg </w:t>
      </w:r>
      <w:r w:rsidR="00A82B13">
        <w:rPr>
          <w:color w:val="000000"/>
          <w:lang w:val="pl-PL"/>
        </w:rPr>
        <w:br/>
      </w:r>
      <w:r>
        <w:rPr>
          <w:color w:val="000000"/>
          <w:lang w:val="pl-PL"/>
        </w:rPr>
        <w:lastRenderedPageBreak/>
        <w:t>i przechowywanie pojazdów usuniętych z dróg na parkingach strzeżonych oraz kosztów powstałych w wyniku wydania dyspozycji usunięcia, a następnie odstąpienia od usunięcia pojazdów, obowiązujące w 2021 r</w:t>
      </w:r>
      <w:r>
        <w:rPr>
          <w:lang w:val="pl-PL"/>
        </w:rPr>
        <w:t xml:space="preserve">. </w:t>
      </w:r>
    </w:p>
    <w:p w:rsidR="00380101" w:rsidRDefault="00380101" w:rsidP="00380101">
      <w:pPr>
        <w:spacing w:line="240" w:lineRule="auto"/>
        <w:jc w:val="both"/>
        <w:rPr>
          <w:lang w:val="pl-PL"/>
        </w:rPr>
      </w:pPr>
      <w:r>
        <w:rPr>
          <w:b/>
          <w:lang w:val="pl-PL"/>
        </w:rPr>
        <w:t>Komunikacja miejska</w:t>
      </w:r>
    </w:p>
    <w:p w:rsidR="00380101" w:rsidRDefault="00380101" w:rsidP="00380101">
      <w:pPr>
        <w:pStyle w:val="NormalnyWeb1"/>
        <w:spacing w:before="0" w:after="0" w:line="240" w:lineRule="auto"/>
        <w:jc w:val="both"/>
        <w:rPr>
          <w:lang w:val="pl-PL"/>
        </w:rPr>
      </w:pPr>
      <w:r>
        <w:rPr>
          <w:lang w:val="pl-PL"/>
        </w:rPr>
        <w:t xml:space="preserve">Na podstawie uchwały nr </w:t>
      </w:r>
      <w:r>
        <w:rPr>
          <w:b/>
          <w:lang w:val="pl-PL"/>
        </w:rPr>
        <w:t xml:space="preserve">327/20 </w:t>
      </w:r>
      <w:r>
        <w:rPr>
          <w:lang w:val="pl-PL"/>
        </w:rPr>
        <w:t xml:space="preserve">w sprawie ustanowienia okolicznościowych uprawnień do bezpłatnych przejazdów środkami komunikacji miejskiej w Toruniu w 2020 r., uczestnicy XXXVII Ogólnopolskiego Rajdu Kopernikańskiego w dniach 22–23 lutego 2020 r. uzyskali bezpłatne przejazdy na zasadach wskazanych w uchwale. </w:t>
      </w:r>
    </w:p>
    <w:p w:rsidR="00380101" w:rsidRPr="00334134" w:rsidRDefault="00380101" w:rsidP="00380101">
      <w:pPr>
        <w:pStyle w:val="NormalnyWeb1"/>
        <w:spacing w:before="0" w:after="0" w:line="240" w:lineRule="auto"/>
        <w:jc w:val="both"/>
        <w:rPr>
          <w:lang w:val="pl-PL"/>
        </w:rPr>
      </w:pPr>
      <w:r w:rsidRPr="00334134">
        <w:rPr>
          <w:lang w:val="pl-PL"/>
        </w:rPr>
        <w:t xml:space="preserve">Od grudnia obowiązuje porozumienie zawarte na podstawie uchwały nr </w:t>
      </w:r>
      <w:r w:rsidRPr="00334134">
        <w:rPr>
          <w:b/>
          <w:lang w:val="pl-PL"/>
        </w:rPr>
        <w:t>541/20</w:t>
      </w:r>
      <w:r w:rsidRPr="00334134">
        <w:rPr>
          <w:lang w:val="pl-PL"/>
        </w:rPr>
        <w:t xml:space="preserve"> w sprawie zawarcia porozumienia międzygminnego dotyczącego powierzenia Gminie Lubicz części zadań Gminy Miasta Toruń z zakresu organizacji publicznego transportu zbiorowego.</w:t>
      </w:r>
    </w:p>
    <w:p w:rsidR="00380101" w:rsidRDefault="00380101" w:rsidP="00380101">
      <w:pPr>
        <w:spacing w:line="240" w:lineRule="auto"/>
        <w:jc w:val="both"/>
        <w:rPr>
          <w:lang w:val="pl-PL"/>
        </w:rPr>
      </w:pPr>
      <w:r>
        <w:rPr>
          <w:lang w:val="pl-PL"/>
        </w:rPr>
        <w:t xml:space="preserve">Od 01.01.2021 r. na podstawie uchwały nr </w:t>
      </w:r>
      <w:r>
        <w:rPr>
          <w:b/>
          <w:lang w:val="pl-PL"/>
        </w:rPr>
        <w:t>495/20</w:t>
      </w:r>
      <w:r>
        <w:rPr>
          <w:lang w:val="pl-PL"/>
        </w:rPr>
        <w:t xml:space="preserve"> w sprawie ustalenia cen urzędowych za usługi przewozowe w publicznym transporcie zbiorowym i sposobu ustalania opłat dodatkowych, wdrożono zmiany cen biletów oraz sposób ustalania opłaty dodatkowej. </w:t>
      </w:r>
    </w:p>
    <w:p w:rsidR="00380101" w:rsidRDefault="00380101" w:rsidP="00380101">
      <w:pPr>
        <w:spacing w:line="240" w:lineRule="auto"/>
        <w:jc w:val="both"/>
        <w:rPr>
          <w:b/>
          <w:lang w:val="pl-PL"/>
        </w:rPr>
      </w:pPr>
      <w:r>
        <w:rPr>
          <w:lang w:val="pl-PL"/>
        </w:rPr>
        <w:t xml:space="preserve">Od 01.01.2021 r. na podstawie uchwały nr </w:t>
      </w:r>
      <w:r>
        <w:rPr>
          <w:b/>
          <w:lang w:val="pl-PL"/>
        </w:rPr>
        <w:t>526/20</w:t>
      </w:r>
      <w:r>
        <w:rPr>
          <w:lang w:val="pl-PL"/>
        </w:rPr>
        <w:t xml:space="preserve"> zmieniającej uchwałę w sprawie przepisów porządkowych obowiązujących w publicznym transporcie zbiorowym organizowanym przez Gminę Miasta Toruń uregulowano przewożenie rowerów i urządzeń transportu osobistego (wprowadzono opłatę za przewóz roweru), wózków inwalidzkich, rowerów z napędem elektrycznym oraz innych pojazdów i urządzeń transportu osobistego napędzanych za pomocą silnika elektrycznego.</w:t>
      </w:r>
    </w:p>
    <w:p w:rsidR="00380101" w:rsidRDefault="00380101" w:rsidP="00380101">
      <w:pPr>
        <w:spacing w:line="240" w:lineRule="auto"/>
        <w:jc w:val="both"/>
        <w:rPr>
          <w:b/>
          <w:color w:val="FF0000"/>
          <w:lang w:val="pl-PL"/>
        </w:rPr>
      </w:pPr>
      <w:r>
        <w:rPr>
          <w:b/>
          <w:lang w:val="pl-PL"/>
        </w:rPr>
        <w:t>Odpady</w:t>
      </w:r>
    </w:p>
    <w:p w:rsidR="00380101" w:rsidRPr="001442D0" w:rsidRDefault="00380101" w:rsidP="00380101">
      <w:pPr>
        <w:spacing w:line="240" w:lineRule="auto"/>
        <w:jc w:val="both"/>
        <w:rPr>
          <w:lang w:val="pl-PL"/>
        </w:rPr>
      </w:pPr>
      <w:r w:rsidRPr="001442D0">
        <w:rPr>
          <w:lang w:val="pl-PL"/>
        </w:rPr>
        <w:t>Upowszechniono zapisy uchwał:</w:t>
      </w:r>
      <w:r w:rsidR="001D3C50">
        <w:rPr>
          <w:lang w:val="pl-PL"/>
        </w:rPr>
        <w:t xml:space="preserve"> </w:t>
      </w:r>
      <w:r w:rsidRPr="001442D0">
        <w:rPr>
          <w:b/>
          <w:lang w:val="pl-PL"/>
        </w:rPr>
        <w:t>447/20</w:t>
      </w:r>
      <w:r w:rsidRPr="001442D0">
        <w:rPr>
          <w:lang w:val="pl-PL"/>
        </w:rPr>
        <w:t xml:space="preserve"> w sprawie wyboru metody ustalenia opłaty za gospodarowanie odpadami komunalnymi oraz ustalenia stawki tej opłaty i zwolnień z opłat oraz </w:t>
      </w:r>
      <w:r w:rsidRPr="001442D0">
        <w:rPr>
          <w:b/>
          <w:lang w:val="pl-PL"/>
        </w:rPr>
        <w:t>448/20</w:t>
      </w:r>
      <w:r w:rsidRPr="001442D0">
        <w:rPr>
          <w:lang w:val="pl-PL"/>
        </w:rPr>
        <w:t xml:space="preserve"> zmieniająca uchwałę w sprawie określenia wzoru deklaracji o wysokości opłaty za gospodarowanie odpadami komunalnymi na terenie Gminy Miasta Toruń, na stronie internetowej UMT, w serwisie poświęconym odpadom oraz poprzez pisemne informacje doręczane właścicielom nieruchomości o nowej wysokości opłaty za gospodarowanie odpadami w 2021r. </w:t>
      </w:r>
    </w:p>
    <w:p w:rsidR="00380101" w:rsidRDefault="00380101" w:rsidP="00380101">
      <w:pPr>
        <w:spacing w:line="240" w:lineRule="auto"/>
        <w:jc w:val="both"/>
        <w:rPr>
          <w:color w:val="FF0000"/>
          <w:lang w:val="pl-PL"/>
        </w:rPr>
      </w:pPr>
      <w:r>
        <w:rPr>
          <w:b/>
          <w:lang w:val="pl-PL"/>
        </w:rPr>
        <w:t>Aglomeracja Toruń</w:t>
      </w:r>
    </w:p>
    <w:p w:rsidR="00380101" w:rsidRPr="00EC282C" w:rsidRDefault="00380101" w:rsidP="00380101">
      <w:pPr>
        <w:spacing w:line="240" w:lineRule="auto"/>
        <w:jc w:val="both"/>
        <w:rPr>
          <w:b/>
          <w:bCs/>
          <w:lang w:val="pl-PL"/>
        </w:rPr>
      </w:pPr>
      <w:r w:rsidRPr="00EC282C">
        <w:rPr>
          <w:lang w:val="pl-PL"/>
        </w:rPr>
        <w:t>Na podstawie uchwały nr</w:t>
      </w:r>
      <w:r w:rsidRPr="00EC282C">
        <w:rPr>
          <w:b/>
          <w:lang w:val="pl-PL"/>
        </w:rPr>
        <w:t xml:space="preserve"> 408/20 </w:t>
      </w:r>
      <w:r w:rsidRPr="00EC282C">
        <w:rPr>
          <w:bCs/>
          <w:lang w:val="pl-PL"/>
        </w:rPr>
        <w:t>w sprawie zawarcia porozumienia międzygminnego dotyczącego współdziałania gmin przy realizacji zadania polegającego na zmianie wielkości, obszar</w:t>
      </w:r>
      <w:r w:rsidR="007C72A5">
        <w:rPr>
          <w:bCs/>
          <w:lang w:val="pl-PL"/>
        </w:rPr>
        <w:t>u i granic aglomeracji Toruń, 2</w:t>
      </w:r>
      <w:r w:rsidRPr="00EC282C">
        <w:rPr>
          <w:bCs/>
          <w:lang w:val="pl-PL"/>
        </w:rPr>
        <w:t xml:space="preserve">4.06.2020 r. Gmina zawarła porozumienie międzygminne z gminami: Gminą Chełmża, Gminą Miasta Chełmża i Gminą Zławieś Wielka. </w:t>
      </w:r>
    </w:p>
    <w:p w:rsidR="00380101" w:rsidRPr="00A82B13" w:rsidRDefault="00380101" w:rsidP="00380101">
      <w:pPr>
        <w:spacing w:line="240" w:lineRule="auto"/>
        <w:jc w:val="both"/>
        <w:rPr>
          <w:b/>
          <w:lang w:val="pl-PL"/>
        </w:rPr>
      </w:pPr>
      <w:r w:rsidRPr="00EC282C">
        <w:rPr>
          <w:bCs/>
          <w:lang w:val="pl-PL"/>
        </w:rPr>
        <w:t>Na podstawie uchwały nr</w:t>
      </w:r>
      <w:r w:rsidR="00A82B13">
        <w:rPr>
          <w:bCs/>
          <w:lang w:val="pl-PL"/>
        </w:rPr>
        <w:t xml:space="preserve"> </w:t>
      </w:r>
      <w:r w:rsidRPr="00EC282C">
        <w:rPr>
          <w:b/>
          <w:bCs/>
          <w:lang w:val="pl-PL"/>
        </w:rPr>
        <w:t xml:space="preserve">497/20 </w:t>
      </w:r>
      <w:r w:rsidRPr="00EC282C">
        <w:rPr>
          <w:lang w:val="pl-PL"/>
        </w:rPr>
        <w:t>w sprawie wyznaczenia obszaru i granic aglomeracji Toruń (</w:t>
      </w:r>
      <w:r w:rsidRPr="00EC282C">
        <w:rPr>
          <w:b/>
          <w:lang w:val="pl-PL"/>
        </w:rPr>
        <w:t xml:space="preserve">542/20 - </w:t>
      </w:r>
      <w:r w:rsidRPr="00EC282C">
        <w:rPr>
          <w:bCs/>
          <w:lang w:val="pl-PL"/>
        </w:rPr>
        <w:t xml:space="preserve">zmieniająca) – zgłoszono do PGW Wody Polskie Zarząd Zlewni w Toruniu w celu ujęcia w Krajowym Programie Oczyszczania Ścieków Komunalnych i podjęcia działań zmierzających do pozyskania dofinansowania inwestycji strukturalnych przez Toruńskie Wodociągi Sp. z o.o.  </w:t>
      </w:r>
    </w:p>
    <w:p w:rsidR="00380101" w:rsidRPr="000E40C5" w:rsidRDefault="00380101" w:rsidP="00380101">
      <w:pPr>
        <w:pStyle w:val="Bezodstpw1"/>
        <w:spacing w:line="240" w:lineRule="auto"/>
        <w:rPr>
          <w:b/>
        </w:rPr>
      </w:pPr>
      <w:r>
        <w:rPr>
          <w:rFonts w:ascii="Times New Roman" w:eastAsia="Arial" w:hAnsi="Times New Roman"/>
          <w:b/>
          <w:u w:val="single"/>
          <w:lang w:eastAsia="en-US" w:bidi="en-US"/>
        </w:rPr>
        <w:t>GOSPODARKA NIERUCHOMOŚCIAMI I MIESZKALNICTWO</w:t>
      </w:r>
    </w:p>
    <w:p w:rsidR="00380101" w:rsidRDefault="00380101" w:rsidP="00380101">
      <w:pPr>
        <w:spacing w:line="240" w:lineRule="auto"/>
        <w:jc w:val="both"/>
        <w:rPr>
          <w:lang w:val="pl-PL"/>
        </w:rPr>
      </w:pPr>
      <w:r>
        <w:rPr>
          <w:b/>
          <w:lang w:val="pl-PL"/>
        </w:rPr>
        <w:t>Bonifikaty</w:t>
      </w:r>
    </w:p>
    <w:p w:rsidR="00380101" w:rsidRDefault="00380101" w:rsidP="00380101">
      <w:pPr>
        <w:spacing w:line="240" w:lineRule="auto"/>
        <w:jc w:val="both"/>
        <w:rPr>
          <w:i/>
          <w:color w:val="FF3333"/>
          <w:lang w:val="pl-PL"/>
        </w:rPr>
      </w:pPr>
      <w:r>
        <w:rPr>
          <w:lang w:val="pl-PL"/>
        </w:rPr>
        <w:t xml:space="preserve">1) wdrożono zmiany w zasadach dotyczących udzielanych bonifikat na podstawie uchwały </w:t>
      </w:r>
      <w:r w:rsidR="00A82B13">
        <w:rPr>
          <w:lang w:val="pl-PL"/>
        </w:rPr>
        <w:br/>
      </w:r>
      <w:r>
        <w:rPr>
          <w:lang w:val="pl-PL"/>
        </w:rPr>
        <w:t xml:space="preserve">nr </w:t>
      </w:r>
      <w:r>
        <w:rPr>
          <w:b/>
          <w:bCs/>
          <w:lang w:val="pl-PL"/>
        </w:rPr>
        <w:t xml:space="preserve">329/20 </w:t>
      </w:r>
      <w:r>
        <w:rPr>
          <w:lang w:val="pl-PL"/>
        </w:rPr>
        <w:t>w sprawie bonifikat od opłat jednorazowych za przekształcenie prawa użytkowania wieczystego gruntów zabudowanych na cele mieszkaniowe w prawo własności gruntów stanowiący</w:t>
      </w:r>
      <w:r w:rsidR="007C72A5">
        <w:rPr>
          <w:lang w:val="pl-PL"/>
        </w:rPr>
        <w:t>ch własność Gminy Miasta Toruń,</w:t>
      </w:r>
    </w:p>
    <w:p w:rsidR="00380101" w:rsidRDefault="00380101" w:rsidP="00380101">
      <w:pPr>
        <w:spacing w:line="240" w:lineRule="auto"/>
        <w:jc w:val="both"/>
        <w:rPr>
          <w:lang w:val="pl-PL"/>
        </w:rPr>
      </w:pPr>
      <w:r>
        <w:rPr>
          <w:lang w:val="pl-PL"/>
        </w:rPr>
        <w:t xml:space="preserve">2) podjęto realizację procedur w sprawie udzielenia bonifikat od cen sprzedaży przez Gminę Miasta Toruń na rzecz najemców lokali mieszkalnych na podstawie uchwał: </w:t>
      </w:r>
      <w:r>
        <w:rPr>
          <w:b/>
          <w:bCs/>
          <w:lang w:val="pl-PL"/>
        </w:rPr>
        <w:t>343/20</w:t>
      </w:r>
      <w:r>
        <w:rPr>
          <w:lang w:val="pl-PL"/>
        </w:rPr>
        <w:t xml:space="preserve"> – </w:t>
      </w:r>
      <w:r>
        <w:rPr>
          <w:bCs/>
          <w:lang w:val="pl-PL"/>
        </w:rPr>
        <w:t>nr 10 przy ul. Hurynowicz 12, nr 14 i nr 48 przy ul. Krasińskiego 114, nr 28 przy ul. Krętej 74 (zrealizowana)</w:t>
      </w:r>
      <w:r>
        <w:rPr>
          <w:lang w:val="pl-PL"/>
        </w:rPr>
        <w:t xml:space="preserve">; </w:t>
      </w:r>
      <w:r>
        <w:rPr>
          <w:b/>
          <w:bCs/>
          <w:lang w:val="pl-PL"/>
        </w:rPr>
        <w:t>489/2</w:t>
      </w:r>
      <w:r>
        <w:rPr>
          <w:b/>
          <w:lang w:val="pl-PL"/>
        </w:rPr>
        <w:t>0</w:t>
      </w:r>
      <w:r>
        <w:rPr>
          <w:lang w:val="pl-PL"/>
        </w:rPr>
        <w:t xml:space="preserve"> – </w:t>
      </w:r>
      <w:r>
        <w:rPr>
          <w:rFonts w:cs="Times New Roman"/>
          <w:lang w:val="pl-PL"/>
        </w:rPr>
        <w:t xml:space="preserve">nr 6 przy ul. Hurynowicz 6, nr 2 i nr 5 przy ul. Hurynowicz 8, nr 9 przy ul. Hurynowicz 20, nr 7 przy ul. Hurynowicz 10, nr 5 przy ul. Hurynowicz 12; nr 4, </w:t>
      </w:r>
      <w:r w:rsidR="00A82B13">
        <w:rPr>
          <w:rFonts w:cs="Times New Roman"/>
          <w:lang w:val="pl-PL"/>
        </w:rPr>
        <w:br/>
      </w:r>
      <w:r>
        <w:rPr>
          <w:rFonts w:cs="Times New Roman"/>
          <w:lang w:val="pl-PL"/>
        </w:rPr>
        <w:lastRenderedPageBreak/>
        <w:t>nr 29, nr 33 nr 57 przy ul. Krasińskiego 114, nr 7 przy ul. Olsztyńskiej 132 (w trakcie realizacji).</w:t>
      </w:r>
    </w:p>
    <w:p w:rsidR="00380101" w:rsidRDefault="00380101" w:rsidP="00380101">
      <w:pPr>
        <w:spacing w:line="240" w:lineRule="auto"/>
        <w:jc w:val="both"/>
        <w:rPr>
          <w:lang w:val="pl-PL"/>
        </w:rPr>
      </w:pPr>
      <w:r>
        <w:rPr>
          <w:b/>
          <w:lang w:val="pl-PL"/>
        </w:rPr>
        <w:t>Procedury sprzedażowe</w:t>
      </w:r>
    </w:p>
    <w:p w:rsidR="00380101" w:rsidRPr="006E75BE" w:rsidRDefault="007C72A5" w:rsidP="00380101">
      <w:pPr>
        <w:spacing w:line="240" w:lineRule="auto"/>
        <w:jc w:val="both"/>
        <w:rPr>
          <w:lang w:val="pl-PL"/>
        </w:rPr>
      </w:pPr>
      <w:r>
        <w:rPr>
          <w:lang w:val="pl-PL"/>
        </w:rPr>
        <w:t>podjęto wobec nieruchomości</w:t>
      </w:r>
      <w:r w:rsidR="00380101">
        <w:rPr>
          <w:lang w:val="pl-PL"/>
        </w:rPr>
        <w:t xml:space="preserve"> stanowiących własność Gminy Miasta Toruń, położonych </w:t>
      </w:r>
      <w:r w:rsidR="00A82B13">
        <w:rPr>
          <w:lang w:val="pl-PL"/>
        </w:rPr>
        <w:br/>
      </w:r>
      <w:r w:rsidR="00380101">
        <w:rPr>
          <w:lang w:val="pl-PL"/>
        </w:rPr>
        <w:t xml:space="preserve">w Toruniu, na podstawie uchwał dotyczących nieruchomości: </w:t>
      </w:r>
    </w:p>
    <w:p w:rsidR="00380101" w:rsidRPr="006E75BE" w:rsidRDefault="00380101" w:rsidP="00380101">
      <w:pPr>
        <w:spacing w:line="240" w:lineRule="auto"/>
        <w:jc w:val="both"/>
        <w:rPr>
          <w:lang w:val="pl-PL"/>
        </w:rPr>
      </w:pPr>
      <w:r>
        <w:rPr>
          <w:b/>
          <w:bCs/>
          <w:lang w:val="pl-PL"/>
        </w:rPr>
        <w:t xml:space="preserve">* </w:t>
      </w:r>
      <w:r w:rsidRPr="006E75BE">
        <w:rPr>
          <w:b/>
          <w:bCs/>
          <w:lang w:val="pl-PL"/>
        </w:rPr>
        <w:t>361/</w:t>
      </w:r>
      <w:r w:rsidRPr="006E75BE">
        <w:rPr>
          <w:b/>
          <w:lang w:val="pl-PL"/>
        </w:rPr>
        <w:t>20</w:t>
      </w:r>
      <w:r w:rsidR="007C72A5">
        <w:rPr>
          <w:b/>
          <w:lang w:val="pl-PL"/>
        </w:rPr>
        <w:t xml:space="preserve"> </w:t>
      </w:r>
      <w:r w:rsidRPr="006E75BE">
        <w:rPr>
          <w:lang w:val="pl-PL"/>
        </w:rPr>
        <w:t>–</w:t>
      </w:r>
      <w:r w:rsidRPr="006E75BE">
        <w:rPr>
          <w:rFonts w:cs="Times New Roman"/>
          <w:lang w:val="pl-PL"/>
        </w:rPr>
        <w:t xml:space="preserve"> zabudowanej, przy Fosie Staromiejskiej 28 (zrealizowana)</w:t>
      </w:r>
      <w:r w:rsidRPr="006E75BE">
        <w:rPr>
          <w:lang w:val="pl-PL"/>
        </w:rPr>
        <w:t>,</w:t>
      </w:r>
    </w:p>
    <w:p w:rsidR="00380101" w:rsidRDefault="00380101" w:rsidP="00380101">
      <w:pPr>
        <w:spacing w:line="240" w:lineRule="auto"/>
        <w:jc w:val="both"/>
        <w:rPr>
          <w:bCs/>
          <w:lang w:val="pl-PL"/>
        </w:rPr>
      </w:pPr>
      <w:r>
        <w:rPr>
          <w:lang w:val="pl-PL"/>
        </w:rPr>
        <w:t xml:space="preserve">* </w:t>
      </w:r>
      <w:r>
        <w:rPr>
          <w:b/>
          <w:bCs/>
          <w:lang w:val="pl-PL"/>
        </w:rPr>
        <w:t>386/</w:t>
      </w:r>
      <w:r>
        <w:rPr>
          <w:b/>
          <w:lang w:val="pl-PL"/>
        </w:rPr>
        <w:t>20</w:t>
      </w:r>
      <w:r>
        <w:rPr>
          <w:lang w:val="pl-PL"/>
        </w:rPr>
        <w:t xml:space="preserve"> – </w:t>
      </w:r>
      <w:r>
        <w:rPr>
          <w:rFonts w:cs="Times New Roman"/>
          <w:lang w:val="pl-PL"/>
        </w:rPr>
        <w:t>gruntowej, przy ul.Antoniego Antczaka 10 (wstrzymano wykonanie do czasu wyjaśnienia zgłoszonych roszczeń)</w:t>
      </w:r>
      <w:r>
        <w:rPr>
          <w:bCs/>
          <w:lang w:val="pl-PL"/>
        </w:rPr>
        <w:t>,</w:t>
      </w:r>
    </w:p>
    <w:p w:rsidR="00380101" w:rsidRDefault="00380101" w:rsidP="00380101">
      <w:pPr>
        <w:spacing w:line="240" w:lineRule="auto"/>
        <w:jc w:val="both"/>
        <w:rPr>
          <w:bCs/>
          <w:lang w:val="pl-PL"/>
        </w:rPr>
      </w:pPr>
      <w:r>
        <w:rPr>
          <w:bCs/>
          <w:lang w:val="pl-PL"/>
        </w:rPr>
        <w:t xml:space="preserve">* </w:t>
      </w:r>
      <w:r>
        <w:rPr>
          <w:b/>
          <w:bCs/>
          <w:lang w:val="pl-PL"/>
        </w:rPr>
        <w:t>387/20</w:t>
      </w:r>
      <w:r>
        <w:rPr>
          <w:bCs/>
          <w:lang w:val="pl-PL"/>
        </w:rPr>
        <w:t xml:space="preserve"> – </w:t>
      </w:r>
      <w:r>
        <w:rPr>
          <w:rFonts w:cs="Times New Roman"/>
          <w:bCs/>
          <w:lang w:val="pl-PL"/>
        </w:rPr>
        <w:t>przy ul.Jemiołowej 12 i 14 (w trakcie realizacji)</w:t>
      </w:r>
      <w:r>
        <w:rPr>
          <w:bCs/>
          <w:lang w:val="pl-PL"/>
        </w:rPr>
        <w:t>,</w:t>
      </w:r>
    </w:p>
    <w:p w:rsidR="00380101" w:rsidRDefault="00380101" w:rsidP="00380101">
      <w:pPr>
        <w:spacing w:line="240" w:lineRule="auto"/>
        <w:jc w:val="both"/>
        <w:rPr>
          <w:bCs/>
          <w:lang w:val="pl-PL"/>
        </w:rPr>
      </w:pPr>
      <w:r>
        <w:rPr>
          <w:bCs/>
          <w:lang w:val="pl-PL"/>
        </w:rPr>
        <w:t xml:space="preserve">* </w:t>
      </w:r>
      <w:r>
        <w:rPr>
          <w:b/>
          <w:bCs/>
          <w:lang w:val="pl-PL"/>
        </w:rPr>
        <w:t>411/20</w:t>
      </w:r>
      <w:r>
        <w:rPr>
          <w:bCs/>
          <w:lang w:val="pl-PL"/>
        </w:rPr>
        <w:t xml:space="preserve"> – </w:t>
      </w:r>
      <w:r>
        <w:rPr>
          <w:rFonts w:cs="Times New Roman"/>
          <w:bCs/>
          <w:lang w:val="pl-PL"/>
        </w:rPr>
        <w:t>przy ul. Letniej 27a (w trakcie realizacji)</w:t>
      </w:r>
      <w:r>
        <w:rPr>
          <w:bCs/>
          <w:lang w:val="pl-PL"/>
        </w:rPr>
        <w:t>,</w:t>
      </w:r>
    </w:p>
    <w:p w:rsidR="00380101" w:rsidRDefault="00380101" w:rsidP="00380101">
      <w:pPr>
        <w:spacing w:line="240" w:lineRule="auto"/>
        <w:jc w:val="both"/>
        <w:rPr>
          <w:bCs/>
          <w:lang w:val="pl-PL"/>
        </w:rPr>
      </w:pPr>
      <w:r>
        <w:rPr>
          <w:bCs/>
          <w:lang w:val="pl-PL"/>
        </w:rPr>
        <w:t xml:space="preserve">* </w:t>
      </w:r>
      <w:r>
        <w:rPr>
          <w:b/>
          <w:bCs/>
          <w:lang w:val="pl-PL"/>
        </w:rPr>
        <w:t>421/20</w:t>
      </w:r>
      <w:r>
        <w:rPr>
          <w:bCs/>
          <w:lang w:val="pl-PL"/>
        </w:rPr>
        <w:t xml:space="preserve"> – </w:t>
      </w:r>
      <w:r>
        <w:rPr>
          <w:rFonts w:cs="Times New Roman"/>
          <w:bCs/>
          <w:lang w:val="pl-PL"/>
        </w:rPr>
        <w:t>gruntowej przy ul. Jana Keplera 58 i ul. Jana Heweliusza 17 (zrealizowana)</w:t>
      </w:r>
      <w:r>
        <w:rPr>
          <w:bCs/>
          <w:lang w:val="pl-PL"/>
        </w:rPr>
        <w:t>,</w:t>
      </w:r>
    </w:p>
    <w:p w:rsidR="00380101" w:rsidRPr="00604CA7" w:rsidRDefault="00380101" w:rsidP="00380101">
      <w:pPr>
        <w:spacing w:line="240" w:lineRule="auto"/>
        <w:jc w:val="both"/>
        <w:rPr>
          <w:bCs/>
          <w:lang w:val="pl-PL"/>
        </w:rPr>
      </w:pPr>
      <w:r w:rsidRPr="00604CA7">
        <w:rPr>
          <w:bCs/>
          <w:lang w:val="pl-PL"/>
        </w:rPr>
        <w:t xml:space="preserve">* </w:t>
      </w:r>
      <w:r w:rsidRPr="00604CA7">
        <w:rPr>
          <w:b/>
          <w:bCs/>
          <w:lang w:val="pl-PL"/>
        </w:rPr>
        <w:t>427/20</w:t>
      </w:r>
      <w:r w:rsidRPr="00604CA7">
        <w:rPr>
          <w:bCs/>
          <w:lang w:val="pl-PL"/>
        </w:rPr>
        <w:t xml:space="preserve"> – gruntowej przy ul. Poznańskiej 118 (w trakcie realizacji),</w:t>
      </w:r>
    </w:p>
    <w:p w:rsidR="00380101" w:rsidRDefault="00380101" w:rsidP="00380101">
      <w:pPr>
        <w:spacing w:line="240" w:lineRule="auto"/>
        <w:jc w:val="both"/>
        <w:rPr>
          <w:bCs/>
          <w:lang w:val="pl-PL"/>
        </w:rPr>
      </w:pPr>
      <w:r>
        <w:rPr>
          <w:bCs/>
          <w:lang w:val="pl-PL"/>
        </w:rPr>
        <w:t xml:space="preserve">* </w:t>
      </w:r>
      <w:r>
        <w:rPr>
          <w:b/>
          <w:bCs/>
          <w:lang w:val="pl-PL"/>
        </w:rPr>
        <w:t>428/20</w:t>
      </w:r>
      <w:r>
        <w:rPr>
          <w:bCs/>
          <w:lang w:val="pl-PL"/>
        </w:rPr>
        <w:t xml:space="preserve"> – </w:t>
      </w:r>
      <w:r>
        <w:rPr>
          <w:rFonts w:cs="Times New Roman"/>
          <w:bCs/>
          <w:color w:val="000000"/>
          <w:lang w:val="pl-PL"/>
        </w:rPr>
        <w:t>przy ul. Jana Keplera 13-15b i ul. Jana Heweliusza 46-56 (zrealizowana),</w:t>
      </w:r>
    </w:p>
    <w:p w:rsidR="00380101" w:rsidRDefault="00380101" w:rsidP="00380101">
      <w:pPr>
        <w:spacing w:line="240" w:lineRule="auto"/>
        <w:jc w:val="both"/>
        <w:rPr>
          <w:bCs/>
          <w:lang w:val="pl-PL"/>
        </w:rPr>
      </w:pPr>
      <w:r>
        <w:rPr>
          <w:bCs/>
          <w:lang w:val="pl-PL"/>
        </w:rPr>
        <w:t xml:space="preserve">* </w:t>
      </w:r>
      <w:r>
        <w:rPr>
          <w:b/>
          <w:bCs/>
          <w:lang w:val="pl-PL"/>
        </w:rPr>
        <w:t>458/20</w:t>
      </w:r>
      <w:r>
        <w:rPr>
          <w:bCs/>
          <w:lang w:val="pl-PL"/>
        </w:rPr>
        <w:t xml:space="preserve"> –</w:t>
      </w:r>
      <w:r>
        <w:rPr>
          <w:rFonts w:cs="Times New Roman"/>
          <w:bCs/>
          <w:sz w:val="23"/>
          <w:szCs w:val="23"/>
          <w:lang w:val="pl-PL"/>
        </w:rPr>
        <w:t xml:space="preserve"> gruntowych przy ul. Elbląskiej 51-53 (zrealizowana)</w:t>
      </w:r>
      <w:r>
        <w:rPr>
          <w:bCs/>
          <w:lang w:val="pl-PL"/>
        </w:rPr>
        <w:t>,</w:t>
      </w:r>
    </w:p>
    <w:p w:rsidR="00380101" w:rsidRDefault="00380101" w:rsidP="00380101">
      <w:pPr>
        <w:spacing w:line="240" w:lineRule="auto"/>
        <w:jc w:val="both"/>
        <w:rPr>
          <w:lang w:val="pl-PL"/>
        </w:rPr>
      </w:pPr>
      <w:r>
        <w:rPr>
          <w:bCs/>
          <w:lang w:val="pl-PL"/>
        </w:rPr>
        <w:t xml:space="preserve">* </w:t>
      </w:r>
      <w:r>
        <w:rPr>
          <w:b/>
          <w:bCs/>
          <w:lang w:val="pl-PL"/>
        </w:rPr>
        <w:t>512/20</w:t>
      </w:r>
      <w:r>
        <w:rPr>
          <w:bCs/>
          <w:lang w:val="pl-PL"/>
        </w:rPr>
        <w:t xml:space="preserve"> –</w:t>
      </w:r>
      <w:r w:rsidR="00A82B13">
        <w:rPr>
          <w:bCs/>
          <w:lang w:val="pl-PL"/>
        </w:rPr>
        <w:t xml:space="preserve"> </w:t>
      </w:r>
      <w:r>
        <w:rPr>
          <w:rFonts w:cs="Times New Roman"/>
          <w:bCs/>
          <w:sz w:val="23"/>
          <w:szCs w:val="23"/>
          <w:lang w:val="pl-PL"/>
        </w:rPr>
        <w:t>gruntowej, przy  ul.Włocławskiej 240 (w trakcie realizacji)</w:t>
      </w:r>
      <w:r>
        <w:rPr>
          <w:lang w:val="pl-PL"/>
        </w:rPr>
        <w:t>,</w:t>
      </w:r>
    </w:p>
    <w:p w:rsidR="00380101" w:rsidRDefault="00380101" w:rsidP="00380101">
      <w:pPr>
        <w:spacing w:line="240" w:lineRule="auto"/>
        <w:jc w:val="both"/>
        <w:rPr>
          <w:bCs/>
          <w:lang w:val="pl-PL"/>
        </w:rPr>
      </w:pPr>
      <w:r>
        <w:rPr>
          <w:lang w:val="pl-PL"/>
        </w:rPr>
        <w:t xml:space="preserve">* </w:t>
      </w:r>
      <w:r>
        <w:rPr>
          <w:b/>
          <w:bCs/>
          <w:lang w:val="pl-PL"/>
        </w:rPr>
        <w:t>513</w:t>
      </w:r>
      <w:r>
        <w:rPr>
          <w:b/>
          <w:lang w:val="pl-PL"/>
        </w:rPr>
        <w:t>/20</w:t>
      </w:r>
      <w:r>
        <w:rPr>
          <w:lang w:val="pl-PL"/>
        </w:rPr>
        <w:t xml:space="preserve"> – </w:t>
      </w:r>
      <w:r>
        <w:rPr>
          <w:rFonts w:cs="Times New Roman"/>
          <w:sz w:val="23"/>
          <w:szCs w:val="23"/>
          <w:lang w:val="pl-PL"/>
        </w:rPr>
        <w:t>gruntowej, przy ul.Szubińskiej 23 (w trakcie realizacji)</w:t>
      </w:r>
      <w:r>
        <w:rPr>
          <w:bCs/>
          <w:lang w:val="pl-PL"/>
        </w:rPr>
        <w:t>,</w:t>
      </w:r>
    </w:p>
    <w:p w:rsidR="00380101" w:rsidRDefault="00380101" w:rsidP="00380101">
      <w:pPr>
        <w:spacing w:line="240" w:lineRule="auto"/>
        <w:jc w:val="both"/>
        <w:rPr>
          <w:lang w:val="pl-PL"/>
        </w:rPr>
      </w:pPr>
      <w:r>
        <w:rPr>
          <w:bCs/>
          <w:lang w:val="pl-PL"/>
        </w:rPr>
        <w:t xml:space="preserve">* </w:t>
      </w:r>
      <w:r>
        <w:rPr>
          <w:b/>
          <w:bCs/>
          <w:lang w:val="pl-PL"/>
        </w:rPr>
        <w:t>514/20</w:t>
      </w:r>
      <w:r>
        <w:rPr>
          <w:bCs/>
          <w:lang w:val="pl-PL"/>
        </w:rPr>
        <w:t xml:space="preserve"> – </w:t>
      </w:r>
      <w:r>
        <w:rPr>
          <w:rFonts w:cs="Times New Roman"/>
          <w:bCs/>
          <w:sz w:val="23"/>
          <w:szCs w:val="23"/>
          <w:lang w:val="pl-PL"/>
        </w:rPr>
        <w:t>przy ul. Bolesława Chrobrego 90 (w trakcie realizacji)</w:t>
      </w:r>
      <w:r>
        <w:rPr>
          <w:lang w:val="pl-PL"/>
        </w:rPr>
        <w:t>,</w:t>
      </w:r>
    </w:p>
    <w:p w:rsidR="00380101" w:rsidRDefault="00380101" w:rsidP="00380101">
      <w:pPr>
        <w:spacing w:line="240" w:lineRule="auto"/>
        <w:jc w:val="both"/>
        <w:rPr>
          <w:lang w:val="pl-PL"/>
        </w:rPr>
      </w:pPr>
      <w:r>
        <w:rPr>
          <w:b/>
          <w:bCs/>
          <w:lang w:val="pl-PL"/>
        </w:rPr>
        <w:t>* 515/</w:t>
      </w:r>
      <w:r>
        <w:rPr>
          <w:b/>
          <w:lang w:val="pl-PL"/>
        </w:rPr>
        <w:t>20</w:t>
      </w:r>
      <w:r>
        <w:rPr>
          <w:lang w:val="pl-PL"/>
        </w:rPr>
        <w:t xml:space="preserve"> – </w:t>
      </w:r>
      <w:r>
        <w:rPr>
          <w:rFonts w:cs="Times New Roman"/>
          <w:sz w:val="23"/>
          <w:szCs w:val="23"/>
          <w:lang w:val="pl-PL"/>
        </w:rPr>
        <w:t>zabudowanej, przy Placu Św. Katarzyny 7 (w trakcie realizacji)</w:t>
      </w:r>
      <w:r>
        <w:rPr>
          <w:lang w:val="pl-PL"/>
        </w:rPr>
        <w:t>.</w:t>
      </w:r>
    </w:p>
    <w:p w:rsidR="00380101" w:rsidRDefault="00380101" w:rsidP="00380101">
      <w:pPr>
        <w:spacing w:line="240" w:lineRule="auto"/>
        <w:jc w:val="both"/>
        <w:rPr>
          <w:color w:val="FF3333"/>
          <w:lang w:val="pl-PL"/>
        </w:rPr>
      </w:pPr>
      <w:r>
        <w:rPr>
          <w:b/>
          <w:bCs/>
          <w:lang w:val="pl-PL"/>
        </w:rPr>
        <w:t>Odstąpienia od obowiązku przetargowego</w:t>
      </w:r>
      <w:r>
        <w:rPr>
          <w:color w:val="FF3333"/>
          <w:lang w:val="pl-PL"/>
        </w:rPr>
        <w:t>:</w:t>
      </w:r>
    </w:p>
    <w:p w:rsidR="00380101" w:rsidRPr="00D56F23" w:rsidRDefault="00380101" w:rsidP="00380101">
      <w:pPr>
        <w:pStyle w:val="NormalnyWeb"/>
        <w:spacing w:before="0" w:beforeAutospacing="0" w:after="0"/>
        <w:jc w:val="both"/>
      </w:pPr>
      <w:r w:rsidRPr="00E36B34">
        <w:t>Zrealizowana została</w:t>
      </w:r>
      <w:r>
        <w:t xml:space="preserve"> procedura, na podstawie uchwał:</w:t>
      </w:r>
      <w:r w:rsidRPr="00E36B34">
        <w:t xml:space="preserve"> nr </w:t>
      </w:r>
      <w:r w:rsidRPr="007E4DB3">
        <w:rPr>
          <w:b/>
          <w:bCs/>
        </w:rPr>
        <w:t>342/2</w:t>
      </w:r>
      <w:r w:rsidRPr="007E4DB3">
        <w:rPr>
          <w:b/>
        </w:rPr>
        <w:t>0</w:t>
      </w:r>
      <w:r w:rsidR="00A82B13">
        <w:t xml:space="preserve"> </w:t>
      </w:r>
      <w:r w:rsidRPr="00E36B34">
        <w:t xml:space="preserve">w sprawie zwolnienia </w:t>
      </w:r>
      <w:r w:rsidR="00A82B13">
        <w:br/>
      </w:r>
      <w:r w:rsidRPr="00E36B34">
        <w:t>z obowiązku zbycia w drodze przetargu</w:t>
      </w:r>
      <w:r w:rsidR="00A82B13">
        <w:t xml:space="preserve"> </w:t>
      </w:r>
      <w:r w:rsidRPr="00D56F23">
        <w:t xml:space="preserve">nieruchomości położonej w Toruniu przy </w:t>
      </w:r>
      <w:r w:rsidR="00A82B13">
        <w:br/>
      </w:r>
      <w:r w:rsidRPr="00D56F23">
        <w:t>ul. Czereśniowej 4-10</w:t>
      </w:r>
      <w:r w:rsidR="00A82B13">
        <w:t xml:space="preserve"> </w:t>
      </w:r>
      <w:r w:rsidRPr="007E4DB3">
        <w:rPr>
          <w:b/>
        </w:rPr>
        <w:t>oraz 425/20</w:t>
      </w:r>
      <w:r w:rsidR="00A82B13">
        <w:rPr>
          <w:color w:val="FF3333"/>
        </w:rPr>
        <w:t xml:space="preserve"> </w:t>
      </w:r>
      <w:r w:rsidRPr="00D56F23">
        <w:t>w sprawie odstąpienia od zbycia w drodze przetargu nieruchomości położonej w Toruniu przy ul. Czereśniowej 4-10, stanowiącej własność Gminy Miasta Toruń.</w:t>
      </w:r>
    </w:p>
    <w:p w:rsidR="00380101" w:rsidRPr="00D56F23" w:rsidRDefault="00380101" w:rsidP="00380101">
      <w:pPr>
        <w:pStyle w:val="western"/>
        <w:spacing w:before="0" w:after="0" w:line="240" w:lineRule="auto"/>
        <w:jc w:val="both"/>
        <w:rPr>
          <w:sz w:val="24"/>
          <w:szCs w:val="24"/>
          <w:lang w:val="pl-PL"/>
        </w:rPr>
      </w:pPr>
      <w:r w:rsidRPr="007E4DB3">
        <w:rPr>
          <w:sz w:val="24"/>
          <w:szCs w:val="24"/>
          <w:lang w:val="pl-PL"/>
        </w:rPr>
        <w:t xml:space="preserve">Uchwała nr </w:t>
      </w:r>
      <w:r w:rsidRPr="007E4DB3">
        <w:rPr>
          <w:b/>
          <w:sz w:val="24"/>
          <w:szCs w:val="24"/>
          <w:lang w:val="pl-PL"/>
        </w:rPr>
        <w:t>410/20</w:t>
      </w:r>
      <w:r w:rsidR="00A82B13">
        <w:rPr>
          <w:sz w:val="24"/>
          <w:szCs w:val="24"/>
          <w:lang w:val="pl-PL"/>
        </w:rPr>
        <w:t xml:space="preserve"> </w:t>
      </w:r>
      <w:r w:rsidRPr="00D56F23">
        <w:rPr>
          <w:sz w:val="24"/>
          <w:szCs w:val="24"/>
          <w:lang w:val="pl-PL"/>
        </w:rPr>
        <w:t xml:space="preserve">w sprawie przyznania pierwszeństwa w nabyciu i odstąpienia od zbycia </w:t>
      </w:r>
      <w:r w:rsidR="00A82B13">
        <w:rPr>
          <w:sz w:val="24"/>
          <w:szCs w:val="24"/>
          <w:lang w:val="pl-PL"/>
        </w:rPr>
        <w:br/>
      </w:r>
      <w:r w:rsidRPr="00D56F23">
        <w:rPr>
          <w:sz w:val="24"/>
          <w:szCs w:val="24"/>
          <w:lang w:val="pl-PL"/>
        </w:rPr>
        <w:t>w drodze przetargu nieruchomości położonej w Toruniu przy ul. Długosza 10, stanowiącej własność Gminy Miasta Toruń</w:t>
      </w:r>
      <w:r>
        <w:rPr>
          <w:sz w:val="24"/>
          <w:szCs w:val="24"/>
          <w:lang w:val="pl-PL"/>
        </w:rPr>
        <w:t xml:space="preserve">  - niezrealizowana (wycofano wniosek o nabycie)</w:t>
      </w:r>
      <w:r w:rsidRPr="00D56F23">
        <w:rPr>
          <w:sz w:val="24"/>
          <w:szCs w:val="24"/>
          <w:lang w:val="pl-PL"/>
        </w:rPr>
        <w:t>.</w:t>
      </w:r>
    </w:p>
    <w:p w:rsidR="00380101" w:rsidRPr="005A078F" w:rsidRDefault="00380101" w:rsidP="00380101">
      <w:pPr>
        <w:spacing w:line="240" w:lineRule="auto"/>
        <w:jc w:val="both"/>
        <w:rPr>
          <w:lang w:val="pl-PL"/>
        </w:rPr>
      </w:pPr>
      <w:r>
        <w:rPr>
          <w:lang w:val="pl-PL"/>
        </w:rPr>
        <w:t>P</w:t>
      </w:r>
      <w:r w:rsidRPr="00D56F23">
        <w:rPr>
          <w:b/>
          <w:lang w:val="pl-PL"/>
        </w:rPr>
        <w:t>rocedury sprzedażowe lokali stanowiących własność Gminy Miasta Toruń</w:t>
      </w:r>
      <w:r>
        <w:rPr>
          <w:lang w:val="pl-PL"/>
        </w:rPr>
        <w:t xml:space="preserve"> </w:t>
      </w:r>
      <w:r w:rsidR="00A82B13">
        <w:rPr>
          <w:lang w:val="pl-PL"/>
        </w:rPr>
        <w:br/>
      </w:r>
      <w:r>
        <w:rPr>
          <w:lang w:val="pl-PL"/>
        </w:rPr>
        <w:t>w</w:t>
      </w:r>
      <w:r w:rsidRPr="00D56F23">
        <w:rPr>
          <w:lang w:val="pl-PL"/>
        </w:rPr>
        <w:t xml:space="preserve"> nieruch</w:t>
      </w:r>
      <w:r>
        <w:rPr>
          <w:lang w:val="pl-PL"/>
        </w:rPr>
        <w:t xml:space="preserve">omościach położonych w Toruniu, wszczęto </w:t>
      </w:r>
      <w:r w:rsidRPr="00D56F23">
        <w:rPr>
          <w:lang w:val="pl-PL"/>
        </w:rPr>
        <w:t>na podstawie uchwał nr:</w:t>
      </w:r>
    </w:p>
    <w:p w:rsidR="00380101" w:rsidRPr="00D56F23" w:rsidRDefault="00380101" w:rsidP="00380101">
      <w:pPr>
        <w:spacing w:line="240" w:lineRule="auto"/>
        <w:jc w:val="both"/>
        <w:rPr>
          <w:lang w:val="pl-PL"/>
        </w:rPr>
      </w:pPr>
      <w:r w:rsidRPr="00D56F23">
        <w:rPr>
          <w:i/>
          <w:lang w:val="pl-PL"/>
        </w:rPr>
        <w:t>1) mieszkalne:</w:t>
      </w:r>
    </w:p>
    <w:p w:rsidR="00380101" w:rsidRPr="00D56F23" w:rsidRDefault="00380101" w:rsidP="00380101">
      <w:pPr>
        <w:spacing w:line="240" w:lineRule="auto"/>
        <w:jc w:val="both"/>
        <w:rPr>
          <w:lang w:val="pl-PL"/>
        </w:rPr>
      </w:pPr>
      <w:r>
        <w:rPr>
          <w:lang w:val="pl-PL"/>
        </w:rPr>
        <w:t xml:space="preserve">* </w:t>
      </w:r>
      <w:r w:rsidRPr="00D56F23">
        <w:rPr>
          <w:b/>
          <w:bCs/>
          <w:lang w:val="pl-PL"/>
        </w:rPr>
        <w:t>360/</w:t>
      </w:r>
      <w:r w:rsidRPr="00D56F23">
        <w:rPr>
          <w:b/>
          <w:lang w:val="pl-PL"/>
        </w:rPr>
        <w:t>20</w:t>
      </w:r>
      <w:r w:rsidRPr="00D56F23">
        <w:rPr>
          <w:lang w:val="pl-PL"/>
        </w:rPr>
        <w:t xml:space="preserve"> – </w:t>
      </w:r>
      <w:r w:rsidRPr="00D56F23">
        <w:rPr>
          <w:rFonts w:cs="Times New Roman"/>
          <w:lang w:val="pl-PL"/>
        </w:rPr>
        <w:t>lokalu nr 7, wchodzącego w skład budynku położonego przy ul. Mostowej 5</w:t>
      </w:r>
      <w:r>
        <w:rPr>
          <w:rFonts w:cs="Times New Roman"/>
          <w:lang w:val="pl-PL"/>
        </w:rPr>
        <w:t xml:space="preserve"> </w:t>
      </w:r>
      <w:r w:rsidR="00A82B13">
        <w:rPr>
          <w:rFonts w:cs="Times New Roman"/>
          <w:lang w:val="pl-PL"/>
        </w:rPr>
        <w:br/>
      </w:r>
      <w:r>
        <w:rPr>
          <w:rFonts w:cs="Times New Roman"/>
          <w:lang w:val="pl-PL"/>
        </w:rPr>
        <w:t>(w trakcie realizacji)</w:t>
      </w:r>
      <w:r w:rsidRPr="00D56F23">
        <w:rPr>
          <w:lang w:val="pl-PL"/>
        </w:rPr>
        <w:t>,</w:t>
      </w:r>
    </w:p>
    <w:p w:rsidR="00380101" w:rsidRPr="00D56F23" w:rsidRDefault="00380101" w:rsidP="00380101">
      <w:pPr>
        <w:pStyle w:val="western"/>
        <w:spacing w:before="0" w:after="0" w:line="240" w:lineRule="auto"/>
        <w:jc w:val="both"/>
        <w:rPr>
          <w:sz w:val="24"/>
          <w:szCs w:val="24"/>
          <w:lang w:val="pl-PL"/>
        </w:rPr>
      </w:pPr>
      <w:r>
        <w:rPr>
          <w:sz w:val="24"/>
          <w:szCs w:val="24"/>
          <w:lang w:val="pl-PL"/>
        </w:rPr>
        <w:t xml:space="preserve">* </w:t>
      </w:r>
      <w:r w:rsidRPr="00D56F23">
        <w:rPr>
          <w:b/>
          <w:sz w:val="24"/>
          <w:szCs w:val="24"/>
          <w:lang w:val="pl-PL"/>
        </w:rPr>
        <w:t>388/20</w:t>
      </w:r>
      <w:r w:rsidRPr="00D56F23">
        <w:rPr>
          <w:sz w:val="24"/>
          <w:szCs w:val="24"/>
          <w:lang w:val="pl-PL"/>
        </w:rPr>
        <w:t xml:space="preserve"> – lokalu nr 6, wchodzącego w skład budynku położonego przy ul. Jaroczyńskiego 5</w:t>
      </w:r>
      <w:r>
        <w:rPr>
          <w:sz w:val="24"/>
          <w:szCs w:val="24"/>
          <w:lang w:val="pl-PL"/>
        </w:rPr>
        <w:t xml:space="preserve"> (zrealizowana)</w:t>
      </w:r>
      <w:r w:rsidRPr="00D56F23">
        <w:rPr>
          <w:sz w:val="24"/>
          <w:szCs w:val="24"/>
          <w:lang w:val="pl-PL"/>
        </w:rPr>
        <w:t>,</w:t>
      </w:r>
    </w:p>
    <w:p w:rsidR="00380101" w:rsidRPr="00D56F23" w:rsidRDefault="00380101" w:rsidP="00380101">
      <w:pPr>
        <w:pStyle w:val="western"/>
        <w:spacing w:before="0" w:after="0" w:line="240" w:lineRule="auto"/>
        <w:jc w:val="both"/>
        <w:rPr>
          <w:sz w:val="24"/>
          <w:szCs w:val="24"/>
          <w:lang w:val="pl-PL"/>
        </w:rPr>
      </w:pPr>
      <w:r>
        <w:rPr>
          <w:sz w:val="24"/>
          <w:szCs w:val="24"/>
          <w:lang w:val="pl-PL"/>
        </w:rPr>
        <w:t xml:space="preserve">* </w:t>
      </w:r>
      <w:r w:rsidRPr="00D56F23">
        <w:rPr>
          <w:b/>
          <w:sz w:val="24"/>
          <w:szCs w:val="24"/>
          <w:lang w:val="pl-PL"/>
        </w:rPr>
        <w:t>389/20</w:t>
      </w:r>
      <w:r w:rsidRPr="00D56F23">
        <w:rPr>
          <w:sz w:val="24"/>
          <w:szCs w:val="24"/>
          <w:lang w:val="pl-PL"/>
        </w:rPr>
        <w:t xml:space="preserve"> – lokalu nr 5, wchodzącego w skład budynku położonego przy ul. Konopnickiej 18</w:t>
      </w:r>
      <w:r>
        <w:rPr>
          <w:sz w:val="24"/>
          <w:szCs w:val="24"/>
          <w:lang w:val="pl-PL"/>
        </w:rPr>
        <w:t xml:space="preserve"> (zrealizowana)</w:t>
      </w:r>
      <w:r w:rsidRPr="00D56F23">
        <w:rPr>
          <w:sz w:val="24"/>
          <w:szCs w:val="24"/>
          <w:lang w:val="pl-PL"/>
        </w:rPr>
        <w:t>,</w:t>
      </w:r>
    </w:p>
    <w:p w:rsidR="00380101" w:rsidRPr="00D56F23" w:rsidRDefault="00380101" w:rsidP="00380101">
      <w:pPr>
        <w:pStyle w:val="NormalnyWeb"/>
        <w:spacing w:before="0" w:beforeAutospacing="0" w:after="0"/>
        <w:jc w:val="both"/>
      </w:pPr>
      <w:r>
        <w:t xml:space="preserve">* </w:t>
      </w:r>
      <w:r w:rsidRPr="00D56F23">
        <w:rPr>
          <w:b/>
        </w:rPr>
        <w:t>422/20</w:t>
      </w:r>
      <w:r w:rsidRPr="00D56F23">
        <w:t xml:space="preserve"> – lokalu nr 16, wchodzącego w skład budynku położonego przy ul. Mickiewicza 72A</w:t>
      </w:r>
      <w:r>
        <w:t xml:space="preserve"> (zrealizowana)</w:t>
      </w:r>
      <w:r w:rsidRPr="00D56F23">
        <w:t>,</w:t>
      </w:r>
    </w:p>
    <w:p w:rsidR="00380101" w:rsidRPr="00D56F23" w:rsidRDefault="00380101" w:rsidP="00380101">
      <w:pPr>
        <w:pStyle w:val="western"/>
        <w:spacing w:before="0" w:after="0" w:line="240" w:lineRule="auto"/>
        <w:jc w:val="both"/>
        <w:rPr>
          <w:sz w:val="24"/>
          <w:szCs w:val="24"/>
          <w:lang w:val="pl-PL"/>
        </w:rPr>
      </w:pPr>
      <w:r>
        <w:rPr>
          <w:sz w:val="24"/>
          <w:szCs w:val="24"/>
          <w:lang w:val="pl-PL"/>
        </w:rPr>
        <w:t xml:space="preserve">* </w:t>
      </w:r>
      <w:r w:rsidRPr="00D56F23">
        <w:rPr>
          <w:b/>
          <w:sz w:val="24"/>
          <w:szCs w:val="24"/>
          <w:lang w:val="pl-PL"/>
        </w:rPr>
        <w:t>423/20</w:t>
      </w:r>
      <w:r w:rsidRPr="00D56F23">
        <w:rPr>
          <w:sz w:val="24"/>
          <w:szCs w:val="24"/>
          <w:lang w:val="pl-PL"/>
        </w:rPr>
        <w:t xml:space="preserve"> – lokalu nr 6B, wchodzącego w skład budynku położonego przy ul. Jagiellońskiej 25A</w:t>
      </w:r>
      <w:r>
        <w:rPr>
          <w:sz w:val="24"/>
          <w:szCs w:val="24"/>
          <w:lang w:val="pl-PL"/>
        </w:rPr>
        <w:t xml:space="preserve"> (w trakcie realizacji)</w:t>
      </w:r>
      <w:r w:rsidRPr="00D56F23">
        <w:rPr>
          <w:sz w:val="24"/>
          <w:szCs w:val="24"/>
          <w:lang w:val="pl-PL"/>
        </w:rPr>
        <w:t>,</w:t>
      </w:r>
    </w:p>
    <w:p w:rsidR="00380101" w:rsidRPr="00D56F23" w:rsidRDefault="00380101" w:rsidP="00380101">
      <w:pPr>
        <w:pStyle w:val="western"/>
        <w:spacing w:before="0" w:after="0" w:line="240" w:lineRule="auto"/>
        <w:jc w:val="both"/>
        <w:rPr>
          <w:sz w:val="24"/>
          <w:szCs w:val="24"/>
          <w:lang w:val="pl-PL"/>
        </w:rPr>
      </w:pPr>
      <w:r>
        <w:rPr>
          <w:b/>
          <w:sz w:val="24"/>
          <w:szCs w:val="24"/>
          <w:lang w:val="pl-PL"/>
        </w:rPr>
        <w:t xml:space="preserve">* </w:t>
      </w:r>
      <w:r w:rsidRPr="00D56F23">
        <w:rPr>
          <w:b/>
          <w:sz w:val="24"/>
          <w:szCs w:val="24"/>
          <w:lang w:val="pl-PL"/>
        </w:rPr>
        <w:t>424/20</w:t>
      </w:r>
      <w:r w:rsidRPr="00D56F23">
        <w:rPr>
          <w:sz w:val="24"/>
          <w:szCs w:val="24"/>
          <w:lang w:val="pl-PL"/>
        </w:rPr>
        <w:t xml:space="preserve"> – lokalu nr 4 wraz z pomieszczeniami przynależnymi, wchodzącego w skład budynku położonego przy Rynku Nowomiejskim 25</w:t>
      </w:r>
      <w:r>
        <w:rPr>
          <w:sz w:val="24"/>
          <w:szCs w:val="24"/>
          <w:lang w:val="pl-PL"/>
        </w:rPr>
        <w:t xml:space="preserve"> (w trakcie realizacji)</w:t>
      </w:r>
      <w:r w:rsidRPr="00D56F23">
        <w:rPr>
          <w:sz w:val="24"/>
          <w:szCs w:val="24"/>
          <w:lang w:val="pl-PL"/>
        </w:rPr>
        <w:t>,</w:t>
      </w:r>
    </w:p>
    <w:p w:rsidR="00380101" w:rsidRPr="00D56F23" w:rsidRDefault="00380101" w:rsidP="00380101">
      <w:pPr>
        <w:pStyle w:val="western"/>
        <w:spacing w:before="0" w:after="0" w:line="240" w:lineRule="auto"/>
        <w:jc w:val="both"/>
        <w:rPr>
          <w:i/>
          <w:sz w:val="24"/>
          <w:szCs w:val="24"/>
          <w:lang w:val="pl-PL"/>
        </w:rPr>
      </w:pPr>
      <w:r>
        <w:rPr>
          <w:i/>
          <w:sz w:val="24"/>
          <w:szCs w:val="24"/>
          <w:lang w:val="pl-PL"/>
        </w:rPr>
        <w:t>2) gospodarcze/strychowe</w:t>
      </w:r>
      <w:r w:rsidRPr="00D56F23">
        <w:rPr>
          <w:i/>
          <w:sz w:val="24"/>
          <w:szCs w:val="24"/>
          <w:lang w:val="pl-PL"/>
        </w:rPr>
        <w:t>:</w:t>
      </w:r>
    </w:p>
    <w:p w:rsidR="00380101" w:rsidRPr="00D56F23" w:rsidRDefault="00380101" w:rsidP="00380101">
      <w:pPr>
        <w:pStyle w:val="NormalnyWeb"/>
        <w:spacing w:before="0" w:beforeAutospacing="0" w:after="0"/>
        <w:jc w:val="both"/>
      </w:pPr>
      <w:r>
        <w:t xml:space="preserve">* </w:t>
      </w:r>
      <w:r w:rsidRPr="005A078F">
        <w:rPr>
          <w:b/>
        </w:rPr>
        <w:t>457/20</w:t>
      </w:r>
      <w:r w:rsidRPr="00D56F23">
        <w:t xml:space="preserve"> - lokalu nr 9, wchodzącego w skład budynku położonego przy ul. Rypińskiej 2-4 / Podgórskiej 21-23</w:t>
      </w:r>
      <w:r>
        <w:t xml:space="preserve"> (zrealizowana)</w:t>
      </w:r>
      <w:r w:rsidRPr="00D56F23">
        <w:t>,</w:t>
      </w:r>
    </w:p>
    <w:p w:rsidR="00380101" w:rsidRPr="00D56F23" w:rsidRDefault="00380101" w:rsidP="00380101">
      <w:pPr>
        <w:pStyle w:val="NormalnyWeb"/>
        <w:spacing w:before="0" w:beforeAutospacing="0" w:after="0"/>
        <w:jc w:val="both"/>
      </w:pPr>
      <w:r>
        <w:t xml:space="preserve">* </w:t>
      </w:r>
      <w:r w:rsidRPr="005A078F">
        <w:rPr>
          <w:b/>
        </w:rPr>
        <w:t>516/20</w:t>
      </w:r>
      <w:r w:rsidRPr="00D56F23">
        <w:t xml:space="preserve"> - pomieszczenia nr 12, wchodzącego w skład budynku położonego przy </w:t>
      </w:r>
      <w:r w:rsidR="00A82B13">
        <w:br/>
      </w:r>
      <w:r w:rsidRPr="00D56F23">
        <w:t>ul. Królowej Jadwigi 20</w:t>
      </w:r>
      <w:r>
        <w:t xml:space="preserve"> (w trakcie realizacji),</w:t>
      </w:r>
    </w:p>
    <w:p w:rsidR="00380101" w:rsidRPr="00D56F23" w:rsidRDefault="00380101" w:rsidP="00380101">
      <w:pPr>
        <w:pStyle w:val="NormalnyWeb"/>
        <w:spacing w:before="0" w:beforeAutospacing="0" w:after="0"/>
        <w:jc w:val="both"/>
      </w:pPr>
      <w:r>
        <w:t xml:space="preserve">* </w:t>
      </w:r>
      <w:r w:rsidRPr="005A078F">
        <w:rPr>
          <w:b/>
        </w:rPr>
        <w:t>517/20</w:t>
      </w:r>
      <w:r w:rsidRPr="00D56F23">
        <w:t>- lokalu nr 18, wchodzącego w skład budynku położonego przy ul.Łaziennej 28</w:t>
      </w:r>
      <w:r>
        <w:t xml:space="preserve"> </w:t>
      </w:r>
      <w:r w:rsidR="00A82B13">
        <w:br/>
      </w:r>
      <w:r>
        <w:t>(w trakcie realizacji).</w:t>
      </w:r>
    </w:p>
    <w:p w:rsidR="00380101" w:rsidRPr="00D56F23" w:rsidRDefault="00380101" w:rsidP="00380101">
      <w:pPr>
        <w:spacing w:line="240" w:lineRule="auto"/>
        <w:jc w:val="both"/>
        <w:rPr>
          <w:i/>
          <w:lang w:val="pl-PL"/>
        </w:rPr>
      </w:pPr>
      <w:r>
        <w:rPr>
          <w:i/>
          <w:lang w:val="pl-PL"/>
        </w:rPr>
        <w:t>3</w:t>
      </w:r>
      <w:r w:rsidRPr="00D56F23">
        <w:rPr>
          <w:i/>
          <w:lang w:val="pl-PL"/>
        </w:rPr>
        <w:t>) niemieszkalne:</w:t>
      </w:r>
    </w:p>
    <w:p w:rsidR="00380101" w:rsidRDefault="00380101" w:rsidP="00380101">
      <w:pPr>
        <w:pStyle w:val="NormalnyWeb"/>
        <w:spacing w:before="0" w:beforeAutospacing="0" w:after="0"/>
      </w:pPr>
      <w:r>
        <w:rPr>
          <w:b/>
        </w:rPr>
        <w:lastRenderedPageBreak/>
        <w:t xml:space="preserve">* </w:t>
      </w:r>
      <w:r w:rsidRPr="00D56F23">
        <w:rPr>
          <w:b/>
        </w:rPr>
        <w:t>518/20</w:t>
      </w:r>
      <w:r w:rsidRPr="00D56F23">
        <w:t xml:space="preserve"> – lokalu nr 10 o funkcji magazynowej, wchodzącego w skład budynku po</w:t>
      </w:r>
      <w:r>
        <w:t>łożonego przy ul. Moniuszki 26 (zrealizowana).</w:t>
      </w:r>
    </w:p>
    <w:p w:rsidR="00380101" w:rsidRPr="007E4DB3" w:rsidRDefault="00380101" w:rsidP="00380101">
      <w:pPr>
        <w:pStyle w:val="Tekstpodstawowy2"/>
        <w:spacing w:line="240" w:lineRule="auto"/>
        <w:rPr>
          <w:i w:val="0"/>
        </w:rPr>
      </w:pPr>
      <w:r w:rsidRPr="007E4DB3">
        <w:rPr>
          <w:i w:val="0"/>
          <w:color w:val="auto"/>
        </w:rPr>
        <w:t>Ogółem w 2020 r. sprzedano 99 lokali mieszkalnych na rzecz ich najemców, 50                          nieruchomości niezabudowanych i zabudowanych oraz 20 lokali mieszkalnych i użytkowych.</w:t>
      </w:r>
    </w:p>
    <w:p w:rsidR="00380101" w:rsidRDefault="00380101" w:rsidP="00380101">
      <w:pPr>
        <w:pStyle w:val="NormalnyWeb"/>
        <w:spacing w:before="0" w:beforeAutospacing="0" w:after="0"/>
        <w:jc w:val="both"/>
        <w:rPr>
          <w:b/>
        </w:rPr>
      </w:pPr>
      <w:r>
        <w:rPr>
          <w:b/>
        </w:rPr>
        <w:t xml:space="preserve">Odstąpienia od żądania zwrotu bonifikaty </w:t>
      </w:r>
    </w:p>
    <w:p w:rsidR="00380101" w:rsidRDefault="00380101" w:rsidP="00380101">
      <w:pPr>
        <w:pStyle w:val="NormalnyWeb"/>
        <w:spacing w:before="0" w:beforeAutospacing="0" w:after="0"/>
        <w:jc w:val="both"/>
      </w:pPr>
      <w:r w:rsidRPr="007E4DB3">
        <w:t>Zrealizowana została procedura na podstawie uchwały nr</w:t>
      </w:r>
      <w:r w:rsidR="00A82B13">
        <w:t xml:space="preserve"> </w:t>
      </w:r>
      <w:r w:rsidRPr="005A078F">
        <w:rPr>
          <w:b/>
        </w:rPr>
        <w:t>488/20</w:t>
      </w:r>
      <w:r w:rsidR="00A82B13">
        <w:rPr>
          <w:b/>
        </w:rPr>
        <w:t xml:space="preserve"> </w:t>
      </w:r>
      <w:r>
        <w:t>w sprawie wyrażenia zgody na odstąpienie od żądania zwrotu bonifikaty udzielonej przy sprzedaży przez GMT lokalu mieszkalnego nr 25 usytuowanego w budynku położonym przy ul. Krętej 74 w Toruniu.</w:t>
      </w:r>
    </w:p>
    <w:p w:rsidR="00380101" w:rsidRDefault="00380101" w:rsidP="00380101">
      <w:pPr>
        <w:spacing w:line="240" w:lineRule="auto"/>
        <w:jc w:val="both"/>
        <w:rPr>
          <w:lang w:val="pl-PL"/>
        </w:rPr>
      </w:pPr>
      <w:r>
        <w:rPr>
          <w:b/>
          <w:lang w:val="pl-PL"/>
        </w:rPr>
        <w:t>Nabycia nieruchomości przez Gminę Miasta Toruń</w:t>
      </w:r>
      <w:r>
        <w:rPr>
          <w:lang w:val="pl-PL"/>
        </w:rPr>
        <w:t>:</w:t>
      </w:r>
    </w:p>
    <w:p w:rsidR="00380101" w:rsidRDefault="00380101" w:rsidP="00380101">
      <w:pPr>
        <w:pStyle w:val="NormalnyWeb"/>
        <w:spacing w:before="0" w:beforeAutospacing="0" w:after="0"/>
        <w:jc w:val="both"/>
      </w:pPr>
      <w:r>
        <w:t>Dokonano nabycia nieruchomości przy ul. Marii Skłodowskiej-Curie na podstawie uchwały</w:t>
      </w:r>
      <w:r w:rsidR="00A82B13">
        <w:t xml:space="preserve"> </w:t>
      </w:r>
      <w:r>
        <w:t xml:space="preserve">nr </w:t>
      </w:r>
      <w:r>
        <w:rPr>
          <w:b/>
        </w:rPr>
        <w:t>540/20</w:t>
      </w:r>
      <w:r>
        <w:t>.</w:t>
      </w:r>
    </w:p>
    <w:p w:rsidR="00380101" w:rsidRPr="007E4DB3" w:rsidRDefault="00380101" w:rsidP="00380101">
      <w:pPr>
        <w:spacing w:line="240" w:lineRule="auto"/>
        <w:jc w:val="both"/>
        <w:rPr>
          <w:bCs/>
          <w:lang w:val="pl-PL"/>
        </w:rPr>
      </w:pPr>
      <w:r>
        <w:rPr>
          <w:bCs/>
          <w:lang w:val="pl-PL"/>
        </w:rPr>
        <w:t xml:space="preserve">Wszczęto procedury </w:t>
      </w:r>
      <w:r>
        <w:rPr>
          <w:b/>
          <w:bCs/>
          <w:lang w:val="pl-PL"/>
        </w:rPr>
        <w:t xml:space="preserve">zamiany nieruchomości </w:t>
      </w:r>
      <w:r>
        <w:rPr>
          <w:bCs/>
          <w:lang w:val="pl-PL"/>
        </w:rPr>
        <w:t xml:space="preserve">na podstawie uchwały nr </w:t>
      </w:r>
      <w:r>
        <w:rPr>
          <w:b/>
          <w:bCs/>
          <w:lang w:val="pl-PL"/>
        </w:rPr>
        <w:t>429/20</w:t>
      </w:r>
      <w:r>
        <w:rPr>
          <w:bCs/>
          <w:lang w:val="pl-PL"/>
        </w:rPr>
        <w:t>.</w:t>
      </w:r>
    </w:p>
    <w:p w:rsidR="00380101" w:rsidRDefault="00380101" w:rsidP="00380101">
      <w:pPr>
        <w:spacing w:line="240" w:lineRule="auto"/>
        <w:jc w:val="both"/>
        <w:rPr>
          <w:lang w:val="pl-PL"/>
        </w:rPr>
      </w:pPr>
      <w:r>
        <w:rPr>
          <w:b/>
          <w:bCs/>
          <w:lang w:val="pl-PL"/>
        </w:rPr>
        <w:t>Dzierżawy:</w:t>
      </w:r>
    </w:p>
    <w:p w:rsidR="00380101" w:rsidRDefault="00380101" w:rsidP="00380101">
      <w:pPr>
        <w:pStyle w:val="NormalnyWeb"/>
        <w:spacing w:before="0" w:beforeAutospacing="0" w:after="0"/>
        <w:jc w:val="both"/>
      </w:pPr>
      <w:r>
        <w:rPr>
          <w:b/>
        </w:rPr>
        <w:t xml:space="preserve">* </w:t>
      </w:r>
      <w:r w:rsidRPr="00751A9D">
        <w:rPr>
          <w:b/>
        </w:rPr>
        <w:t>426/20</w:t>
      </w:r>
      <w:r w:rsidR="00A82B13">
        <w:t xml:space="preserve"> </w:t>
      </w:r>
      <w:r>
        <w:t xml:space="preserve">w sprawie wyrażenia zgody na wydzierżawienie i odstąpienie od obowiązku przetargowego trybu zawarcia umowy dzierżawy, nieruchomości położonej w Toruniu przy ulicy Osiedlowej 55 (zrealizowana); </w:t>
      </w:r>
    </w:p>
    <w:p w:rsidR="00380101" w:rsidRDefault="00380101" w:rsidP="00380101">
      <w:pPr>
        <w:pStyle w:val="NormalnyWeb"/>
        <w:spacing w:before="0" w:beforeAutospacing="0" w:after="0"/>
        <w:jc w:val="both"/>
      </w:pPr>
      <w:r>
        <w:rPr>
          <w:b/>
        </w:rPr>
        <w:t xml:space="preserve">* </w:t>
      </w:r>
      <w:r w:rsidRPr="005A078F">
        <w:rPr>
          <w:b/>
        </w:rPr>
        <w:t>490/20</w:t>
      </w:r>
      <w:r w:rsidR="00A82B13">
        <w:t xml:space="preserve"> </w:t>
      </w:r>
      <w:r>
        <w:t>zmieniająca uchwałę w sprawie wydzierżawienia gruntów położnych w Toruniu przy ul. Dybowskiej 10-12, 14-20, Pl. Armii Krajowej 6, 7 i ul. Przy Grobli 2, stanowiących własność GMT(w trakcie realizacji).</w:t>
      </w:r>
    </w:p>
    <w:p w:rsidR="00380101" w:rsidRPr="00334134" w:rsidRDefault="00380101" w:rsidP="00380101">
      <w:pPr>
        <w:spacing w:line="240" w:lineRule="auto"/>
        <w:jc w:val="both"/>
        <w:rPr>
          <w:lang w:val="pl-PL"/>
        </w:rPr>
      </w:pPr>
      <w:r>
        <w:rPr>
          <w:bCs/>
          <w:lang w:val="pl-PL"/>
        </w:rPr>
        <w:t>Nie wdrożono procedur związanych z realizacją uchwały</w:t>
      </w:r>
      <w:r w:rsidRPr="006E75BE">
        <w:rPr>
          <w:bCs/>
          <w:lang w:val="pl-PL"/>
        </w:rPr>
        <w:t xml:space="preserve"> nr</w:t>
      </w:r>
      <w:r w:rsidR="00A82B13">
        <w:rPr>
          <w:bCs/>
          <w:lang w:val="pl-PL"/>
        </w:rPr>
        <w:t xml:space="preserve"> </w:t>
      </w:r>
      <w:r w:rsidRPr="008A22A6">
        <w:rPr>
          <w:b/>
          <w:bCs/>
          <w:lang w:val="pl-PL"/>
        </w:rPr>
        <w:t>491/20</w:t>
      </w:r>
      <w:r w:rsidRPr="008A22A6">
        <w:rPr>
          <w:lang w:val="pl-PL"/>
        </w:rPr>
        <w:t xml:space="preserve"> sprawie wyrażenia zgody na wydzierżawienie i odstąpienie od obowiązku przetargowego trybu zawarcia umowy dzierżawy nieruchomości położonej przy ulicy Bulwar Filadelfijski 7A i 9 oraz przyrzeczenia wyrażenia zgody na zamianę nieruchomości</w:t>
      </w:r>
      <w:r w:rsidR="00A82B13">
        <w:rPr>
          <w:lang w:val="pl-PL"/>
        </w:rPr>
        <w:t xml:space="preserve"> </w:t>
      </w:r>
      <w:r w:rsidRPr="00334134">
        <w:rPr>
          <w:lang w:val="pl-PL"/>
        </w:rPr>
        <w:t xml:space="preserve">z powodu rozstrzygnięcia nadzorczego Wojewody Kujawsko - Pomorskiego, stwierdzającego nieważność uchwały. W postępowaniu złożono skargę na podstawie uchwały nr </w:t>
      </w:r>
      <w:r w:rsidRPr="00334134">
        <w:rPr>
          <w:b/>
          <w:lang w:val="pl-PL"/>
        </w:rPr>
        <w:t>539/20</w:t>
      </w:r>
      <w:r w:rsidR="00A82B13">
        <w:rPr>
          <w:b/>
          <w:lang w:val="pl-PL"/>
        </w:rPr>
        <w:t xml:space="preserve"> </w:t>
      </w:r>
      <w:r w:rsidRPr="00334134">
        <w:rPr>
          <w:lang w:val="pl-PL"/>
        </w:rPr>
        <w:t>na ww. rozstrzygnięcie do Wojew</w:t>
      </w:r>
      <w:r w:rsidR="00A82B13">
        <w:rPr>
          <w:lang w:val="pl-PL"/>
        </w:rPr>
        <w:t>ódzkiego Sądu Administracyjnego, który podtrzymał decyzję Wojewody.</w:t>
      </w:r>
    </w:p>
    <w:p w:rsidR="00380101" w:rsidRDefault="00380101" w:rsidP="00380101">
      <w:pPr>
        <w:pStyle w:val="NormalnyWeb"/>
        <w:spacing w:before="0" w:beforeAutospacing="0" w:after="0"/>
        <w:jc w:val="both"/>
      </w:pPr>
      <w:r>
        <w:t xml:space="preserve">Wdrożono zmiany zasad określone </w:t>
      </w:r>
      <w:r w:rsidR="007C72A5">
        <w:t>w uchwale</w:t>
      </w:r>
      <w:r>
        <w:t xml:space="preserve"> nr </w:t>
      </w:r>
      <w:r w:rsidRPr="00751A9D">
        <w:rPr>
          <w:b/>
        </w:rPr>
        <w:t>492/20</w:t>
      </w:r>
      <w:r w:rsidR="007C72A5">
        <w:t xml:space="preserve"> zmieniającej</w:t>
      </w:r>
      <w:r>
        <w:t xml:space="preserve"> uchwałę w sprawie zasad obciążania służebnościami gruntowymi i przesyłu nieruchomości należących do zasobu nieruchomości Gminy Miasta Toruń.</w:t>
      </w:r>
    </w:p>
    <w:p w:rsidR="00380101" w:rsidRDefault="00380101" w:rsidP="00380101">
      <w:pPr>
        <w:spacing w:line="240" w:lineRule="auto"/>
        <w:jc w:val="both"/>
        <w:rPr>
          <w:bCs/>
          <w:lang w:val="pl-PL"/>
        </w:rPr>
      </w:pPr>
      <w:r>
        <w:rPr>
          <w:b/>
          <w:bCs/>
          <w:u w:val="single"/>
          <w:lang w:val="pl-PL"/>
        </w:rPr>
        <w:t>Mieszkalnictwo</w:t>
      </w:r>
    </w:p>
    <w:p w:rsidR="00380101" w:rsidRDefault="00835E2F" w:rsidP="00380101">
      <w:pPr>
        <w:pStyle w:val="NormalnyWeb"/>
        <w:spacing w:before="0" w:beforeAutospacing="0" w:after="0"/>
        <w:jc w:val="both"/>
      </w:pPr>
      <w:r>
        <w:rPr>
          <w:bCs/>
        </w:rPr>
        <w:t xml:space="preserve">Przyjęto do realizacji uchwałę nr </w:t>
      </w:r>
      <w:r w:rsidR="00380101" w:rsidRPr="00B5258B">
        <w:rPr>
          <w:b/>
          <w:bCs/>
        </w:rPr>
        <w:t>390/20</w:t>
      </w:r>
      <w:r w:rsidR="00A82B13">
        <w:rPr>
          <w:bCs/>
        </w:rPr>
        <w:t xml:space="preserve"> </w:t>
      </w:r>
      <w:r w:rsidR="00380101">
        <w:t>w sprawie wieloletniego programu gospodarowania mieszkaniowym zasobem Gminy Miasta Toruń na lata 2020 – 2024</w:t>
      </w:r>
      <w:r w:rsidR="00A82B13">
        <w:t>.</w:t>
      </w:r>
    </w:p>
    <w:p w:rsidR="00380101" w:rsidRDefault="00380101" w:rsidP="00380101">
      <w:pPr>
        <w:spacing w:line="240" w:lineRule="auto"/>
        <w:jc w:val="both"/>
        <w:rPr>
          <w:b/>
          <w:lang w:val="pl-PL"/>
        </w:rPr>
      </w:pPr>
      <w:r>
        <w:rPr>
          <w:lang w:val="pl-PL"/>
        </w:rPr>
        <w:t xml:space="preserve">Wdrożono zapisy uchwał, dotyczące procedur najmu, wynikające z uchwał nr: </w:t>
      </w:r>
    </w:p>
    <w:p w:rsidR="00380101" w:rsidRDefault="00380101" w:rsidP="00380101">
      <w:pPr>
        <w:pStyle w:val="NormalnyWeb"/>
        <w:spacing w:before="0" w:beforeAutospacing="0" w:after="0"/>
        <w:jc w:val="both"/>
        <w:rPr>
          <w:bCs/>
        </w:rPr>
      </w:pPr>
      <w:r>
        <w:rPr>
          <w:b/>
        </w:rPr>
        <w:t xml:space="preserve">* 391/20, 521/20 </w:t>
      </w:r>
      <w:r>
        <w:t>w sprawie zasad wynajmowania lokali użytkowych, garaży, powierzchni pod reklamę oraz nieruchomości lub ich części stanowiących własność Gminy Miasta Toruń, którymi gospodaruje Zakład Gospodarki Mieszkaniowej w Toruniu (zmieniające)</w:t>
      </w:r>
      <w:r>
        <w:rPr>
          <w:bCs/>
        </w:rPr>
        <w:t>,</w:t>
      </w:r>
    </w:p>
    <w:p w:rsidR="00380101" w:rsidRPr="00604CA7" w:rsidRDefault="00380101" w:rsidP="00A82B13">
      <w:pPr>
        <w:pStyle w:val="NormalnyWeb"/>
        <w:spacing w:before="0" w:beforeAutospacing="0" w:after="0"/>
        <w:jc w:val="both"/>
        <w:rPr>
          <w:bCs/>
        </w:rPr>
      </w:pPr>
      <w:r>
        <w:rPr>
          <w:b/>
          <w:bCs/>
        </w:rPr>
        <w:t>* 520/20</w:t>
      </w:r>
      <w:r w:rsidR="00A82B13">
        <w:rPr>
          <w:bCs/>
        </w:rPr>
        <w:t xml:space="preserve"> </w:t>
      </w:r>
      <w:r>
        <w:t>w sprawie „Zasad wynajmowania lokali wchodzących w skład mieszkaniowego zasobu Gminy Miasta Toruń”</w:t>
      </w:r>
      <w:r>
        <w:rPr>
          <w:bCs/>
        </w:rPr>
        <w:t>.</w:t>
      </w:r>
      <w:r w:rsidRPr="00EC282C">
        <w:rPr>
          <w:bCs/>
        </w:rPr>
        <w:t>W zasobie mieszkaniowym Gminy</w:t>
      </w:r>
      <w:r>
        <w:rPr>
          <w:bCs/>
        </w:rPr>
        <w:t xml:space="preserve">, w stosunku do wskazanych w uchwale </w:t>
      </w:r>
      <w:r w:rsidRPr="00633E43">
        <w:rPr>
          <w:b/>
          <w:bCs/>
        </w:rPr>
        <w:t>519/20</w:t>
      </w:r>
      <w:r>
        <w:rPr>
          <w:bCs/>
        </w:rPr>
        <w:t>wydzielonych lokali przeznaczonych</w:t>
      </w:r>
      <w:r w:rsidRPr="00EC282C">
        <w:rPr>
          <w:bCs/>
        </w:rPr>
        <w:t xml:space="preserve"> do wyna</w:t>
      </w:r>
      <w:r>
        <w:rPr>
          <w:bCs/>
        </w:rPr>
        <w:t>jmowania na czas stosunku pracy od 01.01.2021</w:t>
      </w:r>
      <w:r w:rsidR="007C72A5">
        <w:rPr>
          <w:bCs/>
        </w:rPr>
        <w:t xml:space="preserve"> </w:t>
      </w:r>
      <w:r>
        <w:rPr>
          <w:bCs/>
        </w:rPr>
        <w:t xml:space="preserve">r., </w:t>
      </w:r>
      <w:r w:rsidRPr="00604CA7">
        <w:rPr>
          <w:bCs/>
        </w:rPr>
        <w:t xml:space="preserve">Zakład Gospodarki Mieszkaniowej </w:t>
      </w:r>
      <w:r>
        <w:rPr>
          <w:bCs/>
        </w:rPr>
        <w:t xml:space="preserve">kontynuuje/zawiera umowy </w:t>
      </w:r>
      <w:r w:rsidR="007C72A5">
        <w:rPr>
          <w:bCs/>
        </w:rPr>
        <w:br/>
      </w:r>
      <w:r>
        <w:rPr>
          <w:bCs/>
        </w:rPr>
        <w:t xml:space="preserve">z pracownikami wymienionych w uchwale instytucji.   </w:t>
      </w:r>
    </w:p>
    <w:p w:rsidR="00380101" w:rsidRDefault="00380101" w:rsidP="00380101">
      <w:pPr>
        <w:spacing w:line="240" w:lineRule="auto"/>
        <w:jc w:val="both"/>
        <w:rPr>
          <w:lang w:val="pl-PL"/>
        </w:rPr>
      </w:pPr>
      <w:r w:rsidRPr="00633E43">
        <w:rPr>
          <w:i/>
          <w:lang w:val="pl-PL"/>
        </w:rPr>
        <w:t xml:space="preserve">Informacje dotyczące realizacji powyższych uchwał – w dziale </w:t>
      </w:r>
      <w:r w:rsidR="00A82B13">
        <w:rPr>
          <w:i/>
          <w:lang w:val="pl-PL"/>
        </w:rPr>
        <w:t>XII</w:t>
      </w:r>
      <w:r w:rsidR="00223809">
        <w:rPr>
          <w:i/>
          <w:lang w:val="pl-PL"/>
        </w:rPr>
        <w:t>.</w:t>
      </w:r>
      <w:r w:rsidR="00A82B13">
        <w:rPr>
          <w:i/>
          <w:lang w:val="pl-PL"/>
        </w:rPr>
        <w:t xml:space="preserve"> </w:t>
      </w:r>
      <w:r w:rsidRPr="00633E43">
        <w:rPr>
          <w:i/>
          <w:lang w:val="pl-PL"/>
        </w:rPr>
        <w:t>„Mieszkalnictwo”</w:t>
      </w:r>
      <w:r w:rsidR="00A82B13">
        <w:rPr>
          <w:i/>
          <w:lang w:val="pl-PL"/>
        </w:rPr>
        <w:t>.</w:t>
      </w:r>
    </w:p>
    <w:p w:rsidR="00380101" w:rsidRDefault="00380101" w:rsidP="00380101">
      <w:pPr>
        <w:spacing w:line="240" w:lineRule="auto"/>
        <w:jc w:val="both"/>
        <w:rPr>
          <w:lang w:val="pl-PL"/>
        </w:rPr>
      </w:pPr>
      <w:r>
        <w:rPr>
          <w:b/>
          <w:bCs/>
          <w:u w:val="single"/>
          <w:lang w:val="pl-PL"/>
        </w:rPr>
        <w:t>PLANOWANIE PRZESTRZENNE</w:t>
      </w:r>
    </w:p>
    <w:p w:rsidR="00380101" w:rsidRPr="006E75BE" w:rsidRDefault="00380101" w:rsidP="00380101">
      <w:pPr>
        <w:spacing w:line="240" w:lineRule="auto"/>
        <w:jc w:val="both"/>
        <w:rPr>
          <w:lang w:val="pl-PL"/>
        </w:rPr>
      </w:pPr>
      <w:r>
        <w:rPr>
          <w:lang w:val="pl-PL"/>
        </w:rPr>
        <w:t xml:space="preserve">W realizacji </w:t>
      </w:r>
      <w:r>
        <w:rPr>
          <w:b/>
          <w:lang w:val="pl-PL"/>
        </w:rPr>
        <w:t>polityki planistycznej</w:t>
      </w:r>
      <w:r>
        <w:rPr>
          <w:lang w:val="pl-PL"/>
        </w:rPr>
        <w:t xml:space="preserve"> przystąpiono do sporządzania miejscowych planów zagospodarowania przestrzennego na podstawie 9 podjętych w 2020 r. uchwał nr: </w:t>
      </w:r>
    </w:p>
    <w:p w:rsidR="00380101" w:rsidRPr="006E75BE" w:rsidRDefault="00380101" w:rsidP="00380101">
      <w:pPr>
        <w:spacing w:line="240" w:lineRule="auto"/>
        <w:jc w:val="both"/>
        <w:rPr>
          <w:bCs/>
          <w:lang w:val="pl-PL"/>
        </w:rPr>
      </w:pPr>
      <w:r>
        <w:rPr>
          <w:b/>
          <w:lang w:val="pl-PL"/>
        </w:rPr>
        <w:t xml:space="preserve">* </w:t>
      </w:r>
      <w:r w:rsidRPr="006E75BE">
        <w:rPr>
          <w:b/>
          <w:lang w:val="pl-PL"/>
        </w:rPr>
        <w:t>322/20</w:t>
      </w:r>
      <w:r w:rsidR="00223809">
        <w:rPr>
          <w:lang w:val="pl-PL"/>
        </w:rPr>
        <w:t xml:space="preserve"> -</w:t>
      </w:r>
      <w:r w:rsidRPr="006E75BE">
        <w:rPr>
          <w:lang w:val="pl-PL"/>
        </w:rPr>
        <w:t xml:space="preserve"> </w:t>
      </w:r>
      <w:r w:rsidRPr="006E75BE">
        <w:rPr>
          <w:bCs/>
          <w:lang w:val="pl-PL"/>
        </w:rPr>
        <w:t>dla terenów położnych przy ul. Grudziądzkiej i ul. Celniczej, w rejonie Centralnego Cmentarza Komunalnego w Toruniu,</w:t>
      </w:r>
    </w:p>
    <w:p w:rsidR="00380101" w:rsidRDefault="00380101" w:rsidP="00380101">
      <w:pPr>
        <w:spacing w:line="240" w:lineRule="auto"/>
        <w:jc w:val="both"/>
        <w:rPr>
          <w:lang w:val="pl-PL"/>
        </w:rPr>
      </w:pPr>
      <w:r>
        <w:rPr>
          <w:bCs/>
          <w:lang w:val="pl-PL"/>
        </w:rPr>
        <w:t xml:space="preserve">* </w:t>
      </w:r>
      <w:r>
        <w:rPr>
          <w:b/>
          <w:bCs/>
          <w:lang w:val="pl-PL"/>
        </w:rPr>
        <w:t>337/20</w:t>
      </w:r>
      <w:r w:rsidR="00223809">
        <w:rPr>
          <w:bCs/>
          <w:lang w:val="pl-PL"/>
        </w:rPr>
        <w:t xml:space="preserve"> -</w:t>
      </w:r>
      <w:r>
        <w:rPr>
          <w:bCs/>
          <w:lang w:val="pl-PL"/>
        </w:rPr>
        <w:t xml:space="preserve"> </w:t>
      </w:r>
      <w:r>
        <w:rPr>
          <w:lang w:val="pl-PL"/>
        </w:rPr>
        <w:t>„Glinki” dla obszaru położonego w rejonie ulic: Gniewkowska, Poznańska, trasa S-10 oraz linii kolejowej nr 353 Poz</w:t>
      </w:r>
      <w:r w:rsidR="007C72A5">
        <w:rPr>
          <w:lang w:val="pl-PL"/>
        </w:rPr>
        <w:t>nań Wschód – Skandawa w Toruniu</w:t>
      </w:r>
      <w:r>
        <w:rPr>
          <w:bCs/>
          <w:lang w:val="pl-PL"/>
        </w:rPr>
        <w:t>,</w:t>
      </w:r>
    </w:p>
    <w:p w:rsidR="00380101" w:rsidRDefault="00380101" w:rsidP="00380101">
      <w:pPr>
        <w:spacing w:line="240" w:lineRule="auto"/>
        <w:jc w:val="both"/>
        <w:rPr>
          <w:lang w:val="pl-PL"/>
        </w:rPr>
      </w:pPr>
      <w:r>
        <w:rPr>
          <w:lang w:val="pl-PL"/>
        </w:rPr>
        <w:t xml:space="preserve">* </w:t>
      </w:r>
      <w:r>
        <w:rPr>
          <w:b/>
          <w:lang w:val="pl-PL"/>
        </w:rPr>
        <w:t>338/20</w:t>
      </w:r>
      <w:r w:rsidR="00223809">
        <w:rPr>
          <w:lang w:val="pl-PL"/>
        </w:rPr>
        <w:t xml:space="preserve"> -</w:t>
      </w:r>
      <w:r>
        <w:rPr>
          <w:lang w:val="pl-PL"/>
        </w:rPr>
        <w:t xml:space="preserve"> dla terenu położonego w rejonie ulic: Szosy Chełmińskiej i Bema</w:t>
      </w:r>
      <w:r w:rsidR="007C72A5">
        <w:rPr>
          <w:lang w:val="pl-PL"/>
        </w:rPr>
        <w:t xml:space="preserve"> w Toruniu</w:t>
      </w:r>
      <w:r>
        <w:rPr>
          <w:lang w:val="pl-PL"/>
        </w:rPr>
        <w:t>,</w:t>
      </w:r>
    </w:p>
    <w:p w:rsidR="00380101" w:rsidRDefault="00380101" w:rsidP="00380101">
      <w:pPr>
        <w:spacing w:line="240" w:lineRule="auto"/>
        <w:jc w:val="both"/>
        <w:rPr>
          <w:lang w:val="pl-PL"/>
        </w:rPr>
      </w:pPr>
      <w:r>
        <w:rPr>
          <w:lang w:val="pl-PL"/>
        </w:rPr>
        <w:lastRenderedPageBreak/>
        <w:t xml:space="preserve">* </w:t>
      </w:r>
      <w:r>
        <w:rPr>
          <w:b/>
          <w:lang w:val="pl-PL"/>
        </w:rPr>
        <w:t>379/20</w:t>
      </w:r>
      <w:r w:rsidR="00223809">
        <w:rPr>
          <w:lang w:val="pl-PL"/>
        </w:rPr>
        <w:t xml:space="preserve"> -</w:t>
      </w:r>
      <w:r>
        <w:rPr>
          <w:lang w:val="pl-PL"/>
        </w:rPr>
        <w:t xml:space="preserve"> </w:t>
      </w:r>
      <w:r>
        <w:rPr>
          <w:bCs/>
          <w:lang w:val="pl-PL"/>
        </w:rPr>
        <w:t>„Wieża ciśnień” dla terenu położonego przy ul. Letniej w Toruniu</w:t>
      </w:r>
      <w:r>
        <w:rPr>
          <w:lang w:val="pl-PL"/>
        </w:rPr>
        <w:t>,</w:t>
      </w:r>
    </w:p>
    <w:p w:rsidR="00380101" w:rsidRPr="00B5258B" w:rsidRDefault="00380101" w:rsidP="00380101">
      <w:pPr>
        <w:spacing w:line="240" w:lineRule="auto"/>
        <w:jc w:val="both"/>
        <w:rPr>
          <w:lang w:val="pl-PL"/>
        </w:rPr>
      </w:pPr>
      <w:r>
        <w:rPr>
          <w:lang w:val="pl-PL"/>
        </w:rPr>
        <w:t xml:space="preserve">* </w:t>
      </w:r>
      <w:r w:rsidRPr="00B5258B">
        <w:rPr>
          <w:b/>
          <w:lang w:val="pl-PL"/>
        </w:rPr>
        <w:t>417/20</w:t>
      </w:r>
      <w:r w:rsidR="00223809">
        <w:rPr>
          <w:lang w:val="pl-PL"/>
        </w:rPr>
        <w:t xml:space="preserve"> -</w:t>
      </w:r>
      <w:r w:rsidRPr="00B5258B">
        <w:rPr>
          <w:lang w:val="pl-PL"/>
        </w:rPr>
        <w:t xml:space="preserve"> </w:t>
      </w:r>
      <w:r w:rsidR="00223809">
        <w:rPr>
          <w:bCs/>
          <w:lang w:val="pl-PL"/>
        </w:rPr>
        <w:t xml:space="preserve">dla obszaru położonego </w:t>
      </w:r>
      <w:r w:rsidRPr="00B5258B">
        <w:rPr>
          <w:bCs/>
          <w:lang w:val="pl-PL"/>
        </w:rPr>
        <w:t xml:space="preserve">w rejonie ulic: Podgórskiej i gen. J. Dwernickiego </w:t>
      </w:r>
      <w:r w:rsidR="00A82B13">
        <w:rPr>
          <w:bCs/>
          <w:lang w:val="pl-PL"/>
        </w:rPr>
        <w:br/>
      </w:r>
      <w:r w:rsidR="00223809">
        <w:rPr>
          <w:bCs/>
          <w:lang w:val="pl-PL"/>
        </w:rPr>
        <w:t>w Toruniu</w:t>
      </w:r>
      <w:r w:rsidRPr="00B5258B">
        <w:rPr>
          <w:lang w:val="pl-PL"/>
        </w:rPr>
        <w:t>,</w:t>
      </w:r>
    </w:p>
    <w:p w:rsidR="00380101" w:rsidRPr="00B5258B" w:rsidRDefault="00380101" w:rsidP="00380101">
      <w:pPr>
        <w:spacing w:line="240" w:lineRule="auto"/>
        <w:jc w:val="both"/>
        <w:rPr>
          <w:lang w:val="pl-PL"/>
        </w:rPr>
      </w:pPr>
      <w:r>
        <w:rPr>
          <w:lang w:val="pl-PL"/>
        </w:rPr>
        <w:t xml:space="preserve">* </w:t>
      </w:r>
      <w:r w:rsidRPr="00B5258B">
        <w:rPr>
          <w:b/>
          <w:lang w:val="pl-PL"/>
        </w:rPr>
        <w:t>460/20</w:t>
      </w:r>
      <w:r w:rsidR="00223809">
        <w:rPr>
          <w:lang w:val="pl-PL"/>
        </w:rPr>
        <w:t xml:space="preserve"> -</w:t>
      </w:r>
      <w:r w:rsidRPr="00B5258B">
        <w:rPr>
          <w:lang w:val="pl-PL"/>
        </w:rPr>
        <w:t xml:space="preserve"> dla obszaru położonego przy ulicach: </w:t>
      </w:r>
      <w:r w:rsidR="00223809">
        <w:rPr>
          <w:bCs/>
          <w:lang w:val="pl-PL"/>
        </w:rPr>
        <w:t xml:space="preserve">Łódzkiej i gen. S. </w:t>
      </w:r>
      <w:r w:rsidRPr="00B5258B">
        <w:rPr>
          <w:bCs/>
          <w:lang w:val="pl-PL"/>
        </w:rPr>
        <w:t xml:space="preserve">Grota-Roweckiego </w:t>
      </w:r>
      <w:r w:rsidR="00223809">
        <w:rPr>
          <w:bCs/>
          <w:lang w:val="pl-PL"/>
        </w:rPr>
        <w:br/>
      </w:r>
      <w:r w:rsidR="007C72A5">
        <w:rPr>
          <w:lang w:val="pl-PL"/>
        </w:rPr>
        <w:t>w Toruniu</w:t>
      </w:r>
      <w:r w:rsidRPr="00B5258B">
        <w:rPr>
          <w:lang w:val="pl-PL"/>
        </w:rPr>
        <w:t>,</w:t>
      </w:r>
    </w:p>
    <w:p w:rsidR="00380101" w:rsidRPr="00B5258B" w:rsidRDefault="00380101" w:rsidP="00380101">
      <w:pPr>
        <w:spacing w:line="240" w:lineRule="auto"/>
        <w:jc w:val="both"/>
        <w:rPr>
          <w:lang w:val="pl-PL"/>
        </w:rPr>
      </w:pPr>
      <w:r>
        <w:rPr>
          <w:lang w:val="pl-PL"/>
        </w:rPr>
        <w:t xml:space="preserve">* </w:t>
      </w:r>
      <w:r w:rsidRPr="00B5258B">
        <w:rPr>
          <w:b/>
          <w:lang w:val="pl-PL"/>
        </w:rPr>
        <w:t>461/20</w:t>
      </w:r>
      <w:r w:rsidRPr="00B5258B">
        <w:rPr>
          <w:lang w:val="pl-PL"/>
        </w:rPr>
        <w:t xml:space="preserve"> – dla terenów położonych w rejonie Trasy Wschodniej oraz ulic: Żółkiewskiego </w:t>
      </w:r>
      <w:r w:rsidR="00A82B13">
        <w:rPr>
          <w:lang w:val="pl-PL"/>
        </w:rPr>
        <w:br/>
      </w:r>
      <w:r w:rsidRPr="00B5258B">
        <w:rPr>
          <w:lang w:val="pl-PL"/>
        </w:rPr>
        <w:t>i</w:t>
      </w:r>
      <w:r w:rsidR="007C72A5">
        <w:rPr>
          <w:lang w:val="pl-PL"/>
        </w:rPr>
        <w:t xml:space="preserve"> Skłodowskiej - Curie w Toruniu</w:t>
      </w:r>
      <w:r w:rsidRPr="00B5258B">
        <w:rPr>
          <w:lang w:val="pl-PL"/>
        </w:rPr>
        <w:t>,</w:t>
      </w:r>
    </w:p>
    <w:p w:rsidR="00380101" w:rsidRPr="00B5258B" w:rsidRDefault="00380101" w:rsidP="00380101">
      <w:pPr>
        <w:spacing w:line="240" w:lineRule="auto"/>
        <w:jc w:val="both"/>
        <w:rPr>
          <w:lang w:val="pl-PL"/>
        </w:rPr>
      </w:pPr>
      <w:r>
        <w:rPr>
          <w:lang w:val="pl-PL"/>
        </w:rPr>
        <w:t xml:space="preserve">* </w:t>
      </w:r>
      <w:r w:rsidRPr="00B5258B">
        <w:rPr>
          <w:b/>
          <w:lang w:val="pl-PL"/>
        </w:rPr>
        <w:t>485/20</w:t>
      </w:r>
      <w:r w:rsidRPr="00B5258B">
        <w:rPr>
          <w:lang w:val="pl-PL"/>
        </w:rPr>
        <w:t xml:space="preserve"> –</w:t>
      </w:r>
      <w:r w:rsidR="00A82B13">
        <w:rPr>
          <w:lang w:val="pl-PL"/>
        </w:rPr>
        <w:t xml:space="preserve"> </w:t>
      </w:r>
      <w:r w:rsidRPr="00B5258B">
        <w:rPr>
          <w:lang w:val="pl-PL"/>
        </w:rPr>
        <w:t>„Rudak B” dla obszaru położonego przy</w:t>
      </w:r>
      <w:r w:rsidR="007C72A5">
        <w:rPr>
          <w:lang w:val="pl-PL"/>
        </w:rPr>
        <w:t xml:space="preserve"> ul. Rypińskiej 44-54 w Toruniu</w:t>
      </w:r>
      <w:r w:rsidRPr="00B5258B">
        <w:rPr>
          <w:lang w:val="pl-PL"/>
        </w:rPr>
        <w:t>,</w:t>
      </w:r>
    </w:p>
    <w:p w:rsidR="00380101" w:rsidRPr="00B5258B" w:rsidRDefault="00380101" w:rsidP="00380101">
      <w:pPr>
        <w:spacing w:line="240" w:lineRule="auto"/>
        <w:jc w:val="both"/>
        <w:rPr>
          <w:lang w:val="pl-PL" w:eastAsia="en-US" w:bidi="en-US"/>
        </w:rPr>
      </w:pPr>
      <w:r>
        <w:rPr>
          <w:lang w:val="pl-PL"/>
        </w:rPr>
        <w:t xml:space="preserve">* </w:t>
      </w:r>
      <w:r w:rsidRPr="00B5258B">
        <w:rPr>
          <w:b/>
          <w:lang w:val="pl-PL"/>
        </w:rPr>
        <w:t>486/20</w:t>
      </w:r>
      <w:r w:rsidRPr="00B5258B">
        <w:rPr>
          <w:lang w:val="pl-PL"/>
        </w:rPr>
        <w:t xml:space="preserve"> – dla terenów położonych w rejonie ulic: Ciekawej i Gminnej w Toruniu.</w:t>
      </w:r>
    </w:p>
    <w:p w:rsidR="00380101" w:rsidRPr="00B5258B" w:rsidRDefault="00380101" w:rsidP="00380101">
      <w:pPr>
        <w:pStyle w:val="Bezodstpw1"/>
        <w:spacing w:line="240" w:lineRule="auto"/>
        <w:jc w:val="both"/>
        <w:rPr>
          <w:rFonts w:ascii="Times New Roman" w:hAnsi="Times New Roman"/>
          <w:lang w:eastAsia="en-US" w:bidi="en-US"/>
        </w:rPr>
      </w:pPr>
      <w:r w:rsidRPr="00B5258B">
        <w:rPr>
          <w:rFonts w:ascii="Times New Roman" w:hAnsi="Times New Roman"/>
          <w:lang w:eastAsia="en-US" w:bidi="en-US"/>
        </w:rPr>
        <w:t>Miejska Pracownia Urbanistyczna</w:t>
      </w:r>
      <w:r w:rsidR="002F3694">
        <w:rPr>
          <w:rFonts w:ascii="Times New Roman" w:hAnsi="Times New Roman"/>
          <w:lang w:eastAsia="en-US" w:bidi="en-US"/>
        </w:rPr>
        <w:t xml:space="preserve"> MPU) </w:t>
      </w:r>
      <w:r w:rsidRPr="00B5258B">
        <w:rPr>
          <w:rFonts w:ascii="Times New Roman" w:hAnsi="Times New Roman"/>
          <w:lang w:eastAsia="en-US" w:bidi="en-US"/>
        </w:rPr>
        <w:t>, w związku z powyższymi decyzjami Rady Miasta Torunia, wdrożyła i prowadzi procedury formalno</w:t>
      </w:r>
      <w:r w:rsidR="007C72A5">
        <w:rPr>
          <w:rFonts w:ascii="Times New Roman" w:hAnsi="Times New Roman"/>
          <w:lang w:eastAsia="en-US" w:bidi="en-US"/>
        </w:rPr>
        <w:t xml:space="preserve"> </w:t>
      </w:r>
      <w:r w:rsidRPr="00B5258B">
        <w:rPr>
          <w:rFonts w:ascii="Times New Roman" w:hAnsi="Times New Roman"/>
          <w:lang w:eastAsia="en-US" w:bidi="en-US"/>
        </w:rPr>
        <w:t>–</w:t>
      </w:r>
      <w:r w:rsidR="007C72A5">
        <w:rPr>
          <w:rFonts w:ascii="Times New Roman" w:hAnsi="Times New Roman"/>
          <w:lang w:eastAsia="en-US" w:bidi="en-US"/>
        </w:rPr>
        <w:t xml:space="preserve"> </w:t>
      </w:r>
      <w:r w:rsidRPr="00B5258B">
        <w:rPr>
          <w:rFonts w:ascii="Times New Roman" w:hAnsi="Times New Roman"/>
          <w:lang w:eastAsia="en-US" w:bidi="en-US"/>
        </w:rPr>
        <w:t>prawne i prace merytoryczne, zgodnie z ustawą o planowaniu i zagospodarowaniu przestrzennym oraz z zachowaniem terminów ustawowych oraz wynikających z planu pracy jednostki.</w:t>
      </w:r>
    </w:p>
    <w:p w:rsidR="00380101" w:rsidRDefault="00380101" w:rsidP="00380101">
      <w:pPr>
        <w:pStyle w:val="Bezodstpw1"/>
        <w:spacing w:line="240" w:lineRule="auto"/>
        <w:jc w:val="both"/>
        <w:rPr>
          <w:rFonts w:ascii="Times New Roman" w:hAnsi="Times New Roman"/>
          <w:lang w:eastAsia="en-US" w:bidi="en-US"/>
        </w:rPr>
      </w:pPr>
      <w:r>
        <w:rPr>
          <w:rFonts w:ascii="Times New Roman" w:hAnsi="Times New Roman"/>
          <w:lang w:eastAsia="en-US" w:bidi="en-US"/>
        </w:rPr>
        <w:t>Na podstawie 10 uchwał dotyczących zatwierdzenia miejscowych planów zagospodarowania przestrzennego, tj. uchwał nr:</w:t>
      </w:r>
    </w:p>
    <w:p w:rsidR="00380101" w:rsidRDefault="00380101" w:rsidP="00380101">
      <w:pPr>
        <w:pStyle w:val="Bezodstpw1"/>
        <w:spacing w:line="240" w:lineRule="auto"/>
        <w:jc w:val="both"/>
        <w:rPr>
          <w:rFonts w:ascii="Times New Roman" w:hAnsi="Times New Roman"/>
        </w:rPr>
      </w:pPr>
      <w:r>
        <w:rPr>
          <w:rFonts w:ascii="Times New Roman" w:hAnsi="Times New Roman"/>
          <w:lang w:eastAsia="en-US" w:bidi="en-US"/>
        </w:rPr>
        <w:t xml:space="preserve">* </w:t>
      </w:r>
      <w:r>
        <w:rPr>
          <w:rFonts w:ascii="Times New Roman" w:hAnsi="Times New Roman"/>
          <w:b/>
          <w:lang w:eastAsia="en-US" w:bidi="en-US"/>
        </w:rPr>
        <w:t>339/20</w:t>
      </w:r>
      <w:r>
        <w:rPr>
          <w:rFonts w:ascii="Times New Roman" w:hAnsi="Times New Roman"/>
          <w:lang w:eastAsia="en-US" w:bidi="en-US"/>
        </w:rPr>
        <w:t xml:space="preserve"> – </w:t>
      </w:r>
      <w:r>
        <w:rPr>
          <w:rFonts w:ascii="Times New Roman" w:hAnsi="Times New Roman"/>
        </w:rPr>
        <w:t>dla części obszaru Miasteczka Uniwersyteckiego UMK w rejonie ulic</w:t>
      </w:r>
      <w:r w:rsidR="00A82B13">
        <w:rPr>
          <w:rFonts w:ascii="Times New Roman" w:hAnsi="Times New Roman"/>
        </w:rPr>
        <w:t>y Karola Olszewskiego w Toruniu</w:t>
      </w:r>
      <w:r>
        <w:rPr>
          <w:rFonts w:ascii="Times New Roman" w:hAnsi="Times New Roman"/>
        </w:rPr>
        <w:t>,</w:t>
      </w:r>
    </w:p>
    <w:p w:rsidR="00380101" w:rsidRDefault="00380101" w:rsidP="00380101">
      <w:pPr>
        <w:pStyle w:val="Bezodstpw1"/>
        <w:spacing w:line="240" w:lineRule="auto"/>
        <w:jc w:val="both"/>
        <w:rPr>
          <w:rFonts w:ascii="Times New Roman" w:hAnsi="Times New Roman"/>
        </w:rPr>
      </w:pPr>
      <w:r>
        <w:rPr>
          <w:rFonts w:ascii="Times New Roman" w:hAnsi="Times New Roman"/>
        </w:rPr>
        <w:t xml:space="preserve">* </w:t>
      </w:r>
      <w:r>
        <w:rPr>
          <w:rFonts w:ascii="Times New Roman" w:hAnsi="Times New Roman"/>
          <w:b/>
        </w:rPr>
        <w:t>358/20</w:t>
      </w:r>
      <w:r>
        <w:rPr>
          <w:rFonts w:ascii="Times New Roman" w:hAnsi="Times New Roman"/>
        </w:rPr>
        <w:t xml:space="preserve"> – dla obszaru położonego w rejonie ulic: Podgórskiej, Strzałowej i Stara Droga  </w:t>
      </w:r>
      <w:r w:rsidR="00A82B13">
        <w:rPr>
          <w:rFonts w:ascii="Times New Roman" w:hAnsi="Times New Roman"/>
        </w:rPr>
        <w:br/>
      </w:r>
      <w:r>
        <w:rPr>
          <w:rFonts w:ascii="Times New Roman" w:hAnsi="Times New Roman"/>
        </w:rPr>
        <w:t xml:space="preserve">w Toruniu, </w:t>
      </w:r>
    </w:p>
    <w:p w:rsidR="00380101" w:rsidRDefault="00380101" w:rsidP="00380101">
      <w:pPr>
        <w:pStyle w:val="Bezodstpw1"/>
        <w:spacing w:line="240" w:lineRule="auto"/>
        <w:jc w:val="both"/>
        <w:rPr>
          <w:rFonts w:ascii="Times New Roman" w:hAnsi="Times New Roman"/>
        </w:rPr>
      </w:pPr>
      <w:r>
        <w:rPr>
          <w:rFonts w:ascii="Times New Roman" w:hAnsi="Times New Roman"/>
        </w:rPr>
        <w:t xml:space="preserve">*  </w:t>
      </w:r>
      <w:r>
        <w:rPr>
          <w:rFonts w:ascii="Times New Roman" w:hAnsi="Times New Roman"/>
          <w:b/>
        </w:rPr>
        <w:t>359/20</w:t>
      </w:r>
      <w:r>
        <w:rPr>
          <w:rFonts w:ascii="Times New Roman" w:hAnsi="Times New Roman"/>
        </w:rPr>
        <w:t xml:space="preserve"> – „Park handlowy Zieleniec” dla obszaru położonego pomiędzy ul. Broniewskiego</w:t>
      </w:r>
      <w:r w:rsidR="00A82B13">
        <w:rPr>
          <w:rFonts w:ascii="Times New Roman" w:hAnsi="Times New Roman"/>
        </w:rPr>
        <w:br/>
      </w:r>
      <w:r>
        <w:rPr>
          <w:rFonts w:ascii="Times New Roman" w:hAnsi="Times New Roman"/>
        </w:rPr>
        <w:t xml:space="preserve"> i ul. Szosa Bydgoska,</w:t>
      </w:r>
    </w:p>
    <w:p w:rsidR="00380101" w:rsidRDefault="00380101" w:rsidP="00380101">
      <w:pPr>
        <w:pStyle w:val="Bezodstpw1"/>
        <w:spacing w:line="240" w:lineRule="auto"/>
        <w:jc w:val="both"/>
        <w:rPr>
          <w:rFonts w:ascii="Times New Roman" w:hAnsi="Times New Roman"/>
        </w:rPr>
      </w:pPr>
      <w:r>
        <w:rPr>
          <w:rFonts w:ascii="Times New Roman" w:hAnsi="Times New Roman"/>
        </w:rPr>
        <w:t xml:space="preserve">*  </w:t>
      </w:r>
      <w:r>
        <w:rPr>
          <w:rFonts w:ascii="Times New Roman" w:hAnsi="Times New Roman"/>
          <w:b/>
        </w:rPr>
        <w:t>418/20</w:t>
      </w:r>
      <w:r>
        <w:rPr>
          <w:rFonts w:ascii="Times New Roman" w:hAnsi="Times New Roman"/>
        </w:rPr>
        <w:t xml:space="preserve"> – </w:t>
      </w:r>
      <w:r>
        <w:rPr>
          <w:rFonts w:ascii="Times New Roman" w:hAnsi="Times New Roman"/>
          <w:bCs/>
          <w:sz w:val="23"/>
          <w:szCs w:val="23"/>
        </w:rPr>
        <w:t>dla obszaru położonego w rejonie ulic Budowlanej i Wapiennej w Toruniu</w:t>
      </w:r>
      <w:r>
        <w:rPr>
          <w:rFonts w:ascii="Times New Roman" w:hAnsi="Times New Roman"/>
        </w:rPr>
        <w:t>,</w:t>
      </w:r>
    </w:p>
    <w:p w:rsidR="00380101" w:rsidRDefault="00380101" w:rsidP="00380101">
      <w:pPr>
        <w:pStyle w:val="Bezodstpw1"/>
        <w:spacing w:line="240" w:lineRule="auto"/>
        <w:jc w:val="both"/>
        <w:rPr>
          <w:rFonts w:ascii="Times New Roman" w:hAnsi="Times New Roman"/>
        </w:rPr>
      </w:pPr>
      <w:r>
        <w:rPr>
          <w:rFonts w:ascii="Times New Roman" w:hAnsi="Times New Roman"/>
        </w:rPr>
        <w:t xml:space="preserve">* </w:t>
      </w:r>
      <w:r>
        <w:rPr>
          <w:rFonts w:ascii="Times New Roman" w:hAnsi="Times New Roman"/>
          <w:b/>
        </w:rPr>
        <w:t>419/20</w:t>
      </w:r>
      <w:r>
        <w:rPr>
          <w:rFonts w:ascii="Times New Roman" w:hAnsi="Times New Roman"/>
        </w:rPr>
        <w:t xml:space="preserve"> – </w:t>
      </w:r>
      <w:r>
        <w:rPr>
          <w:rFonts w:ascii="Times New Roman" w:hAnsi="Times New Roman"/>
          <w:sz w:val="23"/>
          <w:szCs w:val="23"/>
        </w:rPr>
        <w:t>„Rudak A” dla obszaru położonego w rejonie ulic Jana Skrzetuskiego i Pana Wołodyjowskiego w Toruniu</w:t>
      </w:r>
      <w:r>
        <w:rPr>
          <w:rFonts w:ascii="Times New Roman" w:hAnsi="Times New Roman"/>
        </w:rPr>
        <w:t>,</w:t>
      </w:r>
    </w:p>
    <w:p w:rsidR="00380101" w:rsidRDefault="00380101" w:rsidP="00380101">
      <w:pPr>
        <w:pStyle w:val="Bezodstpw1"/>
        <w:spacing w:line="240" w:lineRule="auto"/>
        <w:jc w:val="both"/>
        <w:rPr>
          <w:rFonts w:ascii="Times New Roman" w:hAnsi="Times New Roman"/>
        </w:rPr>
      </w:pPr>
      <w:r>
        <w:rPr>
          <w:rFonts w:ascii="Times New Roman" w:hAnsi="Times New Roman"/>
        </w:rPr>
        <w:t xml:space="preserve">* </w:t>
      </w:r>
      <w:r>
        <w:rPr>
          <w:rFonts w:ascii="Times New Roman" w:hAnsi="Times New Roman"/>
          <w:b/>
        </w:rPr>
        <w:t>420/20</w:t>
      </w:r>
      <w:r>
        <w:rPr>
          <w:rFonts w:ascii="Times New Roman" w:hAnsi="Times New Roman"/>
        </w:rPr>
        <w:t xml:space="preserve"> –</w:t>
      </w:r>
      <w:r w:rsidR="007C72A5">
        <w:rPr>
          <w:rFonts w:ascii="Times New Roman" w:hAnsi="Times New Roman"/>
          <w:sz w:val="23"/>
          <w:szCs w:val="23"/>
        </w:rPr>
        <w:t xml:space="preserve"> </w:t>
      </w:r>
      <w:r>
        <w:rPr>
          <w:rFonts w:ascii="Times New Roman" w:hAnsi="Times New Roman"/>
          <w:sz w:val="23"/>
          <w:szCs w:val="23"/>
        </w:rPr>
        <w:t>dla obszaru położonego u zbiegu ulic Myśliwskiej i Jeleniej w Toruniu</w:t>
      </w:r>
      <w:r>
        <w:rPr>
          <w:rFonts w:ascii="Times New Roman" w:hAnsi="Times New Roman"/>
        </w:rPr>
        <w:t>,</w:t>
      </w:r>
    </w:p>
    <w:p w:rsidR="00380101" w:rsidRDefault="00380101" w:rsidP="00380101">
      <w:pPr>
        <w:pStyle w:val="Bezodstpw1"/>
        <w:spacing w:line="240" w:lineRule="auto"/>
        <w:jc w:val="both"/>
        <w:rPr>
          <w:rFonts w:ascii="Times New Roman" w:hAnsi="Times New Roman"/>
        </w:rPr>
      </w:pPr>
      <w:r>
        <w:rPr>
          <w:rFonts w:ascii="Times New Roman" w:hAnsi="Times New Roman"/>
        </w:rPr>
        <w:t xml:space="preserve">* </w:t>
      </w:r>
      <w:r>
        <w:rPr>
          <w:rFonts w:ascii="Times New Roman" w:hAnsi="Times New Roman"/>
          <w:b/>
        </w:rPr>
        <w:t>459/20</w:t>
      </w:r>
      <w:r>
        <w:rPr>
          <w:rFonts w:ascii="Times New Roman" w:hAnsi="Times New Roman"/>
        </w:rPr>
        <w:t xml:space="preserve"> – </w:t>
      </w:r>
      <w:r>
        <w:rPr>
          <w:rStyle w:val="HTML-staaszeroko1"/>
          <w:rFonts w:ascii="Times New Roman" w:eastAsia="Calibri" w:hAnsi="Times New Roman" w:cs="font363"/>
          <w:sz w:val="23"/>
          <w:szCs w:val="23"/>
        </w:rPr>
        <w:t xml:space="preserve">„Winnica” dla terenów położonych w otoczeniu Mostu Gen. Elżbiety Zawackiej  </w:t>
      </w:r>
      <w:r w:rsidR="00A82B13">
        <w:rPr>
          <w:rStyle w:val="HTML-staaszeroko1"/>
          <w:rFonts w:ascii="Times New Roman" w:eastAsia="Calibri" w:hAnsi="Times New Roman" w:cs="font363"/>
          <w:sz w:val="23"/>
          <w:szCs w:val="23"/>
        </w:rPr>
        <w:br/>
      </w:r>
      <w:r>
        <w:rPr>
          <w:rStyle w:val="HTML-staaszeroko1"/>
          <w:rFonts w:ascii="Times New Roman" w:eastAsia="Calibri" w:hAnsi="Times New Roman" w:cs="font363"/>
          <w:sz w:val="23"/>
          <w:szCs w:val="23"/>
        </w:rPr>
        <w:t>w Toruniu</w:t>
      </w:r>
      <w:r>
        <w:rPr>
          <w:rFonts w:ascii="Times New Roman" w:hAnsi="Times New Roman"/>
        </w:rPr>
        <w:t>,</w:t>
      </w:r>
    </w:p>
    <w:p w:rsidR="00380101" w:rsidRPr="00B5258B" w:rsidRDefault="00380101" w:rsidP="00380101">
      <w:pPr>
        <w:pStyle w:val="Bezodstpw1"/>
        <w:spacing w:line="240" w:lineRule="auto"/>
        <w:jc w:val="both"/>
        <w:rPr>
          <w:bCs/>
        </w:rPr>
      </w:pPr>
      <w:r>
        <w:rPr>
          <w:rFonts w:ascii="Times New Roman" w:hAnsi="Times New Roman"/>
        </w:rPr>
        <w:t xml:space="preserve">*  </w:t>
      </w:r>
      <w:r w:rsidRPr="00B5258B">
        <w:rPr>
          <w:rFonts w:ascii="Times New Roman" w:hAnsi="Times New Roman"/>
          <w:b/>
        </w:rPr>
        <w:t>487/20</w:t>
      </w:r>
      <w:r w:rsidRPr="00B5258B">
        <w:rPr>
          <w:rFonts w:ascii="Times New Roman" w:hAnsi="Times New Roman"/>
        </w:rPr>
        <w:t xml:space="preserve"> – dla obszaru położonego w rejonie ulic: Lubicka i Szosa Lubicka w Toruniu</w:t>
      </w:r>
      <w:r w:rsidRPr="00B5258B">
        <w:rPr>
          <w:rFonts w:ascii="Times New Roman" w:hAnsi="Times New Roman"/>
          <w:bCs/>
        </w:rPr>
        <w:t>,</w:t>
      </w:r>
    </w:p>
    <w:p w:rsidR="00380101" w:rsidRPr="00B5258B" w:rsidRDefault="00380101" w:rsidP="00380101">
      <w:pPr>
        <w:spacing w:line="240" w:lineRule="auto"/>
        <w:jc w:val="both"/>
        <w:rPr>
          <w:lang w:val="pl-PL"/>
        </w:rPr>
      </w:pPr>
      <w:r>
        <w:rPr>
          <w:bCs/>
          <w:lang w:val="pl-PL"/>
        </w:rPr>
        <w:t xml:space="preserve">*  </w:t>
      </w:r>
      <w:r w:rsidRPr="00B5258B">
        <w:rPr>
          <w:b/>
          <w:bCs/>
          <w:lang w:val="pl-PL"/>
        </w:rPr>
        <w:t>510/20</w:t>
      </w:r>
      <w:r w:rsidRPr="00B5258B">
        <w:rPr>
          <w:bCs/>
          <w:lang w:val="pl-PL"/>
        </w:rPr>
        <w:t xml:space="preserve"> – </w:t>
      </w:r>
      <w:r w:rsidRPr="00B5258B">
        <w:rPr>
          <w:lang w:val="pl-PL"/>
        </w:rPr>
        <w:t>dla terenów położonych przy ul. Poznańskiej i gen. Józefa Hallera w Toruniu,</w:t>
      </w:r>
    </w:p>
    <w:p w:rsidR="00380101" w:rsidRPr="00B5258B" w:rsidRDefault="00380101" w:rsidP="00380101">
      <w:pPr>
        <w:pStyle w:val="Bezodstpw1"/>
        <w:spacing w:line="240" w:lineRule="auto"/>
        <w:jc w:val="both"/>
        <w:rPr>
          <w:rFonts w:ascii="Times New Roman" w:hAnsi="Times New Roman"/>
          <w:bCs/>
        </w:rPr>
      </w:pPr>
      <w:r>
        <w:rPr>
          <w:rFonts w:ascii="Times New Roman" w:hAnsi="Times New Roman"/>
        </w:rPr>
        <w:t xml:space="preserve">*  </w:t>
      </w:r>
      <w:r w:rsidRPr="00B5258B">
        <w:rPr>
          <w:rFonts w:ascii="Times New Roman" w:hAnsi="Times New Roman"/>
          <w:b/>
        </w:rPr>
        <w:t>511/20</w:t>
      </w:r>
      <w:r w:rsidRPr="00B5258B">
        <w:rPr>
          <w:rFonts w:ascii="Times New Roman" w:hAnsi="Times New Roman"/>
        </w:rPr>
        <w:t xml:space="preserve"> – dla terenów położonych przy ul.Okólnej, ul.Łódzkiej i ul.Zimowej w Toruniu</w:t>
      </w:r>
    </w:p>
    <w:p w:rsidR="00380101" w:rsidRDefault="002F3694" w:rsidP="00380101">
      <w:pPr>
        <w:pStyle w:val="Bezodstpw1"/>
        <w:spacing w:line="240" w:lineRule="auto"/>
        <w:jc w:val="both"/>
        <w:rPr>
          <w:rFonts w:ascii="Times New Roman" w:eastAsia="Arial" w:hAnsi="Times New Roman"/>
          <w:lang w:eastAsia="en-US" w:bidi="en-US"/>
        </w:rPr>
      </w:pPr>
      <w:r>
        <w:rPr>
          <w:rFonts w:ascii="Times New Roman" w:hAnsi="Times New Roman"/>
          <w:bCs/>
        </w:rPr>
        <w:t>MPU</w:t>
      </w:r>
      <w:r w:rsidR="00380101">
        <w:rPr>
          <w:rFonts w:ascii="Times New Roman" w:hAnsi="Times New Roman"/>
          <w:bCs/>
        </w:rPr>
        <w:t xml:space="preserve"> </w:t>
      </w:r>
      <w:r w:rsidR="00380101">
        <w:rPr>
          <w:rFonts w:ascii="Times New Roman" w:hAnsi="Times New Roman"/>
        </w:rPr>
        <w:t xml:space="preserve">przekazała ww. rozstrzygnięcia planistyczne do właściwych działów Urzędu Miasta Torunia i jednostek organizacyjnych Gminy – do stosowania. Na podstawie uchwalonych planów Wydział Architektury i Budownictwa tut. Urzędu </w:t>
      </w:r>
      <w:r w:rsidR="00380101">
        <w:rPr>
          <w:rFonts w:ascii="Times New Roman" w:eastAsia="Arial" w:hAnsi="Times New Roman"/>
          <w:lang w:eastAsia="en-US" w:bidi="en-US"/>
        </w:rPr>
        <w:t>wydaje wypisy i wyrysy na wniosek inwestora oraz stosuje przy wydawaniu decyzji o pozwoleniu na budowę z upoważnienia Prezydenta Miasta – w bieżącej pracy wydziału.</w:t>
      </w:r>
    </w:p>
    <w:p w:rsidR="00380101" w:rsidRPr="004667BF" w:rsidRDefault="00380101" w:rsidP="00380101">
      <w:pPr>
        <w:pStyle w:val="Bezodstpw1"/>
        <w:spacing w:line="240" w:lineRule="auto"/>
        <w:jc w:val="both"/>
        <w:rPr>
          <w:rFonts w:ascii="Times New Roman" w:eastAsia="Arial" w:hAnsi="Times New Roman"/>
          <w:lang w:eastAsia="en-US" w:bidi="en-US"/>
        </w:rPr>
      </w:pPr>
      <w:r w:rsidRPr="004667BF">
        <w:rPr>
          <w:rFonts w:ascii="Times New Roman" w:eastAsia="Arial" w:hAnsi="Times New Roman"/>
          <w:lang w:eastAsia="en-US" w:bidi="en-US"/>
        </w:rPr>
        <w:t>W wyniku realizacji polityki planistycznej w Toruniu – według stanu na koniec 2020 r. – tereny objęte planami zajmują obszar 6.602 ha, co stanowi 57,05 % powierzchni miasta.</w:t>
      </w:r>
    </w:p>
    <w:p w:rsidR="00380101" w:rsidRDefault="00380101" w:rsidP="00380101">
      <w:pPr>
        <w:pStyle w:val="Bezodstpw1"/>
        <w:spacing w:line="240" w:lineRule="auto"/>
        <w:jc w:val="both"/>
        <w:rPr>
          <w:rFonts w:ascii="Times New Roman" w:hAnsi="Times New Roman"/>
        </w:rPr>
      </w:pPr>
      <w:r w:rsidRPr="00E97004">
        <w:rPr>
          <w:rFonts w:ascii="Times New Roman" w:eastAsia="Arial" w:hAnsi="Times New Roman"/>
          <w:lang w:eastAsia="en-US" w:bidi="en-US"/>
        </w:rPr>
        <w:t xml:space="preserve">Ponadto, na podstawie uchwały nr </w:t>
      </w:r>
      <w:r w:rsidRPr="00E97004">
        <w:rPr>
          <w:rFonts w:ascii="Times New Roman" w:eastAsia="Arial" w:hAnsi="Times New Roman"/>
          <w:b/>
          <w:lang w:eastAsia="en-US" w:bidi="en-US"/>
        </w:rPr>
        <w:t>340/20</w:t>
      </w:r>
      <w:r w:rsidR="00A82B13">
        <w:rPr>
          <w:rFonts w:ascii="Times New Roman" w:eastAsia="Arial" w:hAnsi="Times New Roman"/>
          <w:b/>
          <w:lang w:eastAsia="en-US" w:bidi="en-US"/>
        </w:rPr>
        <w:t xml:space="preserve"> </w:t>
      </w:r>
      <w:r w:rsidRPr="00E97004">
        <w:rPr>
          <w:rFonts w:ascii="Times New Roman" w:eastAsia="Arial" w:hAnsi="Times New Roman"/>
          <w:lang w:eastAsia="en-US" w:bidi="en-US"/>
        </w:rPr>
        <w:t xml:space="preserve">w sprawie </w:t>
      </w:r>
      <w:r w:rsidRPr="00E97004">
        <w:rPr>
          <w:rFonts w:ascii="Times New Roman" w:hAnsi="Times New Roman"/>
        </w:rPr>
        <w:t xml:space="preserve">ustalenia lokalizacji inwestycji mieszkaniowej przy ul. Winnica </w:t>
      </w:r>
      <w:r>
        <w:rPr>
          <w:rFonts w:ascii="Times New Roman" w:hAnsi="Times New Roman"/>
        </w:rPr>
        <w:t>25-27 prowadzone są</w:t>
      </w:r>
      <w:r w:rsidR="00A82B13">
        <w:rPr>
          <w:rFonts w:ascii="Times New Roman" w:hAnsi="Times New Roman"/>
        </w:rPr>
        <w:t xml:space="preserve"> </w:t>
      </w:r>
      <w:r w:rsidRPr="00E97004">
        <w:rPr>
          <w:rFonts w:ascii="Times New Roman" w:hAnsi="Times New Roman"/>
        </w:rPr>
        <w:t>procedury formalno</w:t>
      </w:r>
      <w:r w:rsidR="007C72A5">
        <w:rPr>
          <w:rFonts w:ascii="Times New Roman" w:hAnsi="Times New Roman"/>
        </w:rPr>
        <w:t xml:space="preserve"> </w:t>
      </w:r>
      <w:r w:rsidRPr="00E97004">
        <w:rPr>
          <w:rFonts w:ascii="Times New Roman" w:hAnsi="Times New Roman"/>
        </w:rPr>
        <w:t>-</w:t>
      </w:r>
      <w:r w:rsidR="007C72A5">
        <w:rPr>
          <w:rFonts w:ascii="Times New Roman" w:hAnsi="Times New Roman"/>
        </w:rPr>
        <w:t xml:space="preserve"> </w:t>
      </w:r>
      <w:r w:rsidRPr="00E97004">
        <w:rPr>
          <w:rFonts w:ascii="Times New Roman" w:hAnsi="Times New Roman"/>
        </w:rPr>
        <w:t xml:space="preserve">prawne </w:t>
      </w:r>
      <w:r>
        <w:rPr>
          <w:rFonts w:ascii="Times New Roman" w:hAnsi="Times New Roman"/>
        </w:rPr>
        <w:t xml:space="preserve">                          i postępowanie</w:t>
      </w:r>
      <w:r w:rsidRPr="00E97004">
        <w:rPr>
          <w:rFonts w:ascii="Times New Roman" w:hAnsi="Times New Roman"/>
        </w:rPr>
        <w:t xml:space="preserve"> w sprawie wydania pozwolenia na budowę zgodnie z  ustawą o ułatwieniach w przygotowaniu i realizacji inwestycji mieszkaniowych oraz inwestycji towarzyszących</w:t>
      </w:r>
      <w:r>
        <w:rPr>
          <w:rFonts w:ascii="Times New Roman" w:hAnsi="Times New Roman"/>
          <w:color w:val="FF0000"/>
        </w:rPr>
        <w:t xml:space="preserve">. </w:t>
      </w:r>
    </w:p>
    <w:p w:rsidR="00380101" w:rsidRPr="000E40C5" w:rsidRDefault="00380101" w:rsidP="00380101">
      <w:pPr>
        <w:pStyle w:val="Bezodstpw1"/>
        <w:spacing w:line="240" w:lineRule="auto"/>
        <w:jc w:val="both"/>
        <w:rPr>
          <w:rFonts w:ascii="Times New Roman" w:hAnsi="Times New Roman"/>
          <w:b/>
          <w:u w:val="single"/>
        </w:rPr>
      </w:pPr>
      <w:r>
        <w:rPr>
          <w:rFonts w:ascii="Times New Roman" w:hAnsi="Times New Roman"/>
          <w:b/>
          <w:u w:val="single"/>
        </w:rPr>
        <w:t>REWITALIZACJA</w:t>
      </w:r>
    </w:p>
    <w:p w:rsidR="00380101" w:rsidRPr="00D404AD" w:rsidRDefault="00380101" w:rsidP="00380101">
      <w:pPr>
        <w:spacing w:line="240" w:lineRule="auto"/>
        <w:jc w:val="both"/>
        <w:rPr>
          <w:lang w:val="pl-PL"/>
        </w:rPr>
      </w:pPr>
      <w:r w:rsidRPr="00D404AD">
        <w:rPr>
          <w:bCs/>
          <w:lang w:val="pl-PL"/>
        </w:rPr>
        <w:t xml:space="preserve">Uchwała nr </w:t>
      </w:r>
      <w:r w:rsidRPr="00D404AD">
        <w:rPr>
          <w:b/>
          <w:bCs/>
          <w:lang w:val="pl-PL"/>
        </w:rPr>
        <w:t>346/20</w:t>
      </w:r>
      <w:r w:rsidRPr="00D404AD">
        <w:rPr>
          <w:bCs/>
          <w:lang w:val="pl-PL"/>
        </w:rPr>
        <w:t xml:space="preserve"> zmieniająca uchwałę </w:t>
      </w:r>
      <w:r w:rsidRPr="00D404AD">
        <w:rPr>
          <w:lang w:val="pl-PL"/>
        </w:rPr>
        <w:t>w sprawie przyjęcia Gminnego Programu Rewitalizacji pn. „Program Rewitalizacji Torunia do roku 2023”.</w:t>
      </w:r>
    </w:p>
    <w:p w:rsidR="00380101" w:rsidRPr="00D404AD" w:rsidRDefault="00380101" w:rsidP="00380101">
      <w:pPr>
        <w:spacing w:line="240" w:lineRule="auto"/>
        <w:jc w:val="both"/>
        <w:rPr>
          <w:i/>
          <w:lang w:val="pl-PL"/>
        </w:rPr>
      </w:pPr>
      <w:r w:rsidRPr="001D2FF6">
        <w:rPr>
          <w:i/>
          <w:lang w:val="pl-PL"/>
        </w:rPr>
        <w:t>Informacje dotyczące realizacji powyższej uchwały – w dziale</w:t>
      </w:r>
      <w:r w:rsidR="00A82B13">
        <w:rPr>
          <w:i/>
          <w:lang w:val="pl-PL"/>
        </w:rPr>
        <w:t xml:space="preserve"> XVIII</w:t>
      </w:r>
      <w:r w:rsidR="00223809">
        <w:rPr>
          <w:i/>
          <w:lang w:val="pl-PL"/>
        </w:rPr>
        <w:t>.</w:t>
      </w:r>
      <w:r>
        <w:rPr>
          <w:i/>
          <w:lang w:val="pl-PL"/>
        </w:rPr>
        <w:t xml:space="preserve"> „Rewitalizacja i rozwój miasta</w:t>
      </w:r>
      <w:r w:rsidRPr="001D2FF6">
        <w:rPr>
          <w:i/>
          <w:lang w:val="pl-PL"/>
        </w:rPr>
        <w:t>”</w:t>
      </w:r>
      <w:r w:rsidR="00A82B13">
        <w:rPr>
          <w:i/>
          <w:lang w:val="pl-PL"/>
        </w:rPr>
        <w:t>.</w:t>
      </w:r>
    </w:p>
    <w:p w:rsidR="00380101" w:rsidRDefault="00380101" w:rsidP="00380101">
      <w:pPr>
        <w:spacing w:line="240" w:lineRule="auto"/>
        <w:jc w:val="both"/>
        <w:rPr>
          <w:lang w:val="pl-PL"/>
        </w:rPr>
      </w:pPr>
      <w:r w:rsidRPr="00D404AD">
        <w:rPr>
          <w:lang w:val="pl-PL"/>
        </w:rPr>
        <w:t xml:space="preserve">Na podstawie uchwały nr </w:t>
      </w:r>
      <w:r w:rsidRPr="00D404AD">
        <w:rPr>
          <w:b/>
          <w:lang w:val="pl-PL"/>
        </w:rPr>
        <w:t>398/20</w:t>
      </w:r>
      <w:r w:rsidR="00A82B13">
        <w:rPr>
          <w:lang w:val="pl-PL"/>
        </w:rPr>
        <w:t xml:space="preserve"> </w:t>
      </w:r>
      <w:r w:rsidRPr="00D404AD">
        <w:rPr>
          <w:lang w:val="pl-PL"/>
        </w:rPr>
        <w:t xml:space="preserve">w sprawie wskazania radnych do udziału w Komitecie Rewitalizacji na terenie Gminy Miasta Toruń wydane zostało Zarządzenie Prezydenta Miasta Torunia nr 111/2020 zmieniające Zarządzenie w sprawie powołania Komitetu Rewitalizacji, </w:t>
      </w:r>
      <w:r w:rsidR="00A82B13">
        <w:rPr>
          <w:lang w:val="pl-PL"/>
        </w:rPr>
        <w:br/>
      </w:r>
      <w:r w:rsidRPr="00D404AD">
        <w:rPr>
          <w:lang w:val="pl-PL"/>
        </w:rPr>
        <w:t xml:space="preserve">z uwzględnieniem wskazanych przez Radę Miasta radnych. </w:t>
      </w:r>
    </w:p>
    <w:p w:rsidR="009C25FB" w:rsidRPr="009C25FB" w:rsidRDefault="009C25FB" w:rsidP="009C25FB">
      <w:pPr>
        <w:pStyle w:val="Nagwek1"/>
        <w:numPr>
          <w:ilvl w:val="0"/>
          <w:numId w:val="0"/>
        </w:numPr>
        <w:spacing w:line="240" w:lineRule="auto"/>
        <w:rPr>
          <w:color w:val="0070C0"/>
          <w:lang w:val="pl-PL"/>
        </w:rPr>
      </w:pPr>
      <w:r>
        <w:rPr>
          <w:b w:val="0"/>
          <w:szCs w:val="24"/>
          <w:lang w:val="pl-PL"/>
        </w:rPr>
        <w:lastRenderedPageBreak/>
        <w:br/>
      </w:r>
      <w:r w:rsidR="00A07873">
        <w:rPr>
          <w:color w:val="0070C0"/>
          <w:lang w:val="pl-PL"/>
        </w:rPr>
        <w:t xml:space="preserve">XXI. </w:t>
      </w:r>
      <w:r w:rsidR="00AE6BCB">
        <w:rPr>
          <w:color w:val="0070C0"/>
          <w:lang w:val="pl-PL"/>
        </w:rPr>
        <w:t>WYKAZ DOKUMENTÓW STRATEGICZNYCH, PLANÓW I PROGRAMÓW OBOWIĄZ</w:t>
      </w:r>
      <w:r w:rsidR="00D87E2D">
        <w:rPr>
          <w:color w:val="0070C0"/>
          <w:lang w:val="pl-PL"/>
        </w:rPr>
        <w:t xml:space="preserve">UJĄCYCH </w:t>
      </w:r>
      <w:r w:rsidR="00A07873">
        <w:rPr>
          <w:color w:val="0070C0"/>
          <w:lang w:val="pl-PL"/>
        </w:rPr>
        <w:t xml:space="preserve">w GMINIE MIASTA TORUŃ </w:t>
      </w:r>
      <w:bookmarkEnd w:id="229"/>
      <w:bookmarkEnd w:id="230"/>
      <w:r>
        <w:rPr>
          <w:color w:val="0070C0"/>
          <w:lang w:val="pl-PL"/>
        </w:rPr>
        <w:br/>
      </w:r>
    </w:p>
    <w:tbl>
      <w:tblPr>
        <w:tblW w:w="0" w:type="auto"/>
        <w:tblInd w:w="-176" w:type="dxa"/>
        <w:tblLayout w:type="fixed"/>
        <w:tblLook w:val="0000"/>
      </w:tblPr>
      <w:tblGrid>
        <w:gridCol w:w="710"/>
        <w:gridCol w:w="7371"/>
        <w:gridCol w:w="1155"/>
      </w:tblGrid>
      <w:tr w:rsidR="00AE6BCB" w:rsidTr="00993BD1">
        <w:tc>
          <w:tcPr>
            <w:tcW w:w="710"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jc w:val="center"/>
              <w:rPr>
                <w:b/>
                <w:lang w:val="pl-PL"/>
              </w:rPr>
            </w:pPr>
            <w:r>
              <w:rPr>
                <w:b/>
                <w:lang w:val="pl-PL"/>
              </w:rPr>
              <w:t>Lp.</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jc w:val="center"/>
              <w:rPr>
                <w:b/>
                <w:lang w:val="pl-PL"/>
              </w:rPr>
            </w:pPr>
            <w:r>
              <w:rPr>
                <w:b/>
                <w:lang w:val="pl-PL"/>
              </w:rPr>
              <w:t>Nazwa dokumentu</w:t>
            </w:r>
          </w:p>
          <w:p w:rsidR="00993BD1" w:rsidRDefault="00993BD1" w:rsidP="009C7C02">
            <w:pPr>
              <w:spacing w:line="240" w:lineRule="auto"/>
              <w:jc w:val="center"/>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jc w:val="center"/>
              <w:rPr>
                <w:lang w:val="pl-PL"/>
              </w:rPr>
            </w:pPr>
            <w:r>
              <w:rPr>
                <w:b/>
                <w:lang w:val="pl-PL"/>
              </w:rPr>
              <w:t xml:space="preserve"> Strona</w:t>
            </w:r>
          </w:p>
        </w:tc>
      </w:tr>
      <w:tr w:rsidR="00A07873"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07873" w:rsidRDefault="00993BD1" w:rsidP="00993BD1">
            <w:pPr>
              <w:pStyle w:val="ListParagraph"/>
              <w:tabs>
                <w:tab w:val="left" w:pos="136"/>
              </w:tabs>
              <w:spacing w:line="240" w:lineRule="auto"/>
              <w:ind w:left="0"/>
              <w:jc w:val="center"/>
              <w:rPr>
                <w:b/>
                <w:lang w:val="pl-PL"/>
              </w:rPr>
            </w:pPr>
            <w:r>
              <w:rPr>
                <w:b/>
                <w:lang w:val="pl-PL"/>
              </w:rPr>
              <w:t>1.</w:t>
            </w:r>
          </w:p>
        </w:tc>
        <w:tc>
          <w:tcPr>
            <w:tcW w:w="7371" w:type="dxa"/>
            <w:tcBorders>
              <w:top w:val="single" w:sz="4" w:space="0" w:color="000000"/>
              <w:left w:val="single" w:sz="4" w:space="0" w:color="000000"/>
              <w:bottom w:val="single" w:sz="4" w:space="0" w:color="000000"/>
              <w:right w:val="single" w:sz="4" w:space="0" w:color="000000"/>
            </w:tcBorders>
          </w:tcPr>
          <w:p w:rsidR="00A07873" w:rsidRDefault="002E52F5" w:rsidP="009C7C02">
            <w:pPr>
              <w:spacing w:line="240" w:lineRule="auto"/>
              <w:rPr>
                <w:b/>
                <w:lang w:val="pl-PL"/>
              </w:rPr>
            </w:pPr>
            <w:r>
              <w:rPr>
                <w:b/>
                <w:lang w:val="pl-PL"/>
              </w:rPr>
              <w:t>Studium uwarunkowań i kierunków zagospodarowania przestrzennego miasta Torunia</w:t>
            </w:r>
          </w:p>
        </w:tc>
        <w:tc>
          <w:tcPr>
            <w:tcW w:w="1155" w:type="dxa"/>
            <w:tcBorders>
              <w:top w:val="single" w:sz="4" w:space="0" w:color="000000"/>
              <w:left w:val="single" w:sz="4" w:space="0" w:color="000000"/>
              <w:bottom w:val="single" w:sz="4" w:space="0" w:color="000000"/>
              <w:right w:val="single" w:sz="4" w:space="0" w:color="000000"/>
            </w:tcBorders>
          </w:tcPr>
          <w:p w:rsidR="00A07873" w:rsidRDefault="00777084" w:rsidP="009C7C02">
            <w:pPr>
              <w:spacing w:line="240" w:lineRule="auto"/>
              <w:jc w:val="center"/>
              <w:rPr>
                <w:lang w:val="pl-PL"/>
              </w:rPr>
            </w:pPr>
            <w:r>
              <w:rPr>
                <w:lang w:val="pl-PL"/>
              </w:rPr>
              <w:t>17</w:t>
            </w:r>
          </w:p>
          <w:p w:rsidR="002E52F5" w:rsidRDefault="002E52F5" w:rsidP="009C7C02">
            <w:pPr>
              <w:spacing w:line="240" w:lineRule="auto"/>
              <w:jc w:val="center"/>
              <w:rPr>
                <w:lang w:val="pl-PL"/>
              </w:rPr>
            </w:pP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993BD1" w:rsidP="00993BD1">
            <w:pPr>
              <w:pStyle w:val="ListParagraph"/>
              <w:tabs>
                <w:tab w:val="left" w:pos="136"/>
              </w:tabs>
              <w:spacing w:line="240" w:lineRule="auto"/>
              <w:ind w:left="0"/>
              <w:jc w:val="center"/>
              <w:rPr>
                <w:b/>
                <w:lang w:val="pl-PL"/>
              </w:rPr>
            </w:pPr>
            <w:r>
              <w:rPr>
                <w:b/>
                <w:lang w:val="pl-PL"/>
              </w:rPr>
              <w:t>2.</w:t>
            </w:r>
          </w:p>
        </w:tc>
        <w:tc>
          <w:tcPr>
            <w:tcW w:w="7371" w:type="dxa"/>
            <w:tcBorders>
              <w:top w:val="single" w:sz="4" w:space="0" w:color="000000"/>
              <w:left w:val="single" w:sz="4" w:space="0" w:color="000000"/>
              <w:bottom w:val="single" w:sz="4" w:space="0" w:color="000000"/>
              <w:right w:val="single" w:sz="4" w:space="0" w:color="000000"/>
            </w:tcBorders>
          </w:tcPr>
          <w:p w:rsidR="00A07873" w:rsidRDefault="00AE6BCB" w:rsidP="009C7C02">
            <w:pPr>
              <w:spacing w:line="240" w:lineRule="auto"/>
              <w:rPr>
                <w:b/>
                <w:lang w:val="pl-PL"/>
              </w:rPr>
            </w:pPr>
            <w:r>
              <w:rPr>
                <w:b/>
                <w:lang w:val="pl-PL"/>
              </w:rPr>
              <w:t>Plan</w:t>
            </w:r>
            <w:r w:rsidR="00A07873">
              <w:rPr>
                <w:b/>
                <w:lang w:val="pl-PL"/>
              </w:rPr>
              <w:t xml:space="preserve"> konsultacji społecznych na 2020</w:t>
            </w:r>
            <w:r>
              <w:rPr>
                <w:b/>
                <w:lang w:val="pl-PL"/>
              </w:rPr>
              <w:t xml:space="preserve"> r.</w:t>
            </w:r>
            <w:r w:rsidR="00993BD1">
              <w:rPr>
                <w:b/>
                <w:lang w:val="pl-PL"/>
              </w:rPr>
              <w:br/>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20</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993BD1" w:rsidP="00993BD1">
            <w:pPr>
              <w:pStyle w:val="ListParagraph"/>
              <w:tabs>
                <w:tab w:val="left" w:pos="136"/>
              </w:tabs>
              <w:spacing w:line="240" w:lineRule="auto"/>
              <w:ind w:left="0"/>
              <w:jc w:val="center"/>
              <w:rPr>
                <w:b/>
                <w:lang w:val="pl-PL"/>
              </w:rPr>
            </w:pPr>
            <w:r>
              <w:rPr>
                <w:b/>
                <w:lang w:val="pl-PL"/>
              </w:rPr>
              <w:t>3.</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współpracy Gminy Miasta Toruń z organi</w:t>
            </w:r>
            <w:r w:rsidR="00993BD1">
              <w:rPr>
                <w:b/>
                <w:lang w:val="pl-PL"/>
              </w:rPr>
              <w:t xml:space="preserve">zacjami pozarządowymi w 2020 </w:t>
            </w:r>
            <w:r>
              <w:rPr>
                <w:b/>
                <w:lang w:val="pl-PL"/>
              </w:rPr>
              <w:t>r.</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21</w:t>
            </w:r>
          </w:p>
        </w:tc>
      </w:tr>
      <w:tr w:rsidR="00993BD1" w:rsidTr="00993BD1">
        <w:tc>
          <w:tcPr>
            <w:tcW w:w="710" w:type="dxa"/>
            <w:tcBorders>
              <w:top w:val="single" w:sz="4" w:space="0" w:color="000000"/>
              <w:left w:val="single" w:sz="4" w:space="0" w:color="000000"/>
              <w:bottom w:val="single" w:sz="4" w:space="0" w:color="000000"/>
              <w:right w:val="single" w:sz="4" w:space="0" w:color="000000"/>
            </w:tcBorders>
            <w:vAlign w:val="center"/>
          </w:tcPr>
          <w:p w:rsidR="00993BD1" w:rsidRDefault="00993BD1" w:rsidP="00993BD1">
            <w:pPr>
              <w:pStyle w:val="ListParagraph"/>
              <w:tabs>
                <w:tab w:val="left" w:pos="136"/>
              </w:tabs>
              <w:spacing w:line="240" w:lineRule="auto"/>
              <w:ind w:left="0"/>
              <w:jc w:val="center"/>
              <w:rPr>
                <w:b/>
                <w:lang w:val="pl-PL"/>
              </w:rPr>
            </w:pPr>
            <w:r>
              <w:rPr>
                <w:b/>
                <w:lang w:val="pl-PL"/>
              </w:rPr>
              <w:t>4.</w:t>
            </w:r>
          </w:p>
        </w:tc>
        <w:tc>
          <w:tcPr>
            <w:tcW w:w="7371" w:type="dxa"/>
            <w:tcBorders>
              <w:top w:val="single" w:sz="4" w:space="0" w:color="000000"/>
              <w:left w:val="single" w:sz="4" w:space="0" w:color="000000"/>
              <w:bottom w:val="single" w:sz="4" w:space="0" w:color="000000"/>
              <w:right w:val="single" w:sz="4" w:space="0" w:color="000000"/>
            </w:tcBorders>
          </w:tcPr>
          <w:p w:rsidR="00993BD1" w:rsidRDefault="00993BD1" w:rsidP="009C7C02">
            <w:pPr>
              <w:spacing w:line="240" w:lineRule="auto"/>
              <w:rPr>
                <w:b/>
                <w:lang w:val="pl-PL"/>
              </w:rPr>
            </w:pPr>
            <w:r>
              <w:rPr>
                <w:b/>
                <w:lang w:val="pl-PL"/>
              </w:rPr>
              <w:t>Miejski program promocji zatrudnienia i aktywizacji lokalnego rynku pracy do 2020 r.</w:t>
            </w:r>
          </w:p>
        </w:tc>
        <w:tc>
          <w:tcPr>
            <w:tcW w:w="1155" w:type="dxa"/>
            <w:tcBorders>
              <w:top w:val="single" w:sz="4" w:space="0" w:color="000000"/>
              <w:left w:val="single" w:sz="4" w:space="0" w:color="000000"/>
              <w:bottom w:val="single" w:sz="4" w:space="0" w:color="000000"/>
              <w:right w:val="single" w:sz="4" w:space="0" w:color="000000"/>
            </w:tcBorders>
          </w:tcPr>
          <w:p w:rsidR="00993BD1" w:rsidRDefault="00777084" w:rsidP="009C7C02">
            <w:pPr>
              <w:spacing w:line="240" w:lineRule="auto"/>
              <w:jc w:val="center"/>
              <w:rPr>
                <w:lang w:val="pl-PL"/>
              </w:rPr>
            </w:pPr>
            <w:r>
              <w:rPr>
                <w:lang w:val="pl-PL"/>
              </w:rPr>
              <w:t>24</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993BD1" w:rsidP="00993BD1">
            <w:pPr>
              <w:pStyle w:val="ListParagraph"/>
              <w:tabs>
                <w:tab w:val="left" w:pos="136"/>
              </w:tabs>
              <w:spacing w:line="240" w:lineRule="auto"/>
              <w:ind w:left="0"/>
              <w:jc w:val="center"/>
              <w:rPr>
                <w:b/>
                <w:lang w:val="pl-PL"/>
              </w:rPr>
            </w:pPr>
            <w:r>
              <w:rPr>
                <w:b/>
                <w:lang w:val="pl-PL"/>
              </w:rPr>
              <w:t>5.</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wspierania przedsiębiorczo</w:t>
            </w:r>
            <w:r w:rsidR="00B60429">
              <w:rPr>
                <w:b/>
                <w:lang w:val="pl-PL"/>
              </w:rPr>
              <w:t>ści w Toruniu na lata 2014–2020</w:t>
            </w:r>
          </w:p>
          <w:p w:rsidR="00993BD1" w:rsidRDefault="00993BD1"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AE72C8">
            <w:pPr>
              <w:spacing w:line="240" w:lineRule="auto"/>
              <w:jc w:val="center"/>
              <w:rPr>
                <w:lang w:val="pl-PL"/>
              </w:rPr>
            </w:pPr>
            <w:r>
              <w:rPr>
                <w:lang w:val="pl-PL"/>
              </w:rPr>
              <w:t>2</w:t>
            </w:r>
            <w:r w:rsidR="00777084">
              <w:rPr>
                <w:lang w:val="pl-PL"/>
              </w:rPr>
              <w:t>4</w:t>
            </w:r>
          </w:p>
        </w:tc>
      </w:tr>
      <w:tr w:rsidR="00B60429" w:rsidTr="00993BD1">
        <w:trPr>
          <w:trHeight w:val="552"/>
        </w:trPr>
        <w:tc>
          <w:tcPr>
            <w:tcW w:w="710" w:type="dxa"/>
            <w:tcBorders>
              <w:top w:val="single" w:sz="4" w:space="0" w:color="000000"/>
              <w:left w:val="single" w:sz="4" w:space="0" w:color="000000"/>
              <w:bottom w:val="single" w:sz="4" w:space="0" w:color="000000"/>
              <w:right w:val="single" w:sz="4" w:space="0" w:color="000000"/>
            </w:tcBorders>
            <w:vAlign w:val="center"/>
          </w:tcPr>
          <w:p w:rsidR="00B60429" w:rsidRDefault="00B60429" w:rsidP="00B60429">
            <w:pPr>
              <w:tabs>
                <w:tab w:val="left" w:pos="136"/>
              </w:tabs>
              <w:spacing w:line="240" w:lineRule="auto"/>
              <w:jc w:val="center"/>
              <w:rPr>
                <w:b/>
                <w:lang w:val="pl-PL"/>
              </w:rPr>
            </w:pPr>
            <w:r>
              <w:rPr>
                <w:b/>
                <w:lang w:val="pl-PL"/>
              </w:rPr>
              <w:t>6.</w:t>
            </w:r>
          </w:p>
        </w:tc>
        <w:tc>
          <w:tcPr>
            <w:tcW w:w="7371" w:type="dxa"/>
            <w:tcBorders>
              <w:top w:val="single" w:sz="4" w:space="0" w:color="000000"/>
              <w:left w:val="single" w:sz="4" w:space="0" w:color="000000"/>
              <w:bottom w:val="single" w:sz="4" w:space="0" w:color="000000"/>
              <w:right w:val="single" w:sz="4" w:space="0" w:color="000000"/>
            </w:tcBorders>
          </w:tcPr>
          <w:p w:rsidR="00B60429" w:rsidRDefault="00B60429" w:rsidP="009C7C02">
            <w:pPr>
              <w:spacing w:line="240" w:lineRule="auto"/>
              <w:rPr>
                <w:b/>
                <w:lang w:val="pl-PL"/>
              </w:rPr>
            </w:pPr>
            <w:r>
              <w:rPr>
                <w:b/>
                <w:lang w:val="pl-PL"/>
              </w:rPr>
              <w:t>Miejski Program Stypendialny dla studentów toruńskich uczelni wyższych</w:t>
            </w:r>
          </w:p>
        </w:tc>
        <w:tc>
          <w:tcPr>
            <w:tcW w:w="1155" w:type="dxa"/>
            <w:tcBorders>
              <w:top w:val="single" w:sz="4" w:space="0" w:color="000000"/>
              <w:left w:val="single" w:sz="4" w:space="0" w:color="000000"/>
              <w:bottom w:val="single" w:sz="4" w:space="0" w:color="000000"/>
              <w:right w:val="single" w:sz="4" w:space="0" w:color="000000"/>
            </w:tcBorders>
          </w:tcPr>
          <w:p w:rsidR="00B60429" w:rsidRDefault="00777084" w:rsidP="009C7C02">
            <w:pPr>
              <w:spacing w:line="240" w:lineRule="auto"/>
              <w:jc w:val="center"/>
              <w:rPr>
                <w:lang w:val="pl-PL"/>
              </w:rPr>
            </w:pPr>
            <w:r>
              <w:rPr>
                <w:lang w:val="pl-PL"/>
              </w:rPr>
              <w:t>27</w:t>
            </w:r>
          </w:p>
        </w:tc>
      </w:tr>
      <w:tr w:rsidR="00AE6BCB" w:rsidTr="00993BD1">
        <w:trPr>
          <w:trHeight w:val="552"/>
        </w:trPr>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B60429" w:rsidP="00B60429">
            <w:pPr>
              <w:tabs>
                <w:tab w:val="left" w:pos="136"/>
              </w:tabs>
              <w:spacing w:line="240" w:lineRule="auto"/>
              <w:jc w:val="center"/>
              <w:rPr>
                <w:b/>
                <w:lang w:val="pl-PL"/>
              </w:rPr>
            </w:pPr>
            <w:r>
              <w:rPr>
                <w:b/>
                <w:lang w:val="pl-PL"/>
              </w:rPr>
              <w:t>7.</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„Mieszkanie dla Absolwenta”</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27</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B60429" w:rsidP="00B60429">
            <w:pPr>
              <w:tabs>
                <w:tab w:val="left" w:pos="136"/>
              </w:tabs>
              <w:spacing w:line="240" w:lineRule="auto"/>
              <w:jc w:val="center"/>
              <w:rPr>
                <w:b/>
                <w:lang w:val="pl-PL"/>
              </w:rPr>
            </w:pPr>
            <w:r>
              <w:rPr>
                <w:b/>
                <w:lang w:val="pl-PL"/>
              </w:rPr>
              <w:t xml:space="preserve">8. </w:t>
            </w:r>
          </w:p>
        </w:tc>
        <w:tc>
          <w:tcPr>
            <w:tcW w:w="7371" w:type="dxa"/>
            <w:tcBorders>
              <w:top w:val="single" w:sz="4" w:space="0" w:color="000000"/>
              <w:left w:val="single" w:sz="4" w:space="0" w:color="000000"/>
              <w:bottom w:val="single" w:sz="4" w:space="0" w:color="000000"/>
              <w:right w:val="single" w:sz="4" w:space="0" w:color="000000"/>
            </w:tcBorders>
          </w:tcPr>
          <w:p w:rsidR="00AE6BCB" w:rsidRDefault="00B60429" w:rsidP="009C7C02">
            <w:pPr>
              <w:spacing w:line="240" w:lineRule="auto"/>
              <w:rPr>
                <w:b/>
                <w:lang w:val="pl-PL"/>
              </w:rPr>
            </w:pPr>
            <w:r>
              <w:rPr>
                <w:b/>
                <w:lang w:val="pl-PL"/>
              </w:rPr>
              <w:t>Strategia r</w:t>
            </w:r>
            <w:r w:rsidR="00AE6BCB">
              <w:rPr>
                <w:b/>
                <w:lang w:val="pl-PL"/>
              </w:rPr>
              <w:t>o</w:t>
            </w:r>
            <w:r>
              <w:rPr>
                <w:b/>
                <w:lang w:val="pl-PL"/>
              </w:rPr>
              <w:t>związywania problemów społecznych dla m</w:t>
            </w:r>
            <w:r w:rsidR="00AE6BCB">
              <w:rPr>
                <w:b/>
                <w:lang w:val="pl-PL"/>
              </w:rPr>
              <w:t>iasta Torunia na lata 2014–2020</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27</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B60429" w:rsidP="00B60429">
            <w:pPr>
              <w:tabs>
                <w:tab w:val="left" w:pos="136"/>
              </w:tabs>
              <w:spacing w:line="240" w:lineRule="auto"/>
              <w:jc w:val="center"/>
              <w:rPr>
                <w:b/>
                <w:lang w:val="pl-PL"/>
              </w:rPr>
            </w:pPr>
            <w:r>
              <w:rPr>
                <w:b/>
                <w:lang w:val="pl-PL"/>
              </w:rPr>
              <w:t>9.</w:t>
            </w:r>
          </w:p>
        </w:tc>
        <w:tc>
          <w:tcPr>
            <w:tcW w:w="7371" w:type="dxa"/>
            <w:tcBorders>
              <w:top w:val="single" w:sz="4" w:space="0" w:color="000000"/>
              <w:left w:val="single" w:sz="4" w:space="0" w:color="000000"/>
              <w:bottom w:val="single" w:sz="4" w:space="0" w:color="000000"/>
              <w:right w:val="single" w:sz="4" w:space="0" w:color="000000"/>
            </w:tcBorders>
          </w:tcPr>
          <w:p w:rsidR="00AE6BCB" w:rsidRDefault="00B60429" w:rsidP="009C7C02">
            <w:pPr>
              <w:spacing w:line="240" w:lineRule="auto"/>
              <w:rPr>
                <w:b/>
                <w:lang w:val="pl-PL"/>
              </w:rPr>
            </w:pPr>
            <w:r>
              <w:rPr>
                <w:b/>
                <w:lang w:val="pl-PL"/>
              </w:rPr>
              <w:t>Program działań miasta Torunia na rzecz o</w:t>
            </w:r>
            <w:r w:rsidR="00AE6BCB">
              <w:rPr>
                <w:b/>
                <w:lang w:val="pl-PL"/>
              </w:rPr>
              <w:t xml:space="preserve">sób </w:t>
            </w:r>
            <w:r>
              <w:rPr>
                <w:b/>
                <w:lang w:val="pl-PL"/>
              </w:rPr>
              <w:t>z niepełnosprawnością</w:t>
            </w:r>
            <w:r w:rsidR="00AE6BCB">
              <w:rPr>
                <w:b/>
                <w:lang w:val="pl-PL"/>
              </w:rPr>
              <w:t xml:space="preserve"> na lata 2014–2020</w:t>
            </w:r>
            <w:r>
              <w:rPr>
                <w:b/>
                <w:lang w:val="pl-PL"/>
              </w:rPr>
              <w:t xml:space="preserve"> / Program działań miasta Torunia na rzecz osób z niepełnosprawnością na lata 2014–2023. Aktualizacja</w:t>
            </w:r>
          </w:p>
        </w:tc>
        <w:tc>
          <w:tcPr>
            <w:tcW w:w="1155" w:type="dxa"/>
            <w:tcBorders>
              <w:top w:val="single" w:sz="4" w:space="0" w:color="000000"/>
              <w:left w:val="single" w:sz="4" w:space="0" w:color="000000"/>
              <w:bottom w:val="single" w:sz="4" w:space="0" w:color="000000"/>
              <w:right w:val="single" w:sz="4" w:space="0" w:color="000000"/>
            </w:tcBorders>
          </w:tcPr>
          <w:p w:rsidR="00AE72C8" w:rsidRDefault="00AE72C8" w:rsidP="009C7C02">
            <w:pPr>
              <w:spacing w:line="240" w:lineRule="auto"/>
              <w:jc w:val="center"/>
              <w:rPr>
                <w:lang w:val="pl-PL"/>
              </w:rPr>
            </w:pPr>
          </w:p>
          <w:p w:rsidR="00AE6BCB" w:rsidRDefault="00777084" w:rsidP="009C7C02">
            <w:pPr>
              <w:spacing w:line="240" w:lineRule="auto"/>
              <w:jc w:val="center"/>
              <w:rPr>
                <w:lang w:val="pl-PL"/>
              </w:rPr>
            </w:pPr>
            <w:r>
              <w:rPr>
                <w:lang w:val="pl-PL"/>
              </w:rPr>
              <w:t>28</w:t>
            </w:r>
          </w:p>
        </w:tc>
      </w:tr>
      <w:tr w:rsidR="00AE6BCB" w:rsidTr="00993BD1">
        <w:trPr>
          <w:trHeight w:val="70"/>
        </w:trPr>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B60429" w:rsidP="00B60429">
            <w:pPr>
              <w:tabs>
                <w:tab w:val="left" w:pos="136"/>
              </w:tabs>
              <w:spacing w:line="240" w:lineRule="auto"/>
              <w:jc w:val="center"/>
              <w:rPr>
                <w:b/>
                <w:lang w:val="pl-PL"/>
              </w:rPr>
            </w:pPr>
            <w:r>
              <w:rPr>
                <w:b/>
                <w:lang w:val="pl-PL"/>
              </w:rPr>
              <w:t>10.</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Rodzina Razem – Toruń dla Pokoleń</w:t>
            </w:r>
          </w:p>
          <w:p w:rsidR="00B60429" w:rsidRDefault="00B60429"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31</w:t>
            </w:r>
          </w:p>
        </w:tc>
      </w:tr>
      <w:tr w:rsidR="00AE6BCB" w:rsidTr="00993BD1">
        <w:trPr>
          <w:trHeight w:val="70"/>
        </w:trPr>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B60429" w:rsidP="00B60429">
            <w:pPr>
              <w:tabs>
                <w:tab w:val="left" w:pos="136"/>
              </w:tabs>
              <w:spacing w:line="240" w:lineRule="auto"/>
              <w:jc w:val="center"/>
              <w:rPr>
                <w:b/>
                <w:lang w:val="pl-PL"/>
              </w:rPr>
            </w:pPr>
            <w:r>
              <w:rPr>
                <w:b/>
                <w:lang w:val="pl-PL"/>
              </w:rPr>
              <w:t>11.</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Gminy Miasta Toruń na rzecz wspierania rodziny i rozwoju pieczy zastępczej na lata 2019 – 2021</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AE72C8">
            <w:pPr>
              <w:spacing w:line="240" w:lineRule="auto"/>
              <w:jc w:val="center"/>
              <w:rPr>
                <w:lang w:val="pl-PL"/>
              </w:rPr>
            </w:pPr>
            <w:r>
              <w:rPr>
                <w:lang w:val="pl-PL"/>
              </w:rPr>
              <w:t>32</w:t>
            </w:r>
          </w:p>
        </w:tc>
      </w:tr>
      <w:tr w:rsidR="00AE6BCB" w:rsidTr="00993BD1">
        <w:trPr>
          <w:trHeight w:val="70"/>
        </w:trPr>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B60429" w:rsidP="00B60429">
            <w:pPr>
              <w:tabs>
                <w:tab w:val="left" w:pos="136"/>
              </w:tabs>
              <w:spacing w:line="240" w:lineRule="auto"/>
              <w:jc w:val="center"/>
              <w:rPr>
                <w:b/>
                <w:lang w:val="pl-PL"/>
              </w:rPr>
            </w:pPr>
            <w:r>
              <w:rPr>
                <w:b/>
                <w:lang w:val="pl-PL"/>
              </w:rPr>
              <w:t>12.</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Polityka zdrowotna dla miasta Torunia na lata 2019 – 2025</w:t>
            </w:r>
          </w:p>
          <w:p w:rsidR="00B60429" w:rsidRDefault="00B60429"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AE72C8">
            <w:pPr>
              <w:spacing w:line="240" w:lineRule="auto"/>
              <w:jc w:val="center"/>
              <w:rPr>
                <w:lang w:val="pl-PL"/>
              </w:rPr>
            </w:pPr>
            <w:r>
              <w:rPr>
                <w:lang w:val="pl-PL"/>
              </w:rPr>
              <w:t>33</w:t>
            </w:r>
          </w:p>
        </w:tc>
      </w:tr>
      <w:tr w:rsidR="0088088B" w:rsidTr="00993BD1">
        <w:trPr>
          <w:trHeight w:val="70"/>
        </w:trPr>
        <w:tc>
          <w:tcPr>
            <w:tcW w:w="710" w:type="dxa"/>
            <w:tcBorders>
              <w:top w:val="single" w:sz="4" w:space="0" w:color="000000"/>
              <w:left w:val="single" w:sz="4" w:space="0" w:color="000000"/>
              <w:bottom w:val="single" w:sz="4" w:space="0" w:color="000000"/>
              <w:right w:val="single" w:sz="4" w:space="0" w:color="000000"/>
            </w:tcBorders>
            <w:vAlign w:val="center"/>
          </w:tcPr>
          <w:p w:rsidR="0088088B" w:rsidRDefault="0088088B" w:rsidP="00B60429">
            <w:pPr>
              <w:tabs>
                <w:tab w:val="left" w:pos="136"/>
              </w:tabs>
              <w:spacing w:line="240" w:lineRule="auto"/>
              <w:jc w:val="center"/>
              <w:rPr>
                <w:b/>
                <w:lang w:val="pl-PL"/>
              </w:rPr>
            </w:pPr>
            <w:r>
              <w:rPr>
                <w:b/>
                <w:lang w:val="pl-PL"/>
              </w:rPr>
              <w:t>13.</w:t>
            </w:r>
          </w:p>
        </w:tc>
        <w:tc>
          <w:tcPr>
            <w:tcW w:w="7371" w:type="dxa"/>
            <w:tcBorders>
              <w:top w:val="single" w:sz="4" w:space="0" w:color="000000"/>
              <w:left w:val="single" w:sz="4" w:space="0" w:color="000000"/>
              <w:bottom w:val="single" w:sz="4" w:space="0" w:color="000000"/>
              <w:right w:val="single" w:sz="4" w:space="0" w:color="000000"/>
            </w:tcBorders>
          </w:tcPr>
          <w:p w:rsidR="0088088B" w:rsidRDefault="0088088B" w:rsidP="009C7C02">
            <w:pPr>
              <w:spacing w:line="240" w:lineRule="auto"/>
              <w:rPr>
                <w:b/>
                <w:lang w:val="pl-PL"/>
              </w:rPr>
            </w:pPr>
            <w:r>
              <w:rPr>
                <w:b/>
                <w:lang w:val="pl-PL"/>
              </w:rPr>
              <w:t>Program profilaktyki zdrowotnej wczesnego wykrywania wad wzroku u dzieci w wieku 5 lat zamieszkałych na terenie miasta Torunia na lata 2020-2025 pn. „Toruń ma oko na dzieciaki”</w:t>
            </w:r>
          </w:p>
        </w:tc>
        <w:tc>
          <w:tcPr>
            <w:tcW w:w="1155" w:type="dxa"/>
            <w:tcBorders>
              <w:top w:val="single" w:sz="4" w:space="0" w:color="000000"/>
              <w:left w:val="single" w:sz="4" w:space="0" w:color="000000"/>
              <w:bottom w:val="single" w:sz="4" w:space="0" w:color="000000"/>
              <w:right w:val="single" w:sz="4" w:space="0" w:color="000000"/>
            </w:tcBorders>
          </w:tcPr>
          <w:p w:rsidR="00AE72C8" w:rsidRDefault="00AE72C8" w:rsidP="00AE72C8">
            <w:pPr>
              <w:spacing w:line="240" w:lineRule="auto"/>
              <w:jc w:val="center"/>
              <w:rPr>
                <w:lang w:val="pl-PL"/>
              </w:rPr>
            </w:pPr>
          </w:p>
          <w:p w:rsidR="0088088B" w:rsidRDefault="00777084" w:rsidP="00AE72C8">
            <w:pPr>
              <w:spacing w:line="240" w:lineRule="auto"/>
              <w:jc w:val="center"/>
              <w:rPr>
                <w:lang w:val="pl-PL"/>
              </w:rPr>
            </w:pPr>
            <w:r>
              <w:rPr>
                <w:lang w:val="pl-PL"/>
              </w:rPr>
              <w:t>34</w:t>
            </w:r>
          </w:p>
        </w:tc>
      </w:tr>
      <w:tr w:rsidR="0088088B" w:rsidTr="00993BD1">
        <w:trPr>
          <w:trHeight w:val="70"/>
        </w:trPr>
        <w:tc>
          <w:tcPr>
            <w:tcW w:w="710" w:type="dxa"/>
            <w:tcBorders>
              <w:top w:val="single" w:sz="4" w:space="0" w:color="000000"/>
              <w:left w:val="single" w:sz="4" w:space="0" w:color="000000"/>
              <w:bottom w:val="single" w:sz="4" w:space="0" w:color="000000"/>
              <w:right w:val="single" w:sz="4" w:space="0" w:color="000000"/>
            </w:tcBorders>
            <w:vAlign w:val="center"/>
          </w:tcPr>
          <w:p w:rsidR="0088088B" w:rsidRDefault="0088088B" w:rsidP="00B60429">
            <w:pPr>
              <w:tabs>
                <w:tab w:val="left" w:pos="136"/>
              </w:tabs>
              <w:spacing w:line="240" w:lineRule="auto"/>
              <w:jc w:val="center"/>
              <w:rPr>
                <w:b/>
                <w:lang w:val="pl-PL"/>
              </w:rPr>
            </w:pPr>
            <w:r>
              <w:rPr>
                <w:b/>
                <w:lang w:val="pl-PL"/>
              </w:rPr>
              <w:t>14.</w:t>
            </w:r>
          </w:p>
        </w:tc>
        <w:tc>
          <w:tcPr>
            <w:tcW w:w="7371" w:type="dxa"/>
            <w:tcBorders>
              <w:top w:val="single" w:sz="4" w:space="0" w:color="000000"/>
              <w:left w:val="single" w:sz="4" w:space="0" w:color="000000"/>
              <w:bottom w:val="single" w:sz="4" w:space="0" w:color="000000"/>
              <w:right w:val="single" w:sz="4" w:space="0" w:color="000000"/>
            </w:tcBorders>
          </w:tcPr>
          <w:p w:rsidR="0088088B" w:rsidRDefault="0088088B" w:rsidP="009C7C02">
            <w:pPr>
              <w:spacing w:line="240" w:lineRule="auto"/>
              <w:rPr>
                <w:b/>
                <w:lang w:val="pl-PL"/>
              </w:rPr>
            </w:pPr>
            <w:r>
              <w:rPr>
                <w:b/>
                <w:lang w:val="pl-PL"/>
              </w:rPr>
              <w:t xml:space="preserve">Program profilaktyki szczepień przeciw HPV pn. „HPV – odporni </w:t>
            </w:r>
            <w:r>
              <w:rPr>
                <w:b/>
                <w:lang w:val="pl-PL"/>
              </w:rPr>
              <w:br/>
              <w:t>w Toruniu” na lata 2020-2025</w:t>
            </w:r>
          </w:p>
        </w:tc>
        <w:tc>
          <w:tcPr>
            <w:tcW w:w="1155" w:type="dxa"/>
            <w:tcBorders>
              <w:top w:val="single" w:sz="4" w:space="0" w:color="000000"/>
              <w:left w:val="single" w:sz="4" w:space="0" w:color="000000"/>
              <w:bottom w:val="single" w:sz="4" w:space="0" w:color="000000"/>
              <w:right w:val="single" w:sz="4" w:space="0" w:color="000000"/>
            </w:tcBorders>
          </w:tcPr>
          <w:p w:rsidR="0088088B" w:rsidRDefault="00AE72C8" w:rsidP="00AE72C8">
            <w:pPr>
              <w:spacing w:line="240" w:lineRule="auto"/>
              <w:jc w:val="center"/>
              <w:rPr>
                <w:lang w:val="pl-PL"/>
              </w:rPr>
            </w:pPr>
            <w:r>
              <w:rPr>
                <w:lang w:val="pl-PL"/>
              </w:rPr>
              <w:t>3</w:t>
            </w:r>
            <w:r w:rsidR="00777084">
              <w:rPr>
                <w:lang w:val="pl-PL"/>
              </w:rPr>
              <w:t>4</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15.</w:t>
            </w:r>
          </w:p>
        </w:tc>
        <w:tc>
          <w:tcPr>
            <w:tcW w:w="7371" w:type="dxa"/>
            <w:tcBorders>
              <w:top w:val="single" w:sz="4" w:space="0" w:color="000000"/>
              <w:left w:val="single" w:sz="4" w:space="0" w:color="000000"/>
              <w:bottom w:val="single" w:sz="4" w:space="0" w:color="000000"/>
              <w:right w:val="single" w:sz="4" w:space="0" w:color="000000"/>
            </w:tcBorders>
          </w:tcPr>
          <w:p w:rsidR="00AE6BCB" w:rsidRDefault="00917E6D" w:rsidP="00917E6D">
            <w:pPr>
              <w:spacing w:line="240" w:lineRule="auto"/>
              <w:rPr>
                <w:b/>
                <w:lang w:val="pl-PL"/>
              </w:rPr>
            </w:pPr>
            <w:r>
              <w:rPr>
                <w:b/>
                <w:lang w:val="pl-PL"/>
              </w:rPr>
              <w:t>Gminny program profilaktyki i rozwiązywania problemów alkoholowych, narkomanii oraz innych u</w:t>
            </w:r>
            <w:r w:rsidR="00AE6BCB">
              <w:rPr>
                <w:b/>
                <w:lang w:val="pl-PL"/>
              </w:rPr>
              <w:t>zależnień na 2019 rok</w:t>
            </w: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rPr>
                <w:lang w:val="pl-PL"/>
              </w:rPr>
            </w:pPr>
            <w:r>
              <w:rPr>
                <w:lang w:val="pl-PL"/>
              </w:rPr>
              <w:t>3</w:t>
            </w:r>
            <w:r w:rsidR="00777084">
              <w:rPr>
                <w:lang w:val="pl-PL"/>
              </w:rPr>
              <w:t>4</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16.</w:t>
            </w:r>
          </w:p>
        </w:tc>
        <w:tc>
          <w:tcPr>
            <w:tcW w:w="7371" w:type="dxa"/>
            <w:tcBorders>
              <w:top w:val="single" w:sz="4" w:space="0" w:color="000000"/>
              <w:left w:val="single" w:sz="4" w:space="0" w:color="000000"/>
              <w:bottom w:val="single" w:sz="4" w:space="0" w:color="000000"/>
              <w:right w:val="single" w:sz="4" w:space="0" w:color="000000"/>
            </w:tcBorders>
          </w:tcPr>
          <w:p w:rsidR="00AE6BCB" w:rsidRDefault="0088088B" w:rsidP="009C7C02">
            <w:pPr>
              <w:spacing w:line="240" w:lineRule="auto"/>
              <w:rPr>
                <w:b/>
                <w:lang w:val="pl-PL"/>
              </w:rPr>
            </w:pPr>
            <w:r>
              <w:rPr>
                <w:b/>
                <w:lang w:val="pl-PL"/>
              </w:rPr>
              <w:t>Gminny program przeciwdziałania przemocy w rodzinie oraz ochrony ofiar przemocy w r</w:t>
            </w:r>
            <w:r w:rsidR="00AE6BCB">
              <w:rPr>
                <w:b/>
                <w:lang w:val="pl-PL"/>
              </w:rPr>
              <w:t>odzinie w Toruniu na lata 2017–2020</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AE72C8">
            <w:pPr>
              <w:spacing w:line="240" w:lineRule="auto"/>
              <w:jc w:val="center"/>
              <w:rPr>
                <w:lang w:val="pl-PL"/>
              </w:rPr>
            </w:pPr>
            <w:r>
              <w:rPr>
                <w:lang w:val="pl-PL"/>
              </w:rPr>
              <w:t>35</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9C7C02">
            <w:pPr>
              <w:tabs>
                <w:tab w:val="left" w:pos="136"/>
              </w:tabs>
              <w:spacing w:line="240" w:lineRule="auto"/>
              <w:jc w:val="center"/>
              <w:rPr>
                <w:b/>
                <w:lang w:val="pl-PL"/>
              </w:rPr>
            </w:pPr>
            <w:r>
              <w:rPr>
                <w:b/>
                <w:lang w:val="pl-PL"/>
              </w:rPr>
              <w:t>17.</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Strategia Rozwoju Edukacji dla Miasta Torunia na lata 2</w:t>
            </w:r>
            <w:r w:rsidR="0088088B">
              <w:rPr>
                <w:b/>
                <w:lang w:val="pl-PL"/>
              </w:rPr>
              <w:t>016–2023</w:t>
            </w:r>
          </w:p>
          <w:p w:rsidR="0088088B" w:rsidRDefault="0088088B"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AE72C8">
            <w:pPr>
              <w:spacing w:line="240" w:lineRule="auto"/>
              <w:jc w:val="center"/>
              <w:rPr>
                <w:lang w:val="pl-PL"/>
              </w:rPr>
            </w:pPr>
            <w:r>
              <w:rPr>
                <w:lang w:val="pl-PL"/>
              </w:rPr>
              <w:t>36</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F155F0">
            <w:pPr>
              <w:tabs>
                <w:tab w:val="left" w:pos="136"/>
              </w:tabs>
              <w:spacing w:line="240" w:lineRule="auto"/>
              <w:jc w:val="center"/>
              <w:rPr>
                <w:b/>
                <w:lang w:val="pl-PL"/>
              </w:rPr>
            </w:pPr>
            <w:r>
              <w:rPr>
                <w:b/>
                <w:lang w:val="pl-PL"/>
              </w:rPr>
              <w:t>18.</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Wieloletni program gospodarowania mieszkaniowym zasobem Gminy</w:t>
            </w:r>
            <w:r w:rsidR="0088088B">
              <w:rPr>
                <w:b/>
                <w:lang w:val="pl-PL"/>
              </w:rPr>
              <w:t xml:space="preserve"> Miasta Toruń na lata 2020-2024</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AE72C8">
            <w:pPr>
              <w:spacing w:line="240" w:lineRule="auto"/>
              <w:jc w:val="center"/>
              <w:rPr>
                <w:lang w:val="pl-PL"/>
              </w:rPr>
            </w:pPr>
            <w:r>
              <w:rPr>
                <w:lang w:val="pl-PL"/>
              </w:rPr>
              <w:t>40</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F155F0">
            <w:pPr>
              <w:tabs>
                <w:tab w:val="left" w:pos="136"/>
              </w:tabs>
              <w:spacing w:line="240" w:lineRule="auto"/>
              <w:jc w:val="center"/>
              <w:rPr>
                <w:b/>
                <w:lang w:val="pl-PL"/>
              </w:rPr>
            </w:pPr>
            <w:r>
              <w:rPr>
                <w:b/>
                <w:lang w:val="pl-PL"/>
              </w:rPr>
              <w:t>19.</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ochrony środowiska dla miasta Torunia do roku 2020,</w:t>
            </w:r>
            <w:r w:rsidR="00810377">
              <w:rPr>
                <w:b/>
                <w:lang w:val="pl-PL"/>
              </w:rPr>
              <w:br/>
            </w:r>
            <w:r>
              <w:rPr>
                <w:b/>
                <w:lang w:val="pl-PL"/>
              </w:rPr>
              <w:t xml:space="preserve"> z uwzględnieniem perspektywy do roku 2024.</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41</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20.</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ochrony środowiska przed hałasem dla miasta Torunia na lata 2018–2022</w:t>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AE72C8">
            <w:pPr>
              <w:spacing w:line="240" w:lineRule="auto"/>
              <w:jc w:val="center"/>
              <w:rPr>
                <w:lang w:val="pl-PL"/>
              </w:rPr>
            </w:pPr>
            <w:r>
              <w:rPr>
                <w:lang w:val="pl-PL"/>
              </w:rPr>
              <w:t>41</w:t>
            </w:r>
          </w:p>
        </w:tc>
      </w:tr>
      <w:tr w:rsidR="00BC7375" w:rsidTr="00993BD1">
        <w:tc>
          <w:tcPr>
            <w:tcW w:w="710" w:type="dxa"/>
            <w:tcBorders>
              <w:top w:val="single" w:sz="4" w:space="0" w:color="000000"/>
              <w:left w:val="single" w:sz="4" w:space="0" w:color="000000"/>
              <w:bottom w:val="single" w:sz="4" w:space="0" w:color="000000"/>
              <w:right w:val="single" w:sz="4" w:space="0" w:color="000000"/>
            </w:tcBorders>
            <w:vAlign w:val="center"/>
          </w:tcPr>
          <w:p w:rsidR="00BC7375" w:rsidRDefault="00810377" w:rsidP="00810377">
            <w:pPr>
              <w:tabs>
                <w:tab w:val="left" w:pos="136"/>
              </w:tabs>
              <w:spacing w:line="240" w:lineRule="auto"/>
              <w:jc w:val="center"/>
              <w:rPr>
                <w:b/>
                <w:lang w:val="pl-PL"/>
              </w:rPr>
            </w:pPr>
            <w:r>
              <w:rPr>
                <w:b/>
                <w:lang w:val="pl-PL"/>
              </w:rPr>
              <w:lastRenderedPageBreak/>
              <w:t>21.</w:t>
            </w:r>
          </w:p>
        </w:tc>
        <w:tc>
          <w:tcPr>
            <w:tcW w:w="7371" w:type="dxa"/>
            <w:tcBorders>
              <w:top w:val="single" w:sz="4" w:space="0" w:color="000000"/>
              <w:left w:val="single" w:sz="4" w:space="0" w:color="000000"/>
              <w:bottom w:val="single" w:sz="4" w:space="0" w:color="000000"/>
              <w:right w:val="single" w:sz="4" w:space="0" w:color="000000"/>
            </w:tcBorders>
          </w:tcPr>
          <w:p w:rsidR="00BC7375" w:rsidRDefault="00BC7375" w:rsidP="009C7C02">
            <w:pPr>
              <w:spacing w:line="240" w:lineRule="auto"/>
              <w:rPr>
                <w:b/>
                <w:lang w:val="pl-PL"/>
              </w:rPr>
            </w:pPr>
            <w:r>
              <w:rPr>
                <w:b/>
                <w:lang w:val="pl-PL"/>
              </w:rPr>
              <w:t>Plan adaptacji miasta Torunia do zmian klimatu do roku 2030</w:t>
            </w:r>
          </w:p>
          <w:p w:rsidR="00BC7375" w:rsidRDefault="00BC7375"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BC7375" w:rsidRDefault="00777084" w:rsidP="00AE72C8">
            <w:pPr>
              <w:spacing w:line="240" w:lineRule="auto"/>
              <w:jc w:val="center"/>
              <w:rPr>
                <w:lang w:val="pl-PL"/>
              </w:rPr>
            </w:pPr>
            <w:r>
              <w:rPr>
                <w:lang w:val="pl-PL"/>
              </w:rPr>
              <w:t>41</w:t>
            </w:r>
          </w:p>
        </w:tc>
      </w:tr>
      <w:tr w:rsidR="00BC7375" w:rsidTr="00993BD1">
        <w:tc>
          <w:tcPr>
            <w:tcW w:w="710" w:type="dxa"/>
            <w:tcBorders>
              <w:top w:val="single" w:sz="4" w:space="0" w:color="000000"/>
              <w:left w:val="single" w:sz="4" w:space="0" w:color="000000"/>
              <w:bottom w:val="single" w:sz="4" w:space="0" w:color="000000"/>
              <w:right w:val="single" w:sz="4" w:space="0" w:color="000000"/>
            </w:tcBorders>
            <w:vAlign w:val="center"/>
          </w:tcPr>
          <w:p w:rsidR="00BC7375" w:rsidRDefault="00810377" w:rsidP="00810377">
            <w:pPr>
              <w:tabs>
                <w:tab w:val="left" w:pos="136"/>
              </w:tabs>
              <w:spacing w:line="240" w:lineRule="auto"/>
              <w:jc w:val="center"/>
              <w:rPr>
                <w:b/>
                <w:lang w:val="pl-PL"/>
              </w:rPr>
            </w:pPr>
            <w:r>
              <w:rPr>
                <w:b/>
                <w:lang w:val="pl-PL"/>
              </w:rPr>
              <w:t>22.</w:t>
            </w:r>
          </w:p>
        </w:tc>
        <w:tc>
          <w:tcPr>
            <w:tcW w:w="7371" w:type="dxa"/>
            <w:tcBorders>
              <w:top w:val="single" w:sz="4" w:space="0" w:color="000000"/>
              <w:left w:val="single" w:sz="4" w:space="0" w:color="000000"/>
              <w:bottom w:val="single" w:sz="4" w:space="0" w:color="000000"/>
              <w:right w:val="single" w:sz="4" w:space="0" w:color="000000"/>
            </w:tcBorders>
          </w:tcPr>
          <w:p w:rsidR="00BC7375" w:rsidRDefault="00BC7375" w:rsidP="009C7C02">
            <w:pPr>
              <w:spacing w:line="240" w:lineRule="auto"/>
              <w:rPr>
                <w:b/>
                <w:lang w:val="pl-PL"/>
              </w:rPr>
            </w:pPr>
            <w:r>
              <w:rPr>
                <w:b/>
                <w:lang w:val="pl-PL"/>
              </w:rPr>
              <w:t>Program gospodarowania wodami opadowymi dla miasta Torunia</w:t>
            </w:r>
          </w:p>
          <w:p w:rsidR="00BC7375" w:rsidRDefault="00BC7375"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BC7375" w:rsidRDefault="00777084" w:rsidP="00AE72C8">
            <w:pPr>
              <w:spacing w:line="240" w:lineRule="auto"/>
              <w:jc w:val="center"/>
              <w:rPr>
                <w:lang w:val="pl-PL"/>
              </w:rPr>
            </w:pPr>
            <w:r>
              <w:rPr>
                <w:lang w:val="pl-PL"/>
              </w:rPr>
              <w:t>41</w:t>
            </w:r>
          </w:p>
        </w:tc>
      </w:tr>
      <w:tr w:rsidR="00BC7375" w:rsidTr="00993BD1">
        <w:tc>
          <w:tcPr>
            <w:tcW w:w="710" w:type="dxa"/>
            <w:tcBorders>
              <w:top w:val="single" w:sz="4" w:space="0" w:color="000000"/>
              <w:left w:val="single" w:sz="4" w:space="0" w:color="000000"/>
              <w:bottom w:val="single" w:sz="4" w:space="0" w:color="000000"/>
              <w:right w:val="single" w:sz="4" w:space="0" w:color="000000"/>
            </w:tcBorders>
            <w:vAlign w:val="center"/>
          </w:tcPr>
          <w:p w:rsidR="00BC7375" w:rsidRDefault="00810377" w:rsidP="00810377">
            <w:pPr>
              <w:tabs>
                <w:tab w:val="left" w:pos="136"/>
              </w:tabs>
              <w:spacing w:line="240" w:lineRule="auto"/>
              <w:jc w:val="center"/>
              <w:rPr>
                <w:b/>
                <w:lang w:val="pl-PL"/>
              </w:rPr>
            </w:pPr>
            <w:r>
              <w:rPr>
                <w:b/>
                <w:lang w:val="pl-PL"/>
              </w:rPr>
              <w:t>23.</w:t>
            </w:r>
          </w:p>
        </w:tc>
        <w:tc>
          <w:tcPr>
            <w:tcW w:w="7371" w:type="dxa"/>
            <w:tcBorders>
              <w:top w:val="single" w:sz="4" w:space="0" w:color="000000"/>
              <w:left w:val="single" w:sz="4" w:space="0" w:color="000000"/>
              <w:bottom w:val="single" w:sz="4" w:space="0" w:color="000000"/>
              <w:right w:val="single" w:sz="4" w:space="0" w:color="000000"/>
            </w:tcBorders>
          </w:tcPr>
          <w:p w:rsidR="00BC7375" w:rsidRDefault="00BC7375" w:rsidP="00BC7375">
            <w:pPr>
              <w:spacing w:line="240" w:lineRule="auto"/>
              <w:rPr>
                <w:b/>
                <w:lang w:val="pl-PL"/>
              </w:rPr>
            </w:pPr>
            <w:r>
              <w:rPr>
                <w:b/>
                <w:lang w:val="pl-PL"/>
              </w:rPr>
              <w:t>Program usuwania azbestu z terenu miasta Torunia</w:t>
            </w:r>
          </w:p>
          <w:p w:rsidR="00BC7375" w:rsidRDefault="00BC7375"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BC7375" w:rsidRDefault="00AE72C8" w:rsidP="00AE72C8">
            <w:pPr>
              <w:spacing w:line="240" w:lineRule="auto"/>
              <w:jc w:val="center"/>
              <w:rPr>
                <w:lang w:val="pl-PL"/>
              </w:rPr>
            </w:pPr>
            <w:r>
              <w:rPr>
                <w:lang w:val="pl-PL"/>
              </w:rPr>
              <w:t>4</w:t>
            </w:r>
            <w:r w:rsidR="00777084">
              <w:rPr>
                <w:lang w:val="pl-PL"/>
              </w:rPr>
              <w:t>2</w:t>
            </w:r>
          </w:p>
        </w:tc>
      </w:tr>
      <w:tr w:rsidR="00AE6BCB" w:rsidTr="00993BD1">
        <w:trPr>
          <w:trHeight w:val="555"/>
        </w:trPr>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24.</w:t>
            </w:r>
          </w:p>
        </w:tc>
        <w:tc>
          <w:tcPr>
            <w:tcW w:w="7371"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rPr>
                <w:b/>
                <w:lang w:val="pl-PL"/>
              </w:rPr>
            </w:pPr>
            <w:r>
              <w:rPr>
                <w:b/>
                <w:lang w:val="pl-PL"/>
              </w:rPr>
              <w:t>Plan gospodarki n</w:t>
            </w:r>
            <w:r w:rsidR="00AE6BCB">
              <w:rPr>
                <w:b/>
                <w:lang w:val="pl-PL"/>
              </w:rPr>
              <w:t>iskoemisyjnej na lata 2015–2020</w:t>
            </w: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rPr>
                <w:lang w:val="pl-PL"/>
              </w:rPr>
            </w:pPr>
            <w:r>
              <w:rPr>
                <w:lang w:val="pl-PL"/>
              </w:rPr>
              <w:t>4</w:t>
            </w:r>
            <w:r w:rsidR="00777084">
              <w:rPr>
                <w:lang w:val="pl-PL"/>
              </w:rPr>
              <w:t>2</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25.</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opieki nad zwierzętami bezdomnymi oraz zapobiegania bezdomnośc</w:t>
            </w:r>
            <w:r w:rsidR="00BC7375">
              <w:rPr>
                <w:b/>
                <w:lang w:val="pl-PL"/>
              </w:rPr>
              <w:t>i zwierząt w Toruniu na rok 2020</w:t>
            </w: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rPr>
                <w:lang w:val="pl-PL"/>
              </w:rPr>
            </w:pPr>
            <w:r>
              <w:rPr>
                <w:lang w:val="pl-PL"/>
              </w:rPr>
              <w:t>4</w:t>
            </w:r>
            <w:r w:rsidR="00777084">
              <w:rPr>
                <w:lang w:val="pl-PL"/>
              </w:rPr>
              <w:t>2</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26.</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Strategia Rozwoju Kult</w:t>
            </w:r>
            <w:r w:rsidR="00BC7375">
              <w:rPr>
                <w:b/>
                <w:lang w:val="pl-PL"/>
              </w:rPr>
              <w:t>ury Miasta Torunia do roku 2020</w:t>
            </w:r>
          </w:p>
          <w:p w:rsidR="00BC7375" w:rsidRDefault="00BC7375"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46</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27.</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Strategia Rozwoju Turystyki dla M</w:t>
            </w:r>
            <w:r w:rsidR="00BC7375">
              <w:rPr>
                <w:b/>
                <w:lang w:val="pl-PL"/>
              </w:rPr>
              <w:t>iasta Torunia na lata 2013–2020</w:t>
            </w:r>
          </w:p>
          <w:p w:rsidR="00BC7375" w:rsidRDefault="00BC7375"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rPr>
                <w:lang w:val="pl-PL"/>
              </w:rPr>
            </w:pPr>
            <w:r>
              <w:rPr>
                <w:lang w:val="pl-PL"/>
              </w:rPr>
              <w:t>4</w:t>
            </w:r>
            <w:r w:rsidR="00777084">
              <w:rPr>
                <w:lang w:val="pl-PL"/>
              </w:rPr>
              <w:t>7</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28.</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budowy d</w:t>
            </w:r>
            <w:r w:rsidR="00090086">
              <w:rPr>
                <w:b/>
                <w:lang w:val="pl-PL"/>
              </w:rPr>
              <w:t>róg lokalnych na lata 2020 -2023</w:t>
            </w:r>
            <w:r w:rsidR="00BC7375">
              <w:rPr>
                <w:b/>
                <w:lang w:val="pl-PL"/>
              </w:rPr>
              <w:br/>
            </w:r>
          </w:p>
        </w:tc>
        <w:tc>
          <w:tcPr>
            <w:tcW w:w="1155" w:type="dxa"/>
            <w:tcBorders>
              <w:top w:val="single" w:sz="4" w:space="0" w:color="000000"/>
              <w:left w:val="single" w:sz="4" w:space="0" w:color="000000"/>
              <w:bottom w:val="single" w:sz="4" w:space="0" w:color="000000"/>
              <w:right w:val="single" w:sz="4" w:space="0" w:color="000000"/>
            </w:tcBorders>
          </w:tcPr>
          <w:p w:rsidR="00AE6BCB" w:rsidRDefault="00777084" w:rsidP="009C7C02">
            <w:pPr>
              <w:spacing w:line="240" w:lineRule="auto"/>
              <w:jc w:val="center"/>
              <w:rPr>
                <w:lang w:val="pl-PL"/>
              </w:rPr>
            </w:pPr>
            <w:r>
              <w:rPr>
                <w:lang w:val="pl-PL"/>
              </w:rPr>
              <w:t>53</w:t>
            </w:r>
          </w:p>
        </w:tc>
      </w:tr>
      <w:tr w:rsidR="00090086" w:rsidTr="00993BD1">
        <w:tc>
          <w:tcPr>
            <w:tcW w:w="710" w:type="dxa"/>
            <w:tcBorders>
              <w:top w:val="single" w:sz="4" w:space="0" w:color="000000"/>
              <w:left w:val="single" w:sz="4" w:space="0" w:color="000000"/>
              <w:bottom w:val="single" w:sz="4" w:space="0" w:color="000000"/>
              <w:right w:val="single" w:sz="4" w:space="0" w:color="000000"/>
            </w:tcBorders>
            <w:vAlign w:val="center"/>
          </w:tcPr>
          <w:p w:rsidR="00090086" w:rsidRDefault="00810377" w:rsidP="00810377">
            <w:pPr>
              <w:tabs>
                <w:tab w:val="left" w:pos="136"/>
              </w:tabs>
              <w:spacing w:line="240" w:lineRule="auto"/>
              <w:jc w:val="center"/>
              <w:rPr>
                <w:b/>
                <w:lang w:val="pl-PL"/>
              </w:rPr>
            </w:pPr>
            <w:r>
              <w:rPr>
                <w:b/>
                <w:lang w:val="pl-PL"/>
              </w:rPr>
              <w:t>29.</w:t>
            </w:r>
          </w:p>
        </w:tc>
        <w:tc>
          <w:tcPr>
            <w:tcW w:w="7371" w:type="dxa"/>
            <w:tcBorders>
              <w:top w:val="single" w:sz="4" w:space="0" w:color="000000"/>
              <w:left w:val="single" w:sz="4" w:space="0" w:color="000000"/>
              <w:bottom w:val="single" w:sz="4" w:space="0" w:color="000000"/>
              <w:right w:val="single" w:sz="4" w:space="0" w:color="000000"/>
            </w:tcBorders>
          </w:tcPr>
          <w:p w:rsidR="00090086" w:rsidRDefault="00090086" w:rsidP="009C7C02">
            <w:pPr>
              <w:spacing w:line="240" w:lineRule="auto"/>
              <w:rPr>
                <w:b/>
                <w:lang w:val="pl-PL"/>
              </w:rPr>
            </w:pPr>
            <w:r>
              <w:rPr>
                <w:b/>
                <w:lang w:val="pl-PL"/>
              </w:rPr>
              <w:t>Program rozwoju komunikacji rowerowej w Toruniu (Plan budowy dróg rowerowych na lata 2021-2023)</w:t>
            </w:r>
          </w:p>
        </w:tc>
        <w:tc>
          <w:tcPr>
            <w:tcW w:w="1155" w:type="dxa"/>
            <w:tcBorders>
              <w:top w:val="single" w:sz="4" w:space="0" w:color="000000"/>
              <w:left w:val="single" w:sz="4" w:space="0" w:color="000000"/>
              <w:bottom w:val="single" w:sz="4" w:space="0" w:color="000000"/>
              <w:right w:val="single" w:sz="4" w:space="0" w:color="000000"/>
            </w:tcBorders>
          </w:tcPr>
          <w:p w:rsidR="00090086" w:rsidRDefault="00AE72C8" w:rsidP="009C7C02">
            <w:pPr>
              <w:spacing w:line="240" w:lineRule="auto"/>
              <w:jc w:val="center"/>
              <w:rPr>
                <w:lang w:val="pl-PL"/>
              </w:rPr>
            </w:pPr>
            <w:r>
              <w:rPr>
                <w:lang w:val="pl-PL"/>
              </w:rPr>
              <w:t>5</w:t>
            </w:r>
            <w:r w:rsidR="00777084">
              <w:rPr>
                <w:lang w:val="pl-PL"/>
              </w:rPr>
              <w:t>3</w:t>
            </w:r>
          </w:p>
        </w:tc>
      </w:tr>
      <w:tr w:rsidR="00090086" w:rsidTr="00993BD1">
        <w:tc>
          <w:tcPr>
            <w:tcW w:w="710" w:type="dxa"/>
            <w:tcBorders>
              <w:top w:val="single" w:sz="4" w:space="0" w:color="000000"/>
              <w:left w:val="single" w:sz="4" w:space="0" w:color="000000"/>
              <w:bottom w:val="single" w:sz="4" w:space="0" w:color="000000"/>
              <w:right w:val="single" w:sz="4" w:space="0" w:color="000000"/>
            </w:tcBorders>
            <w:vAlign w:val="center"/>
          </w:tcPr>
          <w:p w:rsidR="00090086" w:rsidRDefault="00810377" w:rsidP="00810377">
            <w:pPr>
              <w:tabs>
                <w:tab w:val="left" w:pos="136"/>
              </w:tabs>
              <w:spacing w:line="240" w:lineRule="auto"/>
              <w:jc w:val="center"/>
              <w:rPr>
                <w:b/>
                <w:lang w:val="pl-PL"/>
              </w:rPr>
            </w:pPr>
            <w:r>
              <w:rPr>
                <w:b/>
                <w:lang w:val="pl-PL"/>
              </w:rPr>
              <w:t>30.</w:t>
            </w:r>
          </w:p>
        </w:tc>
        <w:tc>
          <w:tcPr>
            <w:tcW w:w="7371" w:type="dxa"/>
            <w:tcBorders>
              <w:top w:val="single" w:sz="4" w:space="0" w:color="000000"/>
              <w:left w:val="single" w:sz="4" w:space="0" w:color="000000"/>
              <w:bottom w:val="single" w:sz="4" w:space="0" w:color="000000"/>
              <w:right w:val="single" w:sz="4" w:space="0" w:color="000000"/>
            </w:tcBorders>
          </w:tcPr>
          <w:p w:rsidR="00090086" w:rsidRDefault="00090086" w:rsidP="009C7C02">
            <w:pPr>
              <w:spacing w:line="240" w:lineRule="auto"/>
              <w:rPr>
                <w:b/>
                <w:lang w:val="pl-PL"/>
              </w:rPr>
            </w:pPr>
            <w:r>
              <w:rPr>
                <w:b/>
                <w:lang w:val="pl-PL"/>
              </w:rPr>
              <w:t xml:space="preserve">Program poprawy bezpieczeństwa na przejściach dla pieszych </w:t>
            </w:r>
            <w:r>
              <w:rPr>
                <w:b/>
                <w:lang w:val="pl-PL"/>
              </w:rPr>
              <w:br/>
              <w:t>i przejazdach dla rowerzystów</w:t>
            </w:r>
          </w:p>
        </w:tc>
        <w:tc>
          <w:tcPr>
            <w:tcW w:w="1155" w:type="dxa"/>
            <w:tcBorders>
              <w:top w:val="single" w:sz="4" w:space="0" w:color="000000"/>
              <w:left w:val="single" w:sz="4" w:space="0" w:color="000000"/>
              <w:bottom w:val="single" w:sz="4" w:space="0" w:color="000000"/>
              <w:right w:val="single" w:sz="4" w:space="0" w:color="000000"/>
            </w:tcBorders>
          </w:tcPr>
          <w:p w:rsidR="00090086" w:rsidRDefault="00777084" w:rsidP="009C7C02">
            <w:pPr>
              <w:spacing w:line="240" w:lineRule="auto"/>
              <w:jc w:val="center"/>
              <w:rPr>
                <w:lang w:val="pl-PL"/>
              </w:rPr>
            </w:pPr>
            <w:r>
              <w:rPr>
                <w:lang w:val="pl-PL"/>
              </w:rPr>
              <w:t>40</w:t>
            </w:r>
            <w:r w:rsidR="00AE72C8">
              <w:rPr>
                <w:lang w:val="pl-PL"/>
              </w:rPr>
              <w:t>,5</w:t>
            </w:r>
            <w:r>
              <w:rPr>
                <w:lang w:val="pl-PL"/>
              </w:rPr>
              <w:t>3</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31.</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Plan zrównoważonego rozwoju publicznego transportu zbiorowego dla miasta Torunia na lata 2013–2035.</w:t>
            </w: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rPr>
                <w:lang w:val="pl-PL"/>
              </w:rPr>
            </w:pPr>
            <w:r>
              <w:rPr>
                <w:lang w:val="pl-PL"/>
              </w:rPr>
              <w:t>5</w:t>
            </w:r>
            <w:r w:rsidR="00777084">
              <w:rPr>
                <w:lang w:val="pl-PL"/>
              </w:rPr>
              <w:t>5</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32.</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Rewitalizacji Torunia do roku 2023</w:t>
            </w:r>
          </w:p>
          <w:p w:rsidR="00810377" w:rsidRDefault="00810377" w:rsidP="009C7C02">
            <w:pPr>
              <w:spacing w:line="240" w:lineRule="auto"/>
              <w:rPr>
                <w:b/>
                <w:lang w:val="pl-PL"/>
              </w:rPr>
            </w:pP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rPr>
                <w:lang w:val="pl-PL"/>
              </w:rPr>
            </w:pPr>
            <w:r>
              <w:rPr>
                <w:lang w:val="pl-PL"/>
              </w:rPr>
              <w:t>5</w:t>
            </w:r>
            <w:r w:rsidR="00777084">
              <w:rPr>
                <w:lang w:val="pl-PL"/>
              </w:rPr>
              <w:t>6</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33.</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Strategia Roz</w:t>
            </w:r>
            <w:r w:rsidR="00810377">
              <w:rPr>
                <w:b/>
                <w:lang w:val="pl-PL"/>
              </w:rPr>
              <w:t>woju Miasta Torunia do 2020 r.</w:t>
            </w:r>
            <w:r>
              <w:rPr>
                <w:b/>
                <w:lang w:val="pl-PL"/>
              </w:rPr>
              <w:t xml:space="preserve"> z uwzględnieniem perspektywy rozwoju do 2028 r.</w:t>
            </w: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rPr>
                <w:lang w:val="pl-PL"/>
              </w:rPr>
            </w:pPr>
            <w:r>
              <w:rPr>
                <w:lang w:val="pl-PL"/>
              </w:rPr>
              <w:t>5</w:t>
            </w:r>
            <w:r w:rsidR="00777084">
              <w:rPr>
                <w:lang w:val="pl-PL"/>
              </w:rPr>
              <w:t>7</w:t>
            </w:r>
          </w:p>
        </w:tc>
      </w:tr>
      <w:tr w:rsidR="00AE6BCB" w:rsidTr="00993BD1">
        <w:tc>
          <w:tcPr>
            <w:tcW w:w="710" w:type="dxa"/>
            <w:tcBorders>
              <w:top w:val="single" w:sz="4" w:space="0" w:color="000000"/>
              <w:left w:val="single" w:sz="4" w:space="0" w:color="000000"/>
              <w:bottom w:val="single" w:sz="4" w:space="0" w:color="000000"/>
              <w:right w:val="single" w:sz="4" w:space="0" w:color="000000"/>
            </w:tcBorders>
            <w:vAlign w:val="center"/>
          </w:tcPr>
          <w:p w:rsidR="00AE6BCB" w:rsidRDefault="00810377" w:rsidP="00810377">
            <w:pPr>
              <w:tabs>
                <w:tab w:val="left" w:pos="136"/>
              </w:tabs>
              <w:spacing w:line="240" w:lineRule="auto"/>
              <w:jc w:val="center"/>
              <w:rPr>
                <w:b/>
                <w:lang w:val="pl-PL"/>
              </w:rPr>
            </w:pPr>
            <w:r>
              <w:rPr>
                <w:b/>
                <w:lang w:val="pl-PL"/>
              </w:rPr>
              <w:t>34.</w:t>
            </w:r>
          </w:p>
        </w:tc>
        <w:tc>
          <w:tcPr>
            <w:tcW w:w="7371" w:type="dxa"/>
            <w:tcBorders>
              <w:top w:val="single" w:sz="4" w:space="0" w:color="000000"/>
              <w:left w:val="single" w:sz="4" w:space="0" w:color="000000"/>
              <w:bottom w:val="single" w:sz="4" w:space="0" w:color="000000"/>
              <w:right w:val="single" w:sz="4" w:space="0" w:color="000000"/>
            </w:tcBorders>
          </w:tcPr>
          <w:p w:rsidR="00AE6BCB" w:rsidRDefault="00AE6BCB" w:rsidP="009C7C02">
            <w:pPr>
              <w:spacing w:line="240" w:lineRule="auto"/>
              <w:rPr>
                <w:b/>
                <w:lang w:val="pl-PL"/>
              </w:rPr>
            </w:pPr>
            <w:r>
              <w:rPr>
                <w:b/>
                <w:lang w:val="pl-PL"/>
              </w:rPr>
              <w:t>Program działań społeczno</w:t>
            </w:r>
            <w:r w:rsidR="00AE72C8">
              <w:rPr>
                <w:b/>
                <w:lang w:val="pl-PL"/>
              </w:rPr>
              <w:t xml:space="preserve"> </w:t>
            </w:r>
            <w:r>
              <w:rPr>
                <w:b/>
                <w:lang w:val="pl-PL"/>
              </w:rPr>
              <w:t>–</w:t>
            </w:r>
            <w:r w:rsidR="00AE72C8">
              <w:rPr>
                <w:b/>
                <w:lang w:val="pl-PL"/>
              </w:rPr>
              <w:t xml:space="preserve"> </w:t>
            </w:r>
            <w:r>
              <w:rPr>
                <w:b/>
                <w:lang w:val="pl-PL"/>
              </w:rPr>
              <w:t>gospodarczych dla zespołu staromiejskiego w Toruniu</w:t>
            </w:r>
          </w:p>
        </w:tc>
        <w:tc>
          <w:tcPr>
            <w:tcW w:w="1155" w:type="dxa"/>
            <w:tcBorders>
              <w:top w:val="single" w:sz="4" w:space="0" w:color="000000"/>
              <w:left w:val="single" w:sz="4" w:space="0" w:color="000000"/>
              <w:bottom w:val="single" w:sz="4" w:space="0" w:color="000000"/>
              <w:right w:val="single" w:sz="4" w:space="0" w:color="000000"/>
            </w:tcBorders>
          </w:tcPr>
          <w:p w:rsidR="00AE6BCB" w:rsidRDefault="00AE72C8" w:rsidP="009C7C02">
            <w:pPr>
              <w:spacing w:line="240" w:lineRule="auto"/>
              <w:jc w:val="center"/>
            </w:pPr>
            <w:r>
              <w:t>5</w:t>
            </w:r>
            <w:r w:rsidR="00777084">
              <w:t>8</w:t>
            </w:r>
          </w:p>
        </w:tc>
      </w:tr>
    </w:tbl>
    <w:p w:rsidR="00AE6BCB" w:rsidRDefault="00AE6BCB" w:rsidP="009C7C02">
      <w:pPr>
        <w:spacing w:line="240" w:lineRule="auto"/>
        <w:jc w:val="center"/>
        <w:rPr>
          <w:b/>
        </w:rPr>
      </w:pPr>
    </w:p>
    <w:p w:rsidR="00AE6BCB" w:rsidRDefault="00AE6BCB" w:rsidP="009C7C02">
      <w:pPr>
        <w:spacing w:line="240" w:lineRule="auto"/>
      </w:pPr>
    </w:p>
    <w:p w:rsidR="00AE6BCB" w:rsidRDefault="00AE6BCB" w:rsidP="009C7C02">
      <w:pPr>
        <w:spacing w:line="240" w:lineRule="auto"/>
      </w:pPr>
    </w:p>
    <w:p w:rsidR="00AE6BCB" w:rsidRDefault="00AE6BCB">
      <w:pPr>
        <w:pStyle w:val="NoSpacing"/>
        <w:spacing w:line="276" w:lineRule="auto"/>
        <w:jc w:val="both"/>
      </w:pPr>
    </w:p>
    <w:sectPr w:rsidR="00AE6BCB">
      <w:headerReference w:type="default" r:id="rId18"/>
      <w:footerReference w:type="default" r:id="rId19"/>
      <w:footerReference w:type="first" r:id="rId20"/>
      <w:footnotePr>
        <w:pos w:val="beneathText"/>
      </w:footnotePr>
      <w:pgSz w:w="11906" w:h="16838"/>
      <w:pgMar w:top="1418" w:right="1418" w:bottom="1588" w:left="1418" w:header="708" w:footer="709" w:gutter="0"/>
      <w:cols w:space="708"/>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1D" w:rsidRDefault="00CC011D">
      <w:pPr>
        <w:spacing w:line="240" w:lineRule="auto"/>
      </w:pPr>
      <w:r>
        <w:separator/>
      </w:r>
    </w:p>
  </w:endnote>
  <w:endnote w:type="continuationSeparator" w:id="0">
    <w:p w:rsidR="00CC011D" w:rsidRDefault="00CC01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526">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n-ea">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363">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4A" w:rsidRDefault="00B41B4A">
    <w:pPr>
      <w:pStyle w:val="Stopka"/>
      <w:pBdr>
        <w:top w:val="double" w:sz="28" w:space="0" w:color="800000"/>
      </w:pBdr>
      <w:tabs>
        <w:tab w:val="clear" w:pos="4536"/>
        <w:tab w:val="clear" w:pos="9072"/>
        <w:tab w:val="right" w:pos="9356"/>
      </w:tabs>
      <w:rPr>
        <w:lang w:val="pl-PL"/>
      </w:rPr>
    </w:pPr>
    <w:r>
      <w:rPr>
        <w:rFonts w:ascii="Calibri" w:hAnsi="Calibri" w:cs="Calibri"/>
        <w:lang w:val="pl-PL"/>
      </w:rPr>
      <w:t>Raport o stanie Gminy Miasta Toruń za rok 2020</w:t>
    </w:r>
    <w:r>
      <w:rPr>
        <w:rFonts w:ascii="Calibri" w:hAnsi="Calibri" w:cs="Calibri"/>
        <w:lang w:val="pl-PL"/>
      </w:rPr>
      <w:tab/>
      <w:t xml:space="preserve">                                                                            Strona </w:t>
    </w:r>
    <w:r>
      <w:fldChar w:fldCharType="begin"/>
    </w:r>
    <w:r>
      <w:rPr>
        <w:lang w:val="pl-PL"/>
      </w:rPr>
      <w:instrText xml:space="preserve"> PAGE </w:instrText>
    </w:r>
    <w:r>
      <w:fldChar w:fldCharType="separate"/>
    </w:r>
    <w:r w:rsidR="00D948BF">
      <w:rPr>
        <w:noProof/>
        <w:lang w:val="pl-PL"/>
      </w:rPr>
      <w:t>4</w:t>
    </w:r>
    <w:r>
      <w:fldChar w:fldCharType="end"/>
    </w:r>
  </w:p>
  <w:p w:rsidR="00B41B4A" w:rsidRDefault="00B41B4A">
    <w:pPr>
      <w:pStyle w:val="Stopka"/>
      <w:rPr>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4A" w:rsidRDefault="00B41B4A">
    <w:pPr>
      <w:pStyle w:val="Stopk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1D" w:rsidRDefault="00CC011D">
      <w:pPr>
        <w:spacing w:line="240" w:lineRule="auto"/>
      </w:pPr>
      <w:r>
        <w:separator/>
      </w:r>
    </w:p>
  </w:footnote>
  <w:footnote w:type="continuationSeparator" w:id="0">
    <w:p w:rsidR="00CC011D" w:rsidRDefault="00CC01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4A" w:rsidRDefault="00D948BF" w:rsidP="00703980">
    <w:pPr>
      <w:pStyle w:val="Nagwek0"/>
      <w:pBdr>
        <w:bottom w:val="double" w:sz="20" w:space="4" w:color="800000"/>
      </w:pBdr>
      <w:jc w:val="right"/>
    </w:pPr>
    <w:r>
      <w:rPr>
        <w:noProof/>
        <w:color w:val="FFC000"/>
        <w:lang w:val="pl-PL" w:eastAsia="pl-PL"/>
      </w:rPr>
      <w:drawing>
        <wp:inline distT="0" distB="0" distL="0" distR="0">
          <wp:extent cx="2847975" cy="323850"/>
          <wp:effectExtent l="19050" t="0" r="9525" b="0"/>
          <wp:docPr id="2" name="Obraz 3" descr="panoramka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noramka Go"/>
                  <pic:cNvPicPr>
                    <a:picLocks noChangeAspect="1" noChangeArrowheads="1"/>
                  </pic:cNvPicPr>
                </pic:nvPicPr>
                <pic:blipFill>
                  <a:blip r:embed="rId1"/>
                  <a:srcRect/>
                  <a:stretch>
                    <a:fillRect/>
                  </a:stretch>
                </pic:blipFill>
                <pic:spPr bwMode="auto">
                  <a:xfrm>
                    <a:off x="0" y="0"/>
                    <a:ext cx="2847975" cy="323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lvl>
    <w:lvl w:ilvl="1">
      <w:start w:val="1"/>
      <w:numFmt w:val="upperRoman"/>
      <w:lvlText w:val="%2."/>
      <w:lvlJc w:val="left"/>
      <w:pPr>
        <w:tabs>
          <w:tab w:val="num" w:pos="0"/>
        </w:tabs>
        <w:ind w:left="1865" w:hanging="72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6"/>
    <w:lvl w:ilvl="0">
      <w:start w:val="1"/>
      <w:numFmt w:val="bullet"/>
      <w:lvlText w:val=""/>
      <w:lvlJc w:val="left"/>
      <w:pPr>
        <w:tabs>
          <w:tab w:val="num" w:pos="-76"/>
        </w:tabs>
        <w:ind w:left="644"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nsid w:val="00000009"/>
    <w:multiLevelType w:val="multilevel"/>
    <w:tmpl w:val="00000009"/>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0A"/>
    <w:multiLevelType w:val="multilevel"/>
    <w:tmpl w:val="0000000A"/>
    <w:name w:val="WWNum9"/>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nsid w:val="0000000E"/>
    <w:multiLevelType w:val="multilevel"/>
    <w:tmpl w:val="0000000E"/>
    <w:name w:val="WWNum1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nsid w:val="0000000F"/>
    <w:multiLevelType w:val="multilevel"/>
    <w:tmpl w:val="0000000F"/>
    <w:name w:val="WWNum15"/>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5">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7"/>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0"/>
      <w:numFmt w:val="upperRoman"/>
      <w:lvlText w:val="%2.%3."/>
      <w:lvlJc w:val="left"/>
      <w:pPr>
        <w:tabs>
          <w:tab w:val="num" w:pos="0"/>
        </w:tabs>
        <w:ind w:left="270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4"/>
    <w:multiLevelType w:val="multilevel"/>
    <w:tmpl w:val="00000014"/>
    <w:name w:val="WWNum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0">
    <w:nsid w:val="00000015"/>
    <w:multiLevelType w:val="multilevel"/>
    <w:tmpl w:val="00000015"/>
    <w:name w:val="WWNum2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1">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3">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5">
    <w:nsid w:val="0000001A"/>
    <w:multiLevelType w:val="multilevel"/>
    <w:tmpl w:val="0000001A"/>
    <w:name w:val="WWNum26"/>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6">
    <w:nsid w:val="0000001B"/>
    <w:multiLevelType w:val="multilevel"/>
    <w:tmpl w:val="0000001B"/>
    <w:name w:val="WWNum27"/>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7">
    <w:nsid w:val="0000001C"/>
    <w:multiLevelType w:val="multilevel"/>
    <w:tmpl w:val="0000001C"/>
    <w:name w:val="WWNum28"/>
    <w:lvl w:ilvl="0">
      <w:start w:val="1"/>
      <w:numFmt w:val="bullet"/>
      <w:lvlText w:val=""/>
      <w:lvlJc w:val="left"/>
      <w:pPr>
        <w:tabs>
          <w:tab w:val="num" w:pos="0"/>
        </w:tabs>
        <w:ind w:left="1007" w:hanging="360"/>
      </w:pPr>
      <w:rPr>
        <w:rFonts w:ascii="Symbol" w:hAnsi="Symbol"/>
      </w:rPr>
    </w:lvl>
    <w:lvl w:ilvl="1">
      <w:start w:val="1"/>
      <w:numFmt w:val="bullet"/>
      <w:lvlText w:val="o"/>
      <w:lvlJc w:val="left"/>
      <w:pPr>
        <w:tabs>
          <w:tab w:val="num" w:pos="0"/>
        </w:tabs>
        <w:ind w:left="1727" w:hanging="360"/>
      </w:pPr>
      <w:rPr>
        <w:rFonts w:ascii="Courier New" w:hAnsi="Courier New" w:cs="Courier New"/>
      </w:rPr>
    </w:lvl>
    <w:lvl w:ilvl="2">
      <w:start w:val="1"/>
      <w:numFmt w:val="bullet"/>
      <w:lvlText w:val=""/>
      <w:lvlJc w:val="left"/>
      <w:pPr>
        <w:tabs>
          <w:tab w:val="num" w:pos="0"/>
        </w:tabs>
        <w:ind w:left="2447" w:hanging="360"/>
      </w:pPr>
      <w:rPr>
        <w:rFonts w:ascii="Wingdings" w:hAnsi="Wingdings"/>
      </w:rPr>
    </w:lvl>
    <w:lvl w:ilvl="3">
      <w:start w:val="1"/>
      <w:numFmt w:val="bullet"/>
      <w:lvlText w:val=""/>
      <w:lvlJc w:val="left"/>
      <w:pPr>
        <w:tabs>
          <w:tab w:val="num" w:pos="0"/>
        </w:tabs>
        <w:ind w:left="3167" w:hanging="360"/>
      </w:pPr>
      <w:rPr>
        <w:rFonts w:ascii="Symbol" w:hAnsi="Symbol"/>
      </w:rPr>
    </w:lvl>
    <w:lvl w:ilvl="4">
      <w:start w:val="1"/>
      <w:numFmt w:val="bullet"/>
      <w:lvlText w:val="o"/>
      <w:lvlJc w:val="left"/>
      <w:pPr>
        <w:tabs>
          <w:tab w:val="num" w:pos="0"/>
        </w:tabs>
        <w:ind w:left="3887" w:hanging="360"/>
      </w:pPr>
      <w:rPr>
        <w:rFonts w:ascii="Courier New" w:hAnsi="Courier New" w:cs="Courier New"/>
      </w:rPr>
    </w:lvl>
    <w:lvl w:ilvl="5">
      <w:start w:val="1"/>
      <w:numFmt w:val="bullet"/>
      <w:lvlText w:val=""/>
      <w:lvlJc w:val="left"/>
      <w:pPr>
        <w:tabs>
          <w:tab w:val="num" w:pos="0"/>
        </w:tabs>
        <w:ind w:left="4607" w:hanging="360"/>
      </w:pPr>
      <w:rPr>
        <w:rFonts w:ascii="Wingdings" w:hAnsi="Wingdings"/>
      </w:rPr>
    </w:lvl>
    <w:lvl w:ilvl="6">
      <w:start w:val="1"/>
      <w:numFmt w:val="bullet"/>
      <w:lvlText w:val=""/>
      <w:lvlJc w:val="left"/>
      <w:pPr>
        <w:tabs>
          <w:tab w:val="num" w:pos="0"/>
        </w:tabs>
        <w:ind w:left="5327" w:hanging="360"/>
      </w:pPr>
      <w:rPr>
        <w:rFonts w:ascii="Symbol" w:hAnsi="Symbol"/>
      </w:rPr>
    </w:lvl>
    <w:lvl w:ilvl="7">
      <w:start w:val="1"/>
      <w:numFmt w:val="bullet"/>
      <w:lvlText w:val="o"/>
      <w:lvlJc w:val="left"/>
      <w:pPr>
        <w:tabs>
          <w:tab w:val="num" w:pos="0"/>
        </w:tabs>
        <w:ind w:left="6047" w:hanging="360"/>
      </w:pPr>
      <w:rPr>
        <w:rFonts w:ascii="Courier New" w:hAnsi="Courier New" w:cs="Courier New"/>
      </w:rPr>
    </w:lvl>
    <w:lvl w:ilvl="8">
      <w:start w:val="1"/>
      <w:numFmt w:val="bullet"/>
      <w:lvlText w:val=""/>
      <w:lvlJc w:val="left"/>
      <w:pPr>
        <w:tabs>
          <w:tab w:val="num" w:pos="0"/>
        </w:tabs>
        <w:ind w:left="6767" w:hanging="360"/>
      </w:pPr>
      <w:rPr>
        <w:rFonts w:ascii="Wingdings" w:hAnsi="Wingdings"/>
      </w:rPr>
    </w:lvl>
  </w:abstractNum>
  <w:abstractNum w:abstractNumId="28">
    <w:nsid w:val="0000001D"/>
    <w:multiLevelType w:val="multilevel"/>
    <w:tmpl w:val="0000001D"/>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0"/>
    <w:lvl w:ilvl="0">
      <w:start w:val="1"/>
      <w:numFmt w:val="upperLetter"/>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decimal"/>
      <w:lvlText w:val="%2.%3)"/>
      <w:lvlJc w:val="left"/>
      <w:pPr>
        <w:tabs>
          <w:tab w:val="num" w:pos="0"/>
        </w:tabs>
        <w:ind w:left="3049" w:hanging="36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0">
    <w:nsid w:val="0000001F"/>
    <w:multiLevelType w:val="multilevel"/>
    <w:tmpl w:val="0000001F"/>
    <w:name w:val="WWNum31"/>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1">
    <w:nsid w:val="00000020"/>
    <w:multiLevelType w:val="multilevel"/>
    <w:tmpl w:val="00000020"/>
    <w:name w:val="WWNum3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2">
    <w:nsid w:val="00000021"/>
    <w:multiLevelType w:val="multilevel"/>
    <w:tmpl w:val="00000021"/>
    <w:name w:val="WWNum33"/>
    <w:lvl w:ilvl="0">
      <w:start w:val="1"/>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3">
    <w:nsid w:val="00000022"/>
    <w:multiLevelType w:val="multilevel"/>
    <w:tmpl w:val="00000022"/>
    <w:name w:val="WWNum34"/>
    <w:lvl w:ilvl="0">
      <w:start w:val="1"/>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4">
    <w:nsid w:val="00000023"/>
    <w:multiLevelType w:val="multilevel"/>
    <w:tmpl w:val="00000023"/>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37"/>
    <w:lvl w:ilvl="0">
      <w:start w:val="1"/>
      <w:numFmt w:val="lowerLetter"/>
      <w:lvlText w:val="%1)"/>
      <w:lvlJc w:val="left"/>
      <w:pPr>
        <w:tabs>
          <w:tab w:val="num" w:pos="-927"/>
        </w:tabs>
        <w:ind w:left="502" w:hanging="360"/>
      </w:pPr>
    </w:lvl>
    <w:lvl w:ilvl="1">
      <w:start w:val="1"/>
      <w:numFmt w:val="lowerLetter"/>
      <w:lvlText w:val="%2."/>
      <w:lvlJc w:val="left"/>
      <w:pPr>
        <w:tabs>
          <w:tab w:val="num" w:pos="-927"/>
        </w:tabs>
        <w:ind w:left="1222" w:hanging="360"/>
      </w:pPr>
    </w:lvl>
    <w:lvl w:ilvl="2">
      <w:start w:val="1"/>
      <w:numFmt w:val="lowerRoman"/>
      <w:lvlText w:val="%2.%3."/>
      <w:lvlJc w:val="right"/>
      <w:pPr>
        <w:tabs>
          <w:tab w:val="num" w:pos="-927"/>
        </w:tabs>
        <w:ind w:left="1942" w:hanging="180"/>
      </w:pPr>
    </w:lvl>
    <w:lvl w:ilvl="3">
      <w:start w:val="1"/>
      <w:numFmt w:val="decimal"/>
      <w:lvlText w:val="%2.%3.%4."/>
      <w:lvlJc w:val="left"/>
      <w:pPr>
        <w:tabs>
          <w:tab w:val="num" w:pos="-927"/>
        </w:tabs>
        <w:ind w:left="2662" w:hanging="360"/>
      </w:pPr>
    </w:lvl>
    <w:lvl w:ilvl="4">
      <w:start w:val="1"/>
      <w:numFmt w:val="lowerLetter"/>
      <w:lvlText w:val="%2.%3.%4.%5."/>
      <w:lvlJc w:val="left"/>
      <w:pPr>
        <w:tabs>
          <w:tab w:val="num" w:pos="-927"/>
        </w:tabs>
        <w:ind w:left="3382" w:hanging="360"/>
      </w:pPr>
    </w:lvl>
    <w:lvl w:ilvl="5">
      <w:start w:val="1"/>
      <w:numFmt w:val="lowerRoman"/>
      <w:lvlText w:val="%2.%3.%4.%5.%6."/>
      <w:lvlJc w:val="right"/>
      <w:pPr>
        <w:tabs>
          <w:tab w:val="num" w:pos="-927"/>
        </w:tabs>
        <w:ind w:left="4102" w:hanging="180"/>
      </w:pPr>
    </w:lvl>
    <w:lvl w:ilvl="6">
      <w:start w:val="1"/>
      <w:numFmt w:val="decimal"/>
      <w:lvlText w:val="%2.%3.%4.%5.%6.%7."/>
      <w:lvlJc w:val="left"/>
      <w:pPr>
        <w:tabs>
          <w:tab w:val="num" w:pos="-927"/>
        </w:tabs>
        <w:ind w:left="4822" w:hanging="360"/>
      </w:pPr>
    </w:lvl>
    <w:lvl w:ilvl="7">
      <w:start w:val="1"/>
      <w:numFmt w:val="lowerLetter"/>
      <w:lvlText w:val="%2.%3.%4.%5.%6.%7.%8."/>
      <w:lvlJc w:val="left"/>
      <w:pPr>
        <w:tabs>
          <w:tab w:val="num" w:pos="-927"/>
        </w:tabs>
        <w:ind w:left="5542" w:hanging="360"/>
      </w:pPr>
    </w:lvl>
    <w:lvl w:ilvl="8">
      <w:start w:val="1"/>
      <w:numFmt w:val="lowerRoman"/>
      <w:lvlText w:val="%2.%3.%4.%5.%6.%7.%8.%9."/>
      <w:lvlJc w:val="right"/>
      <w:pPr>
        <w:tabs>
          <w:tab w:val="num" w:pos="-927"/>
        </w:tabs>
        <w:ind w:left="6262"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lvl w:ilvl="0">
      <w:start w:val="1"/>
      <w:numFmt w:val="bullet"/>
      <w:lvlText w:val=""/>
      <w:lvlJc w:val="left"/>
      <w:pPr>
        <w:tabs>
          <w:tab w:val="num" w:pos="-284"/>
        </w:tabs>
        <w:ind w:left="360" w:hanging="360"/>
      </w:pPr>
      <w:rPr>
        <w:rFonts w:ascii="Symbol" w:hAnsi="Symbol"/>
      </w:rPr>
    </w:lvl>
    <w:lvl w:ilvl="1">
      <w:start w:val="1"/>
      <w:numFmt w:val="bullet"/>
      <w:lvlText w:val="o"/>
      <w:lvlJc w:val="left"/>
      <w:pPr>
        <w:tabs>
          <w:tab w:val="num" w:pos="-437"/>
        </w:tabs>
        <w:ind w:left="927"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41">
    <w:nsid w:val="02384667"/>
    <w:multiLevelType w:val="hybridMultilevel"/>
    <w:tmpl w:val="67ACAA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nsid w:val="05861BF6"/>
    <w:multiLevelType w:val="hybridMultilevel"/>
    <w:tmpl w:val="B5040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08566ACB"/>
    <w:multiLevelType w:val="hybridMultilevel"/>
    <w:tmpl w:val="8F702FF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nsid w:val="0E38224D"/>
    <w:multiLevelType w:val="hybridMultilevel"/>
    <w:tmpl w:val="52809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124D3A46"/>
    <w:multiLevelType w:val="hybridMultilevel"/>
    <w:tmpl w:val="92E83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34D252D"/>
    <w:multiLevelType w:val="hybridMultilevel"/>
    <w:tmpl w:val="AE80023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18594D8C"/>
    <w:multiLevelType w:val="hybridMultilevel"/>
    <w:tmpl w:val="52446DA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nsid w:val="194B02A1"/>
    <w:multiLevelType w:val="hybridMultilevel"/>
    <w:tmpl w:val="09E4B9D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9">
    <w:nsid w:val="1B780EBF"/>
    <w:multiLevelType w:val="hybridMultilevel"/>
    <w:tmpl w:val="CE9CAC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1F431512"/>
    <w:multiLevelType w:val="hybridMultilevel"/>
    <w:tmpl w:val="062E6FA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nsid w:val="215C79B3"/>
    <w:multiLevelType w:val="hybridMultilevel"/>
    <w:tmpl w:val="3F68C3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1DA630F"/>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2327468F"/>
    <w:multiLevelType w:val="hybridMultilevel"/>
    <w:tmpl w:val="3DF2D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4E9440E"/>
    <w:multiLevelType w:val="hybridMultilevel"/>
    <w:tmpl w:val="FD6A5A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258227A0"/>
    <w:multiLevelType w:val="hybridMultilevel"/>
    <w:tmpl w:val="BB1819D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6">
    <w:nsid w:val="258A560F"/>
    <w:multiLevelType w:val="hybridMultilevel"/>
    <w:tmpl w:val="AFF4B4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nsid w:val="26CD5003"/>
    <w:multiLevelType w:val="hybridMultilevel"/>
    <w:tmpl w:val="B6800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28173D4B"/>
    <w:multiLevelType w:val="hybridMultilevel"/>
    <w:tmpl w:val="2FECB6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2B05243A"/>
    <w:multiLevelType w:val="hybridMultilevel"/>
    <w:tmpl w:val="21A41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D415C32"/>
    <w:multiLevelType w:val="hybridMultilevel"/>
    <w:tmpl w:val="8A8A63B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nsid w:val="2DA13053"/>
    <w:multiLevelType w:val="hybridMultilevel"/>
    <w:tmpl w:val="3C62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DD57A05"/>
    <w:multiLevelType w:val="hybridMultilevel"/>
    <w:tmpl w:val="A302F28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3">
    <w:nsid w:val="2DFC495C"/>
    <w:multiLevelType w:val="hybridMultilevel"/>
    <w:tmpl w:val="1284A1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2ECD1D65"/>
    <w:multiLevelType w:val="hybridMultilevel"/>
    <w:tmpl w:val="C06C8B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32A821E5"/>
    <w:multiLevelType w:val="hybridMultilevel"/>
    <w:tmpl w:val="0242E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34E74918"/>
    <w:multiLevelType w:val="hybridMultilevel"/>
    <w:tmpl w:val="B7A4BC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3A2B51A1"/>
    <w:multiLevelType w:val="hybridMultilevel"/>
    <w:tmpl w:val="B2782D4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nsid w:val="3D564E6F"/>
    <w:multiLevelType w:val="hybridMultilevel"/>
    <w:tmpl w:val="65D4F6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nsid w:val="3DD43C27"/>
    <w:multiLevelType w:val="hybridMultilevel"/>
    <w:tmpl w:val="C9EAA0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3E254888"/>
    <w:multiLevelType w:val="hybridMultilevel"/>
    <w:tmpl w:val="83C6CC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404B4BF5"/>
    <w:multiLevelType w:val="hybridMultilevel"/>
    <w:tmpl w:val="53F08A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41580D3A"/>
    <w:multiLevelType w:val="hybridMultilevel"/>
    <w:tmpl w:val="20081D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4210187D"/>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4">
    <w:nsid w:val="42A207BE"/>
    <w:multiLevelType w:val="hybridMultilevel"/>
    <w:tmpl w:val="751E8D7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5">
    <w:nsid w:val="45DB152F"/>
    <w:multiLevelType w:val="hybridMultilevel"/>
    <w:tmpl w:val="DA849AB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6">
    <w:nsid w:val="47070E3B"/>
    <w:multiLevelType w:val="hybridMultilevel"/>
    <w:tmpl w:val="294A6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8DA135E"/>
    <w:multiLevelType w:val="hybridMultilevel"/>
    <w:tmpl w:val="55C021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8">
    <w:nsid w:val="4AB554ED"/>
    <w:multiLevelType w:val="hybridMultilevel"/>
    <w:tmpl w:val="92AC7B3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9">
    <w:nsid w:val="4C7A2727"/>
    <w:multiLevelType w:val="hybridMultilevel"/>
    <w:tmpl w:val="5ABE9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D5339E2"/>
    <w:multiLevelType w:val="hybridMultilevel"/>
    <w:tmpl w:val="92DC8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FD84D17"/>
    <w:multiLevelType w:val="hybridMultilevel"/>
    <w:tmpl w:val="3DE6FFA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2">
    <w:nsid w:val="55C066A5"/>
    <w:multiLevelType w:val="hybridMultilevel"/>
    <w:tmpl w:val="4C302A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55EA3B4F"/>
    <w:multiLevelType w:val="hybridMultilevel"/>
    <w:tmpl w:val="15E69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56F950EF"/>
    <w:multiLevelType w:val="hybridMultilevel"/>
    <w:tmpl w:val="5A34F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80462C6"/>
    <w:multiLevelType w:val="hybridMultilevel"/>
    <w:tmpl w:val="FD485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B076BC0"/>
    <w:multiLevelType w:val="hybridMultilevel"/>
    <w:tmpl w:val="EFB24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CEE6B45"/>
    <w:multiLevelType w:val="hybridMultilevel"/>
    <w:tmpl w:val="EF2E6F7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8">
    <w:nsid w:val="5D526BE6"/>
    <w:multiLevelType w:val="hybridMultilevel"/>
    <w:tmpl w:val="4838DFB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9">
    <w:nsid w:val="5F17466E"/>
    <w:multiLevelType w:val="multilevel"/>
    <w:tmpl w:val="63AE64B2"/>
    <w:lvl w:ilvl="0">
      <w:start w:val="1"/>
      <w:numFmt w:val="bullet"/>
      <w:lvlText w:val=""/>
      <w:lvlJc w:val="left"/>
      <w:pPr>
        <w:tabs>
          <w:tab w:val="num" w:pos="858"/>
        </w:tabs>
        <w:ind w:left="858" w:hanging="432"/>
      </w:pPr>
      <w:rPr>
        <w:rFonts w:ascii="Symbol" w:hAnsi="Symbol" w:hint="default"/>
      </w:r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none"/>
      <w:suff w:val="nothing"/>
      <w:lvlText w:val=""/>
      <w:lvlJc w:val="left"/>
      <w:pPr>
        <w:tabs>
          <w:tab w:val="num" w:pos="1290"/>
        </w:tabs>
        <w:ind w:left="1290" w:hanging="864"/>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90">
    <w:nsid w:val="66BB6D52"/>
    <w:multiLevelType w:val="hybridMultilevel"/>
    <w:tmpl w:val="83A84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9F64134"/>
    <w:multiLevelType w:val="hybridMultilevel"/>
    <w:tmpl w:val="3C60B5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2">
    <w:nsid w:val="6BFD1405"/>
    <w:multiLevelType w:val="hybridMultilevel"/>
    <w:tmpl w:val="8ACAF78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3">
    <w:nsid w:val="6D6336D3"/>
    <w:multiLevelType w:val="hybridMultilevel"/>
    <w:tmpl w:val="FD5EA5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4">
    <w:nsid w:val="6DB053E9"/>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5">
    <w:nsid w:val="6FFE3F1E"/>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6">
    <w:nsid w:val="70554863"/>
    <w:multiLevelType w:val="hybridMultilevel"/>
    <w:tmpl w:val="8E8E57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nsid w:val="713964D4"/>
    <w:multiLevelType w:val="multilevel"/>
    <w:tmpl w:val="B830B8FC"/>
    <w:lvl w:ilvl="0">
      <w:start w:val="1"/>
      <w:numFmt w:val="bullet"/>
      <w:lvlText w:val=""/>
      <w:lvlJc w:val="left"/>
      <w:pPr>
        <w:ind w:left="360" w:hanging="360"/>
      </w:pPr>
      <w:rPr>
        <w:rFonts w:ascii="Symbol" w:hAnsi="Symbol" w:hint="default"/>
        <w:i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8">
    <w:nsid w:val="717440DB"/>
    <w:multiLevelType w:val="hybridMultilevel"/>
    <w:tmpl w:val="C72A4DC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9">
    <w:nsid w:val="71924F4A"/>
    <w:multiLevelType w:val="hybridMultilevel"/>
    <w:tmpl w:val="1414AF9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0">
    <w:nsid w:val="754B0E7B"/>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1">
    <w:nsid w:val="75A63E92"/>
    <w:multiLevelType w:val="hybridMultilevel"/>
    <w:tmpl w:val="4936097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2">
    <w:nsid w:val="760B59B3"/>
    <w:multiLevelType w:val="hybridMultilevel"/>
    <w:tmpl w:val="CDE2FAE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3">
    <w:nsid w:val="761009E0"/>
    <w:multiLevelType w:val="hybridMultilevel"/>
    <w:tmpl w:val="EE5E2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6917297"/>
    <w:multiLevelType w:val="hybridMultilevel"/>
    <w:tmpl w:val="A90EE9C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5">
    <w:nsid w:val="7A501C85"/>
    <w:multiLevelType w:val="hybridMultilevel"/>
    <w:tmpl w:val="9F748F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6">
    <w:nsid w:val="7C395C09"/>
    <w:multiLevelType w:val="hybridMultilevel"/>
    <w:tmpl w:val="054A4DA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7">
    <w:nsid w:val="7C4710AA"/>
    <w:multiLevelType w:val="hybridMultilevel"/>
    <w:tmpl w:val="E7B21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C535B68"/>
    <w:multiLevelType w:val="hybridMultilevel"/>
    <w:tmpl w:val="D4B6EF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2"/>
  </w:num>
  <w:num w:numId="6">
    <w:abstractNumId w:val="17"/>
  </w:num>
  <w:num w:numId="7">
    <w:abstractNumId w:val="19"/>
  </w:num>
  <w:num w:numId="8">
    <w:abstractNumId w:val="24"/>
  </w:num>
  <w:num w:numId="9">
    <w:abstractNumId w:val="25"/>
  </w:num>
  <w:num w:numId="10">
    <w:abstractNumId w:val="26"/>
  </w:num>
  <w:num w:numId="11">
    <w:abstractNumId w:val="29"/>
  </w:num>
  <w:num w:numId="12">
    <w:abstractNumId w:val="30"/>
  </w:num>
  <w:num w:numId="13">
    <w:abstractNumId w:val="32"/>
  </w:num>
  <w:num w:numId="14">
    <w:abstractNumId w:val="33"/>
  </w:num>
  <w:num w:numId="15">
    <w:abstractNumId w:val="36"/>
  </w:num>
  <w:num w:numId="16">
    <w:abstractNumId w:val="38"/>
  </w:num>
  <w:num w:numId="17">
    <w:abstractNumId w:val="40"/>
  </w:num>
  <w:num w:numId="18">
    <w:abstractNumId w:val="62"/>
  </w:num>
  <w:num w:numId="19">
    <w:abstractNumId w:val="50"/>
  </w:num>
  <w:num w:numId="20">
    <w:abstractNumId w:val="106"/>
  </w:num>
  <w:num w:numId="21">
    <w:abstractNumId w:val="87"/>
  </w:num>
  <w:num w:numId="22">
    <w:abstractNumId w:val="82"/>
  </w:num>
  <w:num w:numId="23">
    <w:abstractNumId w:val="96"/>
  </w:num>
  <w:num w:numId="24">
    <w:abstractNumId w:val="74"/>
  </w:num>
  <w:num w:numId="25">
    <w:abstractNumId w:val="101"/>
  </w:num>
  <w:num w:numId="26">
    <w:abstractNumId w:val="45"/>
  </w:num>
  <w:num w:numId="27">
    <w:abstractNumId w:val="77"/>
  </w:num>
  <w:num w:numId="28">
    <w:abstractNumId w:val="61"/>
  </w:num>
  <w:num w:numId="29">
    <w:abstractNumId w:val="67"/>
  </w:num>
  <w:num w:numId="30">
    <w:abstractNumId w:val="70"/>
  </w:num>
  <w:num w:numId="31">
    <w:abstractNumId w:val="90"/>
  </w:num>
  <w:num w:numId="32">
    <w:abstractNumId w:val="43"/>
  </w:num>
  <w:num w:numId="33">
    <w:abstractNumId w:val="92"/>
  </w:num>
  <w:num w:numId="34">
    <w:abstractNumId w:val="63"/>
  </w:num>
  <w:num w:numId="35">
    <w:abstractNumId w:val="46"/>
  </w:num>
  <w:num w:numId="36">
    <w:abstractNumId w:val="60"/>
  </w:num>
  <w:num w:numId="37">
    <w:abstractNumId w:val="68"/>
  </w:num>
  <w:num w:numId="38">
    <w:abstractNumId w:val="48"/>
  </w:num>
  <w:num w:numId="39">
    <w:abstractNumId w:val="56"/>
  </w:num>
  <w:num w:numId="40">
    <w:abstractNumId w:val="104"/>
  </w:num>
  <w:num w:numId="41">
    <w:abstractNumId w:val="71"/>
  </w:num>
  <w:num w:numId="42">
    <w:abstractNumId w:val="75"/>
  </w:num>
  <w:num w:numId="43">
    <w:abstractNumId w:val="93"/>
  </w:num>
  <w:num w:numId="44">
    <w:abstractNumId w:val="78"/>
  </w:num>
  <w:num w:numId="45">
    <w:abstractNumId w:val="102"/>
  </w:num>
  <w:num w:numId="46">
    <w:abstractNumId w:val="81"/>
  </w:num>
  <w:num w:numId="47">
    <w:abstractNumId w:val="98"/>
  </w:num>
  <w:num w:numId="48">
    <w:abstractNumId w:val="76"/>
  </w:num>
  <w:num w:numId="49">
    <w:abstractNumId w:val="85"/>
  </w:num>
  <w:num w:numId="50">
    <w:abstractNumId w:val="59"/>
  </w:num>
  <w:num w:numId="51">
    <w:abstractNumId w:val="53"/>
  </w:num>
  <w:num w:numId="52">
    <w:abstractNumId w:val="79"/>
  </w:num>
  <w:num w:numId="53">
    <w:abstractNumId w:val="107"/>
  </w:num>
  <w:num w:numId="54">
    <w:abstractNumId w:val="80"/>
  </w:num>
  <w:num w:numId="55">
    <w:abstractNumId w:val="103"/>
  </w:num>
  <w:num w:numId="56">
    <w:abstractNumId w:val="86"/>
  </w:num>
  <w:num w:numId="57">
    <w:abstractNumId w:val="84"/>
  </w:num>
  <w:num w:numId="58">
    <w:abstractNumId w:val="41"/>
  </w:num>
  <w:num w:numId="59">
    <w:abstractNumId w:val="49"/>
  </w:num>
  <w:num w:numId="60">
    <w:abstractNumId w:val="83"/>
  </w:num>
  <w:num w:numId="61">
    <w:abstractNumId w:val="65"/>
  </w:num>
  <w:num w:numId="62">
    <w:abstractNumId w:val="88"/>
  </w:num>
  <w:num w:numId="63">
    <w:abstractNumId w:val="66"/>
  </w:num>
  <w:num w:numId="64">
    <w:abstractNumId w:val="42"/>
  </w:num>
  <w:num w:numId="65">
    <w:abstractNumId w:val="57"/>
  </w:num>
  <w:num w:numId="66">
    <w:abstractNumId w:val="64"/>
  </w:num>
  <w:num w:numId="67">
    <w:abstractNumId w:val="51"/>
  </w:num>
  <w:num w:numId="68">
    <w:abstractNumId w:val="58"/>
  </w:num>
  <w:num w:numId="69">
    <w:abstractNumId w:val="54"/>
  </w:num>
  <w:num w:numId="70">
    <w:abstractNumId w:val="69"/>
  </w:num>
  <w:num w:numId="71">
    <w:abstractNumId w:val="72"/>
  </w:num>
  <w:num w:numId="72">
    <w:abstractNumId w:val="97"/>
  </w:num>
  <w:num w:numId="73">
    <w:abstractNumId w:val="47"/>
  </w:num>
  <w:num w:numId="74">
    <w:abstractNumId w:val="99"/>
  </w:num>
  <w:num w:numId="75">
    <w:abstractNumId w:val="55"/>
  </w:num>
  <w:num w:numId="76">
    <w:abstractNumId w:val="108"/>
  </w:num>
  <w:num w:numId="77">
    <w:abstractNumId w:val="44"/>
  </w:num>
  <w:num w:numId="78">
    <w:abstractNumId w:val="105"/>
  </w:num>
  <w:num w:numId="79">
    <w:abstractNumId w:val="91"/>
  </w:num>
  <w:num w:numId="80">
    <w:abstractNumId w:val="94"/>
  </w:num>
  <w:num w:numId="81">
    <w:abstractNumId w:val="89"/>
  </w:num>
  <w:num w:numId="82">
    <w:abstractNumId w:val="73"/>
  </w:num>
  <w:num w:numId="83">
    <w:abstractNumId w:val="52"/>
  </w:num>
  <w:num w:numId="84">
    <w:abstractNumId w:val="95"/>
  </w:num>
  <w:num w:numId="85">
    <w:abstractNumId w:val="10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
  <w:rsids>
    <w:rsidRoot w:val="00E932CD"/>
    <w:rsid w:val="000008C0"/>
    <w:rsid w:val="0000544D"/>
    <w:rsid w:val="00017625"/>
    <w:rsid w:val="00032FCE"/>
    <w:rsid w:val="00036B6C"/>
    <w:rsid w:val="0005251E"/>
    <w:rsid w:val="00054DE1"/>
    <w:rsid w:val="00090086"/>
    <w:rsid w:val="00090DA5"/>
    <w:rsid w:val="00096BBA"/>
    <w:rsid w:val="000A2868"/>
    <w:rsid w:val="000A60EB"/>
    <w:rsid w:val="000A75CE"/>
    <w:rsid w:val="000C3E94"/>
    <w:rsid w:val="000D19F0"/>
    <w:rsid w:val="000D690B"/>
    <w:rsid w:val="000E786B"/>
    <w:rsid w:val="00103F6D"/>
    <w:rsid w:val="00106630"/>
    <w:rsid w:val="00120ADD"/>
    <w:rsid w:val="00135DDF"/>
    <w:rsid w:val="00145DB4"/>
    <w:rsid w:val="00176690"/>
    <w:rsid w:val="00182B39"/>
    <w:rsid w:val="00185C94"/>
    <w:rsid w:val="00185D1C"/>
    <w:rsid w:val="001A19A7"/>
    <w:rsid w:val="001A3D1E"/>
    <w:rsid w:val="001B76B2"/>
    <w:rsid w:val="001C2F10"/>
    <w:rsid w:val="001D04A4"/>
    <w:rsid w:val="001D3C50"/>
    <w:rsid w:val="001E0AF9"/>
    <w:rsid w:val="001E1F12"/>
    <w:rsid w:val="001F31A9"/>
    <w:rsid w:val="001F733D"/>
    <w:rsid w:val="002216FC"/>
    <w:rsid w:val="00223809"/>
    <w:rsid w:val="00224F6A"/>
    <w:rsid w:val="00255DC6"/>
    <w:rsid w:val="00270355"/>
    <w:rsid w:val="00284117"/>
    <w:rsid w:val="002B2845"/>
    <w:rsid w:val="002B4CB9"/>
    <w:rsid w:val="002B6F9F"/>
    <w:rsid w:val="002D1B07"/>
    <w:rsid w:val="002E52F5"/>
    <w:rsid w:val="002F2707"/>
    <w:rsid w:val="002F2AE1"/>
    <w:rsid w:val="002F3694"/>
    <w:rsid w:val="003158DF"/>
    <w:rsid w:val="00333801"/>
    <w:rsid w:val="00372564"/>
    <w:rsid w:val="00375E8D"/>
    <w:rsid w:val="00380101"/>
    <w:rsid w:val="00381490"/>
    <w:rsid w:val="0039578C"/>
    <w:rsid w:val="003A3ACC"/>
    <w:rsid w:val="003D1782"/>
    <w:rsid w:val="003E0939"/>
    <w:rsid w:val="003E1530"/>
    <w:rsid w:val="003E1FF6"/>
    <w:rsid w:val="003E4FE0"/>
    <w:rsid w:val="00411FD5"/>
    <w:rsid w:val="00432686"/>
    <w:rsid w:val="004458EE"/>
    <w:rsid w:val="00454CCE"/>
    <w:rsid w:val="00454FA0"/>
    <w:rsid w:val="004551C4"/>
    <w:rsid w:val="00484FAD"/>
    <w:rsid w:val="004930E9"/>
    <w:rsid w:val="004A2861"/>
    <w:rsid w:val="004B215F"/>
    <w:rsid w:val="004B29C5"/>
    <w:rsid w:val="004C14AC"/>
    <w:rsid w:val="00504C61"/>
    <w:rsid w:val="00507529"/>
    <w:rsid w:val="00537A73"/>
    <w:rsid w:val="005410B9"/>
    <w:rsid w:val="005431ED"/>
    <w:rsid w:val="00552478"/>
    <w:rsid w:val="00555F14"/>
    <w:rsid w:val="00584C30"/>
    <w:rsid w:val="005A078F"/>
    <w:rsid w:val="005D3E6C"/>
    <w:rsid w:val="005E0D1B"/>
    <w:rsid w:val="005F2688"/>
    <w:rsid w:val="005F4613"/>
    <w:rsid w:val="00600C47"/>
    <w:rsid w:val="00607603"/>
    <w:rsid w:val="00611A6D"/>
    <w:rsid w:val="006120B1"/>
    <w:rsid w:val="0061351F"/>
    <w:rsid w:val="006152C8"/>
    <w:rsid w:val="0062424B"/>
    <w:rsid w:val="00655D5C"/>
    <w:rsid w:val="00671EA3"/>
    <w:rsid w:val="00691290"/>
    <w:rsid w:val="006A70BA"/>
    <w:rsid w:val="006B5D4E"/>
    <w:rsid w:val="006C6E7F"/>
    <w:rsid w:val="00703728"/>
    <w:rsid w:val="00703980"/>
    <w:rsid w:val="00707EAB"/>
    <w:rsid w:val="0071096C"/>
    <w:rsid w:val="00722EC6"/>
    <w:rsid w:val="00733D9D"/>
    <w:rsid w:val="00776A5D"/>
    <w:rsid w:val="00776F63"/>
    <w:rsid w:val="00777084"/>
    <w:rsid w:val="00793016"/>
    <w:rsid w:val="007B3778"/>
    <w:rsid w:val="007B6B35"/>
    <w:rsid w:val="007C72A5"/>
    <w:rsid w:val="007D1D6F"/>
    <w:rsid w:val="007E3406"/>
    <w:rsid w:val="007E42DA"/>
    <w:rsid w:val="007E5C21"/>
    <w:rsid w:val="007E6857"/>
    <w:rsid w:val="00806E22"/>
    <w:rsid w:val="00810377"/>
    <w:rsid w:val="0082609E"/>
    <w:rsid w:val="00834678"/>
    <w:rsid w:val="00835E2F"/>
    <w:rsid w:val="0085682B"/>
    <w:rsid w:val="00862437"/>
    <w:rsid w:val="00870FBC"/>
    <w:rsid w:val="00871CB3"/>
    <w:rsid w:val="0088088B"/>
    <w:rsid w:val="008A489A"/>
    <w:rsid w:val="008A6308"/>
    <w:rsid w:val="008A7F62"/>
    <w:rsid w:val="008C27CE"/>
    <w:rsid w:val="008E0DA1"/>
    <w:rsid w:val="008E4E7C"/>
    <w:rsid w:val="008F5F16"/>
    <w:rsid w:val="008F7086"/>
    <w:rsid w:val="009004C5"/>
    <w:rsid w:val="00906FB3"/>
    <w:rsid w:val="0091152C"/>
    <w:rsid w:val="00912BD8"/>
    <w:rsid w:val="00917E6D"/>
    <w:rsid w:val="00944F23"/>
    <w:rsid w:val="009461CD"/>
    <w:rsid w:val="0094761F"/>
    <w:rsid w:val="00950BD6"/>
    <w:rsid w:val="00960B5A"/>
    <w:rsid w:val="00963FBF"/>
    <w:rsid w:val="00985D7D"/>
    <w:rsid w:val="00993BD1"/>
    <w:rsid w:val="009A681E"/>
    <w:rsid w:val="009B0577"/>
    <w:rsid w:val="009B376E"/>
    <w:rsid w:val="009C25FB"/>
    <w:rsid w:val="009C7C02"/>
    <w:rsid w:val="009F502E"/>
    <w:rsid w:val="00A07873"/>
    <w:rsid w:val="00A13211"/>
    <w:rsid w:val="00A15328"/>
    <w:rsid w:val="00A535DA"/>
    <w:rsid w:val="00A61584"/>
    <w:rsid w:val="00A739AB"/>
    <w:rsid w:val="00A8081B"/>
    <w:rsid w:val="00A82B13"/>
    <w:rsid w:val="00A95DEE"/>
    <w:rsid w:val="00A96252"/>
    <w:rsid w:val="00AA3F99"/>
    <w:rsid w:val="00AA4728"/>
    <w:rsid w:val="00AA744F"/>
    <w:rsid w:val="00AB20AC"/>
    <w:rsid w:val="00AC18E8"/>
    <w:rsid w:val="00AC4DC7"/>
    <w:rsid w:val="00AC59F6"/>
    <w:rsid w:val="00AC6A39"/>
    <w:rsid w:val="00AC6EFC"/>
    <w:rsid w:val="00AD1F77"/>
    <w:rsid w:val="00AE2896"/>
    <w:rsid w:val="00AE6BCB"/>
    <w:rsid w:val="00AE72C8"/>
    <w:rsid w:val="00B41B4A"/>
    <w:rsid w:val="00B5258B"/>
    <w:rsid w:val="00B573D1"/>
    <w:rsid w:val="00B60429"/>
    <w:rsid w:val="00B6640F"/>
    <w:rsid w:val="00B775D1"/>
    <w:rsid w:val="00B86E4D"/>
    <w:rsid w:val="00B94FD7"/>
    <w:rsid w:val="00B96B25"/>
    <w:rsid w:val="00B97556"/>
    <w:rsid w:val="00B97B7B"/>
    <w:rsid w:val="00BA13D0"/>
    <w:rsid w:val="00BB006D"/>
    <w:rsid w:val="00BC228E"/>
    <w:rsid w:val="00BC37AC"/>
    <w:rsid w:val="00BC7375"/>
    <w:rsid w:val="00BD53BF"/>
    <w:rsid w:val="00BE0ACD"/>
    <w:rsid w:val="00BE1501"/>
    <w:rsid w:val="00BF6A4C"/>
    <w:rsid w:val="00C016D5"/>
    <w:rsid w:val="00C02FFA"/>
    <w:rsid w:val="00C052D2"/>
    <w:rsid w:val="00C06AA8"/>
    <w:rsid w:val="00C24835"/>
    <w:rsid w:val="00C54814"/>
    <w:rsid w:val="00C556DC"/>
    <w:rsid w:val="00C568C8"/>
    <w:rsid w:val="00C57A47"/>
    <w:rsid w:val="00C65919"/>
    <w:rsid w:val="00C7100A"/>
    <w:rsid w:val="00C913ED"/>
    <w:rsid w:val="00CA5B18"/>
    <w:rsid w:val="00CB759C"/>
    <w:rsid w:val="00CB79FB"/>
    <w:rsid w:val="00CC011D"/>
    <w:rsid w:val="00CC428E"/>
    <w:rsid w:val="00CC7287"/>
    <w:rsid w:val="00CD2412"/>
    <w:rsid w:val="00CD49F1"/>
    <w:rsid w:val="00CF196C"/>
    <w:rsid w:val="00D02148"/>
    <w:rsid w:val="00D06A0A"/>
    <w:rsid w:val="00D4085E"/>
    <w:rsid w:val="00D44502"/>
    <w:rsid w:val="00D56F23"/>
    <w:rsid w:val="00D723ED"/>
    <w:rsid w:val="00D73A1B"/>
    <w:rsid w:val="00D809B4"/>
    <w:rsid w:val="00D87E2D"/>
    <w:rsid w:val="00D9134D"/>
    <w:rsid w:val="00D937DA"/>
    <w:rsid w:val="00D948BF"/>
    <w:rsid w:val="00DA6899"/>
    <w:rsid w:val="00DB1FDA"/>
    <w:rsid w:val="00DB30FE"/>
    <w:rsid w:val="00DC3A10"/>
    <w:rsid w:val="00DD0878"/>
    <w:rsid w:val="00DF010B"/>
    <w:rsid w:val="00E137DD"/>
    <w:rsid w:val="00E200B1"/>
    <w:rsid w:val="00E21C15"/>
    <w:rsid w:val="00E47BE6"/>
    <w:rsid w:val="00E60909"/>
    <w:rsid w:val="00E7368E"/>
    <w:rsid w:val="00E932CD"/>
    <w:rsid w:val="00EB15ED"/>
    <w:rsid w:val="00EB3441"/>
    <w:rsid w:val="00EC1DAF"/>
    <w:rsid w:val="00EE5B4B"/>
    <w:rsid w:val="00EE5F3D"/>
    <w:rsid w:val="00EF7F2F"/>
    <w:rsid w:val="00F14555"/>
    <w:rsid w:val="00F155F0"/>
    <w:rsid w:val="00FA05CA"/>
    <w:rsid w:val="00FA67F5"/>
    <w:rsid w:val="00FD1F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Objaśnienie w chmurce 7"/>
        <o:r id="V:Rule2" type="callout" idref="#Objaśnienie w chmurc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widowControl w:val="0"/>
      <w:suppressAutoHyphens/>
      <w:spacing w:line="100" w:lineRule="atLeast"/>
    </w:pPr>
    <w:rPr>
      <w:rFonts w:cs="Arial"/>
      <w:sz w:val="24"/>
      <w:szCs w:val="24"/>
      <w:lang w:val="en-US" w:eastAsia="ar-SA"/>
    </w:rPr>
  </w:style>
  <w:style w:type="paragraph" w:styleId="Nagwek1">
    <w:name w:val="heading 1"/>
    <w:basedOn w:val="Normalny"/>
    <w:next w:val="Tekstpodstawowy"/>
    <w:qFormat/>
    <w:pPr>
      <w:keepNext/>
      <w:numPr>
        <w:numId w:val="1"/>
      </w:numPr>
      <w:outlineLvl w:val="0"/>
    </w:pPr>
    <w:rPr>
      <w:b/>
      <w:szCs w:val="20"/>
    </w:rPr>
  </w:style>
  <w:style w:type="paragraph" w:styleId="Nagwek2">
    <w:name w:val="heading 2"/>
    <w:basedOn w:val="Normalny"/>
    <w:next w:val="Tekstpodstawowy"/>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outlineLvl w:val="2"/>
    </w:pPr>
    <w:rPr>
      <w:caps/>
      <w:color w:val="243F60"/>
      <w:spacing w:val="15"/>
      <w:sz w:val="20"/>
      <w:szCs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Nagwek1Znak">
    <w:name w:val="Nagłówek 1 Znak"/>
    <w:rPr>
      <w:rFonts w:ascii="Times New Roman" w:eastAsia="Times New Roman" w:hAnsi="Times New Roman" w:cs="Times New Roman"/>
      <w:b/>
      <w:sz w:val="24"/>
      <w:szCs w:val="20"/>
    </w:rPr>
  </w:style>
  <w:style w:type="character" w:customStyle="1" w:styleId="Nagwek2Znak">
    <w:name w:val="Nagłówek 2 Znak"/>
    <w:rPr>
      <w:rFonts w:ascii="Arial" w:eastAsia="Times New Roman" w:hAnsi="Arial" w:cs="Times New Roman"/>
      <w:b/>
      <w:bCs/>
      <w:i/>
      <w:iCs/>
      <w:sz w:val="28"/>
      <w:szCs w:val="28"/>
    </w:rPr>
  </w:style>
  <w:style w:type="character" w:customStyle="1" w:styleId="Nagwek3Znak">
    <w:name w:val="Nagłówek 3 Znak"/>
    <w:rPr>
      <w:rFonts w:ascii="Calibri" w:eastAsia="Times New Roman" w:hAnsi="Calibri" w:cs="Times New Roman"/>
      <w:caps/>
      <w:color w:val="243F60"/>
      <w:spacing w:val="15"/>
      <w:sz w:val="20"/>
      <w:szCs w:val="20"/>
    </w:rPr>
  </w:style>
  <w:style w:type="character" w:customStyle="1" w:styleId="AkapitzlistZnak">
    <w:name w:val="Akapit z listą Znak"/>
    <w:rPr>
      <w:rFonts w:ascii="Calibri" w:eastAsia="Calibri" w:hAnsi="Calibri" w:cs="Times New Roman"/>
    </w:rPr>
  </w:style>
  <w:style w:type="character" w:styleId="Pogrubienie">
    <w:name w:val="Strong"/>
    <w:qFormat/>
    <w:rPr>
      <w:b/>
      <w:bCs/>
    </w:rPr>
  </w:style>
  <w:style w:type="character" w:customStyle="1" w:styleId="apple-converted-space">
    <w:name w:val="apple-converted-space"/>
    <w:basedOn w:val="DefaultParagraphFont"/>
  </w:style>
  <w:style w:type="character" w:styleId="Hipercze">
    <w:name w:val="Hyperlink"/>
    <w:semiHidden/>
    <w:rPr>
      <w:color w:val="0000FF"/>
      <w:u w:val="single"/>
      <w:lang/>
    </w:rPr>
  </w:style>
  <w:style w:type="character" w:customStyle="1" w:styleId="element-invisible">
    <w:name w:val="element-invisible"/>
    <w:basedOn w:val="DefaultParagraphFont"/>
  </w:style>
  <w:style w:type="character" w:customStyle="1" w:styleId="NagwekZnak">
    <w:name w:val="Nagłówek Znak"/>
    <w:uiPriority w:val="99"/>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TekstdymkaZnak">
    <w:name w:val="Tekst dymka Znak"/>
    <w:rPr>
      <w:rFonts w:ascii="Tahoma" w:eastAsia="Calibri" w:hAnsi="Tahoma" w:cs="Times New Roman"/>
      <w:sz w:val="16"/>
      <w:szCs w:val="16"/>
    </w:rPr>
  </w:style>
  <w:style w:type="character" w:customStyle="1" w:styleId="IntenseEmphasis">
    <w:name w:val="Intense Emphasis"/>
    <w:rPr>
      <w:b/>
      <w:bCs/>
      <w:i/>
      <w:iCs/>
      <w:color w:val="4F81BD"/>
    </w:rPr>
  </w:style>
  <w:style w:type="character" w:customStyle="1" w:styleId="b">
    <w:name w:val="b"/>
    <w:basedOn w:val="DefaultParagraphFont"/>
  </w:style>
  <w:style w:type="character" w:styleId="Uwydatnienie">
    <w:name w:val="Emphasis"/>
    <w:qFormat/>
    <w:rPr>
      <w:i/>
      <w:iCs/>
    </w:rPr>
  </w:style>
  <w:style w:type="character" w:customStyle="1" w:styleId="Domylnaczcionkaakapitu1">
    <w:name w:val="Domyślna czcionka akapitu1"/>
  </w:style>
  <w:style w:type="character" w:customStyle="1" w:styleId="BezodstpwZnak">
    <w:name w:val="Bez odstępów Znak"/>
    <w:rPr>
      <w:rFonts w:ascii="Calibri" w:eastAsia="Calibri" w:hAnsi="Calibri" w:cs="Times New Roman"/>
    </w:rPr>
  </w:style>
  <w:style w:type="character" w:customStyle="1" w:styleId="TekstpodstawowyZnak">
    <w:name w:val="Tekst podstawowy Znak"/>
    <w:rPr>
      <w:rFonts w:ascii="Times New Roman" w:eastAsia="Lucida Sans Unicode" w:hAnsi="Times New Roman" w:cs="Times New Roman"/>
      <w:sz w:val="24"/>
      <w:szCs w:val="20"/>
    </w:rPr>
  </w:style>
  <w:style w:type="character" w:customStyle="1" w:styleId="CharStyle3">
    <w:name w:val="Char Style 3"/>
    <w:rPr>
      <w:spacing w:val="10"/>
      <w:sz w:val="18"/>
      <w:szCs w:val="18"/>
    </w:rPr>
  </w:style>
  <w:style w:type="character" w:customStyle="1" w:styleId="HTMLTypewriter">
    <w:name w:val="HTML Typewriter"/>
    <w:rPr>
      <w:rFonts w:ascii="Courier New" w:eastAsia="Times New Roman" w:hAnsi="Courier New" w:cs="Courier New"/>
      <w:sz w:val="20"/>
      <w:szCs w:val="20"/>
    </w:rPr>
  </w:style>
  <w:style w:type="character" w:customStyle="1" w:styleId="Tekstpodstawowywcity2Znak">
    <w:name w:val="Tekst podstawowy wcięty 2 Znak"/>
    <w:rPr>
      <w:rFonts w:ascii="Calibri" w:eastAsia="Calibri" w:hAnsi="Calibri" w:cs="Times New Roman"/>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pagenumber">
    <w:name w:val="page number"/>
    <w:basedOn w:val="DefaultParagraphFont"/>
  </w:style>
  <w:style w:type="character" w:customStyle="1" w:styleId="st">
    <w:name w:val="st"/>
    <w:basedOn w:val="DefaultParagraphFont"/>
  </w:style>
  <w:style w:type="character" w:customStyle="1" w:styleId="Tekstpodstawowywcity3Znak">
    <w:name w:val="Tekst podstawowy wcięty 3 Znak"/>
    <w:rPr>
      <w:rFonts w:ascii="Calibri" w:eastAsia="Calibri" w:hAnsi="Calibri" w:cs="Times New Roman"/>
      <w:sz w:val="16"/>
      <w:szCs w:val="16"/>
    </w:rPr>
  </w:style>
  <w:style w:type="character" w:customStyle="1" w:styleId="CharStyle9">
    <w:name w:val="Char Style 9"/>
    <w:rPr>
      <w:b/>
      <w:bCs/>
      <w:sz w:val="28"/>
      <w:szCs w:val="28"/>
    </w:rPr>
  </w:style>
  <w:style w:type="character" w:customStyle="1" w:styleId="CharStyle14">
    <w:name w:val="Char Style 14"/>
    <w:rPr>
      <w:b/>
      <w:bCs/>
      <w:sz w:val="18"/>
      <w:szCs w:val="18"/>
    </w:rPr>
  </w:style>
  <w:style w:type="character" w:customStyle="1" w:styleId="CharStyle20">
    <w:name w:val="Char Style 20"/>
    <w:rPr>
      <w:i/>
      <w:iCs/>
      <w:sz w:val="18"/>
      <w:szCs w:val="18"/>
    </w:rPr>
  </w:style>
  <w:style w:type="character" w:customStyle="1" w:styleId="CharStyle15">
    <w:name w:val="Char Style 15"/>
    <w:rPr>
      <w:b/>
      <w:bCs/>
      <w:sz w:val="18"/>
      <w:szCs w:val="18"/>
    </w:rPr>
  </w:style>
  <w:style w:type="character" w:customStyle="1" w:styleId="CharStyle60">
    <w:name w:val="Char Style 60"/>
    <w:rPr>
      <w:b/>
      <w:bCs/>
      <w:i/>
      <w:iCs/>
      <w:sz w:val="18"/>
      <w:szCs w:val="18"/>
    </w:rPr>
  </w:style>
  <w:style w:type="character" w:customStyle="1" w:styleId="alb">
    <w:name w:val="a_lb"/>
    <w:rPr>
      <w:rFonts w:cs="Times New Roman"/>
    </w:rPr>
  </w:style>
  <w:style w:type="character" w:customStyle="1" w:styleId="FontStyle15">
    <w:name w:val="Font Style15"/>
    <w:rPr>
      <w:rFonts w:ascii="Garamond" w:hAnsi="Garamond" w:cs="Garamond"/>
      <w:b/>
      <w:bCs/>
      <w:sz w:val="16"/>
      <w:szCs w:val="16"/>
    </w:rPr>
  </w:style>
  <w:style w:type="character" w:customStyle="1" w:styleId="Nagwek4">
    <w:name w:val="Nagłówek #4_"/>
    <w:rPr>
      <w:rFonts w:ascii="Arial" w:hAnsi="Arial" w:cs="Arial"/>
      <w:b/>
      <w:bCs/>
    </w:rPr>
  </w:style>
  <w:style w:type="character" w:customStyle="1" w:styleId="hps">
    <w:name w:val="hps"/>
    <w:basedOn w:val="DefaultParagraphFont"/>
  </w:style>
  <w:style w:type="character" w:customStyle="1" w:styleId="grame">
    <w:name w:val="grame"/>
  </w:style>
  <w:style w:type="character" w:customStyle="1" w:styleId="CharStyle16">
    <w:name w:val="Char Style 16"/>
    <w:rPr>
      <w:sz w:val="23"/>
      <w:szCs w:val="23"/>
    </w:rPr>
  </w:style>
  <w:style w:type="character" w:customStyle="1" w:styleId="annotationreference">
    <w:name w:val="annotation reference"/>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PodpisZnak">
    <w:name w:val="Podpis Znak"/>
    <w:rPr>
      <w:rFonts w:ascii="Calibri" w:eastAsia="Calibri" w:hAnsi="Calibri" w:cs="Mangal"/>
      <w:i/>
      <w:iCs/>
      <w:sz w:val="24"/>
      <w:szCs w:val="24"/>
    </w:rPr>
  </w:style>
  <w:style w:type="character" w:customStyle="1" w:styleId="Hipercze1">
    <w:name w:val="Hiperłącze1"/>
    <w:rPr>
      <w:color w:val="0000FF"/>
      <w:u w:val="single"/>
    </w:rPr>
  </w:style>
  <w:style w:type="character" w:customStyle="1" w:styleId="TekstprzypisudolnegoZnak">
    <w:name w:val="Tekst przypisu dolnego Znak"/>
    <w:rPr>
      <w:rFonts w:ascii="Calibri" w:eastAsia="Calibri" w:hAnsi="Calibri" w:cs="Times New Roman"/>
      <w:sz w:val="20"/>
      <w:szCs w:val="20"/>
    </w:rPr>
  </w:style>
  <w:style w:type="character" w:customStyle="1" w:styleId="footnotereference">
    <w:name w:val="footnote reference"/>
    <w:rPr>
      <w:vertAlign w:val="superscript"/>
    </w:rPr>
  </w:style>
  <w:style w:type="character" w:customStyle="1" w:styleId="TekstprzypisukocowegoZnak">
    <w:name w:val="Tekst przypisu końcowego Znak"/>
    <w:rPr>
      <w:rFonts w:ascii="Calibri" w:eastAsia="Calibri" w:hAnsi="Calibri" w:cs="Times New Roman"/>
      <w:sz w:val="20"/>
      <w:szCs w:val="20"/>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b w:val="0"/>
    </w:rPr>
  </w:style>
  <w:style w:type="character" w:customStyle="1" w:styleId="ListLabel5">
    <w:name w:val="ListLabel 5"/>
    <w:rPr>
      <w:i w:val="0"/>
    </w:rPr>
  </w:style>
  <w:style w:type="character" w:customStyle="1" w:styleId="ListLabel6">
    <w:name w:val="ListLabel 6"/>
    <w:rPr>
      <w:color w:val="00000A"/>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semiHidden/>
    <w:pPr>
      <w:widowControl/>
      <w:spacing w:after="200" w:line="276" w:lineRule="auto"/>
    </w:pPr>
    <w:rPr>
      <w:rFonts w:ascii="Calibri" w:eastAsia="Calibri" w:hAnsi="Calibri" w:cs="Calibri"/>
      <w:kern w:val="1"/>
      <w:sz w:val="28"/>
      <w:szCs w:val="22"/>
      <w:lang w:val="pl-PL"/>
    </w:rPr>
  </w:style>
  <w:style w:type="paragraph" w:styleId="Lista">
    <w:name w:val="List"/>
    <w:basedOn w:val="Normalny"/>
    <w:semiHidden/>
    <w:pPr>
      <w:ind w:left="283" w:hanging="283"/>
    </w:pPr>
  </w:style>
  <w:style w:type="paragraph" w:styleId="Podpis">
    <w:name w:val="Signature"/>
    <w:basedOn w:val="Normalny"/>
    <w:semiHidden/>
    <w:pPr>
      <w:suppressLineNumbers/>
      <w:spacing w:before="120" w:after="120"/>
    </w:pPr>
    <w:rPr>
      <w:rFonts w:cs="Mangal"/>
      <w:i/>
      <w:iCs/>
    </w:rPr>
  </w:style>
  <w:style w:type="paragraph" w:customStyle="1" w:styleId="Indeks">
    <w:name w:val="Indeks"/>
    <w:basedOn w:val="Normalny"/>
    <w:pPr>
      <w:suppressLineNumbers/>
    </w:pPr>
  </w:style>
  <w:style w:type="paragraph" w:customStyle="1" w:styleId="ListParagraph">
    <w:name w:val="List Paragraph"/>
    <w:basedOn w:val="Normalny"/>
    <w:pPr>
      <w:ind w:left="708"/>
    </w:pPr>
  </w:style>
  <w:style w:type="paragraph" w:customStyle="1" w:styleId="NormalWeb">
    <w:name w:val="Normal (Web)"/>
    <w:basedOn w:val="Normalny"/>
    <w:pPr>
      <w:spacing w:before="100" w:after="100"/>
    </w:pPr>
  </w:style>
  <w:style w:type="paragraph" w:styleId="Nagwek0">
    <w:name w:val="header"/>
    <w:basedOn w:val="Normalny"/>
    <w:uiPriority w:val="99"/>
    <w:pPr>
      <w:suppressLineNumbers/>
      <w:tabs>
        <w:tab w:val="center" w:pos="4536"/>
        <w:tab w:val="right" w:pos="9072"/>
      </w:tabs>
    </w:pPr>
  </w:style>
  <w:style w:type="paragraph" w:styleId="Stopka">
    <w:name w:val="footer"/>
    <w:basedOn w:val="Normalny"/>
    <w:semiHidden/>
    <w:pPr>
      <w:suppressLineNumbers/>
      <w:tabs>
        <w:tab w:val="center" w:pos="4536"/>
        <w:tab w:val="right" w:pos="9072"/>
      </w:tabs>
    </w:pPr>
  </w:style>
  <w:style w:type="paragraph" w:customStyle="1" w:styleId="BalloonText">
    <w:name w:val="Balloon Text"/>
    <w:basedOn w:val="Normalny"/>
    <w:rPr>
      <w:rFonts w:ascii="Tahoma" w:hAnsi="Tahoma"/>
      <w:sz w:val="16"/>
      <w:szCs w:val="16"/>
    </w:rPr>
  </w:style>
  <w:style w:type="paragraph" w:customStyle="1" w:styleId="tekstbezwciecia">
    <w:name w:val="_tekst_bez_wciecia"/>
    <w:pPr>
      <w:suppressAutoHyphens/>
      <w:spacing w:line="288" w:lineRule="auto"/>
      <w:jc w:val="both"/>
    </w:pPr>
    <w:rPr>
      <w:rFonts w:ascii="Arial" w:eastAsia="Lucida Sans Unicode" w:hAnsi="Arial"/>
      <w:sz w:val="24"/>
      <w:szCs w:val="24"/>
      <w:lang w:eastAsia="ar-SA"/>
    </w:rPr>
  </w:style>
  <w:style w:type="paragraph" w:customStyle="1" w:styleId="Zawartotabeli">
    <w:name w:val="Zawartość tabeli"/>
    <w:basedOn w:val="Normalny"/>
    <w:uiPriority w:val="99"/>
    <w:qFormat/>
    <w:pPr>
      <w:suppressLineNumbers/>
    </w:pPr>
    <w:rPr>
      <w:rFonts w:eastAsia="Lucida Sans Unicode" w:cs="Mangal"/>
      <w:kern w:val="1"/>
      <w:lang w:eastAsia="hi-IN" w:bidi="hi-IN"/>
    </w:rPr>
  </w:style>
  <w:style w:type="paragraph" w:customStyle="1" w:styleId="NoSpacing">
    <w:name w:val="No Spacing"/>
    <w:pPr>
      <w:suppressAutoHyphens/>
      <w:spacing w:line="100" w:lineRule="atLeast"/>
    </w:pPr>
    <w:rPr>
      <w:rFonts w:ascii="Calibri" w:eastAsia="Calibri" w:hAnsi="Calibri"/>
      <w:sz w:val="22"/>
      <w:szCs w:val="22"/>
      <w:lang w:eastAsia="ar-SA"/>
    </w:rPr>
  </w:style>
  <w:style w:type="paragraph" w:customStyle="1" w:styleId="Style2">
    <w:name w:val="Style 2"/>
    <w:basedOn w:val="Normalny"/>
    <w:pPr>
      <w:shd w:val="clear" w:color="auto" w:fill="FFFFFF"/>
      <w:spacing w:line="547" w:lineRule="exact"/>
      <w:ind w:hanging="320"/>
    </w:pPr>
    <w:rPr>
      <w:rFonts w:ascii="Calibri" w:hAnsi="Calibri" w:cs="font526"/>
      <w:spacing w:val="10"/>
      <w:sz w:val="18"/>
      <w:szCs w:val="18"/>
    </w:rPr>
  </w:style>
  <w:style w:type="paragraph" w:customStyle="1" w:styleId="Default">
    <w:name w:val="Default"/>
    <w:pPr>
      <w:suppressAutoHyphens/>
      <w:spacing w:line="100" w:lineRule="atLeast"/>
    </w:pPr>
    <w:rPr>
      <w:rFonts w:eastAsia="Calibri"/>
      <w:color w:val="000000"/>
      <w:sz w:val="24"/>
      <w:szCs w:val="24"/>
      <w:lang w:eastAsia="ar-SA"/>
    </w:rPr>
  </w:style>
  <w:style w:type="paragraph" w:customStyle="1" w:styleId="BodyTextIndent2">
    <w:name w:val="Body Text Indent 2"/>
    <w:basedOn w:val="Normalny"/>
    <w:pPr>
      <w:spacing w:after="120" w:line="480" w:lineRule="auto"/>
      <w:ind w:left="283"/>
    </w:pPr>
  </w:style>
  <w:style w:type="paragraph" w:customStyle="1" w:styleId="western">
    <w:name w:val="western"/>
    <w:basedOn w:val="Normalny"/>
    <w:pPr>
      <w:spacing w:before="280" w:after="119"/>
    </w:pPr>
    <w:rPr>
      <w:sz w:val="20"/>
      <w:szCs w:val="20"/>
    </w:rPr>
  </w:style>
  <w:style w:type="paragraph" w:customStyle="1" w:styleId="BodyText2">
    <w:name w:val="Body Text 2"/>
    <w:basedOn w:val="Normalny"/>
    <w:pPr>
      <w:jc w:val="both"/>
    </w:pPr>
    <w:rPr>
      <w:szCs w:val="20"/>
    </w:rPr>
  </w:style>
  <w:style w:type="paragraph" w:customStyle="1" w:styleId="BodyText3">
    <w:name w:val="Body Text 3"/>
    <w:basedOn w:val="Normalny"/>
    <w:rPr>
      <w:szCs w:val="20"/>
    </w:rPr>
  </w:style>
  <w:style w:type="paragraph" w:styleId="Tekstpodstawowywcity">
    <w:name w:val="Body Text Indent"/>
    <w:basedOn w:val="Normalny"/>
    <w:semiHidden/>
    <w:pPr>
      <w:ind w:left="624" w:firstLine="20"/>
      <w:jc w:val="both"/>
    </w:pPr>
    <w:rPr>
      <w:szCs w:val="20"/>
    </w:rPr>
  </w:style>
  <w:style w:type="paragraph" w:customStyle="1" w:styleId="BodyTextIndent3">
    <w:name w:val="Body Text Indent 3"/>
    <w:basedOn w:val="Normalny"/>
    <w:pPr>
      <w:spacing w:after="120"/>
      <w:ind w:left="283"/>
    </w:pPr>
    <w:rPr>
      <w:sz w:val="16"/>
      <w:szCs w:val="16"/>
    </w:rPr>
  </w:style>
  <w:style w:type="paragraph" w:customStyle="1" w:styleId="Nagwektabeli">
    <w:name w:val="Nagłówek tabeli"/>
    <w:basedOn w:val="Zawartotabeli"/>
    <w:pPr>
      <w:spacing w:after="120"/>
      <w:jc w:val="center"/>
    </w:pPr>
    <w:rPr>
      <w:rFonts w:cs="Times New Roman"/>
      <w:b/>
      <w:bCs/>
      <w:i/>
      <w:iCs/>
      <w:color w:val="000000"/>
      <w:lang w:eastAsia="ar-SA" w:bidi="ar-SA"/>
    </w:rPr>
  </w:style>
  <w:style w:type="paragraph" w:customStyle="1" w:styleId="Style8">
    <w:name w:val="Style 8"/>
    <w:basedOn w:val="Normalny"/>
    <w:pPr>
      <w:shd w:val="clear" w:color="auto" w:fill="FFFFFF"/>
      <w:spacing w:after="120" w:line="240" w:lineRule="atLeast"/>
      <w:ind w:hanging="140"/>
      <w:jc w:val="both"/>
    </w:pPr>
    <w:rPr>
      <w:rFonts w:ascii="Calibri" w:hAnsi="Calibri" w:cs="font526"/>
      <w:b/>
      <w:bCs/>
      <w:sz w:val="28"/>
      <w:szCs w:val="28"/>
    </w:rPr>
  </w:style>
  <w:style w:type="paragraph" w:customStyle="1" w:styleId="Style13">
    <w:name w:val="Style 13"/>
    <w:basedOn w:val="Normalny"/>
    <w:pPr>
      <w:shd w:val="clear" w:color="auto" w:fill="FFFFFF"/>
      <w:spacing w:before="120" w:after="240" w:line="259" w:lineRule="exact"/>
      <w:jc w:val="both"/>
    </w:pPr>
    <w:rPr>
      <w:rFonts w:ascii="Calibri" w:hAnsi="Calibri" w:cs="font526"/>
      <w:b/>
      <w:bCs/>
      <w:sz w:val="18"/>
      <w:szCs w:val="18"/>
    </w:rPr>
  </w:style>
  <w:style w:type="paragraph" w:customStyle="1" w:styleId="Style19">
    <w:name w:val="Style 19"/>
    <w:basedOn w:val="Normalny"/>
    <w:pPr>
      <w:shd w:val="clear" w:color="auto" w:fill="FFFFFF"/>
      <w:spacing w:after="120" w:line="192" w:lineRule="exact"/>
      <w:jc w:val="both"/>
    </w:pPr>
    <w:rPr>
      <w:rFonts w:ascii="Calibri" w:hAnsi="Calibri" w:cs="font526"/>
      <w:i/>
      <w:iCs/>
      <w:sz w:val="18"/>
      <w:szCs w:val="18"/>
    </w:rPr>
  </w:style>
  <w:style w:type="paragraph" w:customStyle="1" w:styleId="NoSpacing1">
    <w:name w:val="No Spacing1"/>
    <w:pPr>
      <w:suppressAutoHyphens/>
      <w:spacing w:line="100" w:lineRule="atLeast"/>
    </w:pPr>
    <w:rPr>
      <w:rFonts w:ascii="Calibri" w:hAnsi="Calibri"/>
      <w:sz w:val="22"/>
      <w:szCs w:val="22"/>
      <w:lang w:eastAsia="ar-SA"/>
    </w:rPr>
  </w:style>
  <w:style w:type="paragraph" w:customStyle="1" w:styleId="Nagwek41">
    <w:name w:val="Nagłówek #41"/>
    <w:basedOn w:val="Normalny"/>
    <w:pPr>
      <w:shd w:val="clear" w:color="auto" w:fill="FFFFFF"/>
      <w:spacing w:line="555" w:lineRule="exact"/>
      <w:jc w:val="center"/>
    </w:pPr>
    <w:rPr>
      <w:rFonts w:ascii="Arial" w:hAnsi="Arial"/>
      <w:b/>
      <w:bCs/>
    </w:rPr>
  </w:style>
  <w:style w:type="paragraph" w:customStyle="1" w:styleId="Akapitzlist1">
    <w:name w:val="Akapit z listą1"/>
    <w:pPr>
      <w:widowControl w:val="0"/>
      <w:suppressAutoHyphens/>
      <w:spacing w:line="100" w:lineRule="atLeast"/>
      <w:ind w:left="720"/>
    </w:pPr>
    <w:rPr>
      <w:rFonts w:eastAsia="Lucida Sans Unicode"/>
      <w:kern w:val="1"/>
      <w:sz w:val="24"/>
      <w:szCs w:val="24"/>
      <w:lang w:eastAsia="ar-SA"/>
    </w:rPr>
  </w:style>
  <w:style w:type="paragraph" w:customStyle="1" w:styleId="Style15">
    <w:name w:val="Style 15"/>
    <w:basedOn w:val="Normalny"/>
    <w:pPr>
      <w:shd w:val="clear" w:color="auto" w:fill="FFFFFF"/>
      <w:spacing w:before="420" w:line="276" w:lineRule="exact"/>
      <w:ind w:hanging="440"/>
      <w:jc w:val="both"/>
    </w:pPr>
    <w:rPr>
      <w:rFonts w:ascii="Calibri" w:hAnsi="Calibri" w:cs="font526"/>
      <w:sz w:val="23"/>
      <w:szCs w:val="23"/>
    </w:rPr>
  </w:style>
  <w:style w:type="paragraph" w:customStyle="1" w:styleId="annotationtext">
    <w:name w:val="annotation text"/>
    <w:basedOn w:val="Normalny"/>
    <w:rPr>
      <w:sz w:val="20"/>
      <w:szCs w:val="20"/>
    </w:rPr>
  </w:style>
  <w:style w:type="paragraph" w:customStyle="1" w:styleId="annotationsubject">
    <w:name w:val="annotation subject"/>
    <w:basedOn w:val="annotationtext"/>
    <w:rPr>
      <w:b/>
      <w:bCs/>
    </w:rPr>
  </w:style>
  <w:style w:type="paragraph" w:customStyle="1" w:styleId="Bezodstpw1">
    <w:name w:val="Bez odstępów1"/>
    <w:pPr>
      <w:suppressAutoHyphens/>
      <w:spacing w:line="100" w:lineRule="atLeast"/>
    </w:pPr>
    <w:rPr>
      <w:rFonts w:ascii="Calibri" w:eastAsia="Calibri" w:hAnsi="Calibri"/>
      <w:kern w:val="1"/>
      <w:sz w:val="24"/>
      <w:szCs w:val="24"/>
      <w:lang w:eastAsia="hi-IN" w:bidi="hi-IN"/>
    </w:rPr>
  </w:style>
  <w:style w:type="paragraph" w:customStyle="1" w:styleId="footnotetext">
    <w:name w:val="footnote text"/>
    <w:basedOn w:val="Normalny"/>
    <w:rPr>
      <w:sz w:val="20"/>
      <w:szCs w:val="20"/>
    </w:rPr>
  </w:style>
  <w:style w:type="paragraph" w:customStyle="1" w:styleId="endnotetext">
    <w:name w:val="endnote text"/>
    <w:basedOn w:val="Normalny"/>
    <w:rPr>
      <w:sz w:val="20"/>
      <w:szCs w:val="20"/>
    </w:rPr>
  </w:style>
  <w:style w:type="paragraph" w:styleId="Nagwekspisutreci">
    <w:name w:val="TOC Heading"/>
    <w:basedOn w:val="Nagwek1"/>
    <w:qFormat/>
    <w:pPr>
      <w:keepLines/>
      <w:numPr>
        <w:numId w:val="0"/>
      </w:numPr>
      <w:suppressLineNumbers/>
      <w:spacing w:before="240" w:line="259" w:lineRule="auto"/>
    </w:pPr>
    <w:rPr>
      <w:rFonts w:ascii="Cambria" w:hAnsi="Cambria" w:cs="font526"/>
      <w:b w:val="0"/>
      <w:bCs/>
      <w:color w:val="365F91"/>
      <w:sz w:val="32"/>
      <w:szCs w:val="32"/>
    </w:rPr>
  </w:style>
  <w:style w:type="paragraph" w:styleId="Spistreci1">
    <w:name w:val="toc 1"/>
    <w:basedOn w:val="Normalny"/>
    <w:semiHidden/>
    <w:pPr>
      <w:tabs>
        <w:tab w:val="left" w:pos="567"/>
        <w:tab w:val="right" w:leader="dot" w:pos="9060"/>
      </w:tabs>
      <w:spacing w:before="120"/>
      <w:ind w:left="567" w:hanging="567"/>
    </w:pPr>
  </w:style>
  <w:style w:type="paragraph" w:styleId="Spistreci2">
    <w:name w:val="toc 2"/>
    <w:basedOn w:val="Normalny"/>
    <w:semiHidden/>
    <w:pPr>
      <w:tabs>
        <w:tab w:val="right" w:leader="dot" w:pos="9346"/>
      </w:tabs>
      <w:ind w:left="567"/>
    </w:pPr>
  </w:style>
  <w:style w:type="paragraph" w:styleId="Spistreci3">
    <w:name w:val="toc 3"/>
    <w:basedOn w:val="Normalny"/>
    <w:semiHidden/>
    <w:pPr>
      <w:tabs>
        <w:tab w:val="right" w:leader="dot" w:pos="9072"/>
      </w:tabs>
      <w:spacing w:after="100" w:line="259" w:lineRule="auto"/>
      <w:ind w:left="440"/>
    </w:pPr>
    <w:rPr>
      <w:rFonts w:ascii="Calibri" w:hAnsi="Calibri" w:cs="font526"/>
    </w:rPr>
  </w:style>
  <w:style w:type="paragraph" w:styleId="NormalnyWeb">
    <w:name w:val="Normal (Web)"/>
    <w:basedOn w:val="Normalny"/>
    <w:uiPriority w:val="99"/>
    <w:qFormat/>
    <w:pPr>
      <w:widowControl/>
      <w:suppressAutoHyphens w:val="0"/>
      <w:spacing w:before="100" w:beforeAutospacing="1" w:after="119" w:line="240" w:lineRule="auto"/>
    </w:pPr>
    <w:rPr>
      <w:rFonts w:cs="Times New Roman"/>
      <w:lang w:val="pl-PL" w:eastAsia="pl-PL"/>
    </w:rPr>
  </w:style>
  <w:style w:type="paragraph" w:styleId="Tekstpodstawowy2">
    <w:name w:val="Body Text 2"/>
    <w:basedOn w:val="Normalny"/>
    <w:semiHidden/>
    <w:pPr>
      <w:jc w:val="both"/>
    </w:pPr>
    <w:rPr>
      <w:i/>
      <w:color w:val="FF0000"/>
      <w:lang w:val="pl-PL"/>
    </w:rPr>
  </w:style>
  <w:style w:type="paragraph" w:styleId="Tekstdymka">
    <w:name w:val="Balloon Text"/>
    <w:basedOn w:val="Normalny"/>
    <w:link w:val="TekstdymkaZnak1"/>
    <w:uiPriority w:val="99"/>
    <w:semiHidden/>
    <w:unhideWhenUsed/>
    <w:rsid w:val="00703980"/>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703980"/>
    <w:rPr>
      <w:rFonts w:ascii="Tahoma" w:hAnsi="Tahoma" w:cs="Tahoma"/>
      <w:sz w:val="16"/>
      <w:szCs w:val="16"/>
      <w:lang w:val="en-US" w:eastAsia="ar-SA"/>
    </w:rPr>
  </w:style>
  <w:style w:type="character" w:customStyle="1" w:styleId="HTML-staaszeroko1">
    <w:name w:val="HTML - stała szerokość1"/>
    <w:rsid w:val="00380101"/>
    <w:rPr>
      <w:rFonts w:ascii="Courier New" w:eastAsia="Times New Roman" w:hAnsi="Courier New" w:cs="Courier New"/>
      <w:sz w:val="20"/>
      <w:szCs w:val="20"/>
    </w:rPr>
  </w:style>
  <w:style w:type="paragraph" w:customStyle="1" w:styleId="NormalnyWeb1">
    <w:name w:val="Normalny (Web)1"/>
    <w:basedOn w:val="Normalny"/>
    <w:rsid w:val="00380101"/>
    <w:pPr>
      <w:spacing w:before="100" w:after="100"/>
    </w:pPr>
  </w:style>
  <w:style w:type="table" w:styleId="Tabela-Siatka">
    <w:name w:val="Table Grid"/>
    <w:basedOn w:val="Standardowy"/>
    <w:uiPriority w:val="59"/>
    <w:rsid w:val="00DA689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3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mapaakustyczna.um.torun.pl/Portal/AirPorta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B6EE-938E-45A2-AACE-7761053C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31676</Words>
  <Characters>190056</Characters>
  <Application>Microsoft Office Word</Application>
  <DocSecurity>0</DocSecurity>
  <Lines>1583</Lines>
  <Paragraphs>442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221290</CharactersWithSpaces>
  <SharedDoc>false</SharedDoc>
  <HLinks>
    <vt:vector size="6" baseType="variant">
      <vt:variant>
        <vt:i4>3932214</vt:i4>
      </vt:variant>
      <vt:variant>
        <vt:i4>3</vt:i4>
      </vt:variant>
      <vt:variant>
        <vt:i4>0</vt:i4>
      </vt:variant>
      <vt:variant>
        <vt:i4>5</vt:i4>
      </vt:variant>
      <vt:variant>
        <vt:lpwstr>http://mapaakustyczna.um.torun.pl/Portal/AirPortal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m.stasiuk</dc:creator>
  <cp:lastModifiedBy>Paweł Piotrowicz</cp:lastModifiedBy>
  <cp:revision>2</cp:revision>
  <cp:lastPrinted>2021-05-25T07:26:00Z</cp:lastPrinted>
  <dcterms:created xsi:type="dcterms:W3CDTF">2021-05-25T11:45:00Z</dcterms:created>
  <dcterms:modified xsi:type="dcterms:W3CDTF">2021-05-25T11:45:00Z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