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CA" w:rsidRPr="00F26EE3" w:rsidRDefault="009145CA" w:rsidP="009145CA">
      <w:pPr>
        <w:ind w:left="6096" w:right="70"/>
        <w:rPr>
          <w:color w:val="000000" w:themeColor="text1"/>
        </w:rPr>
      </w:pPr>
      <w:bookmarkStart w:id="0" w:name="_GoBack"/>
      <w:bookmarkEnd w:id="0"/>
      <w:r w:rsidRPr="00F26EE3">
        <w:rPr>
          <w:color w:val="000000" w:themeColor="text1"/>
        </w:rPr>
        <w:t xml:space="preserve">Załącznik </w:t>
      </w:r>
    </w:p>
    <w:p w:rsidR="009145CA" w:rsidRPr="00F26EE3" w:rsidRDefault="009145CA" w:rsidP="009145CA">
      <w:pPr>
        <w:ind w:left="6096" w:right="70"/>
        <w:rPr>
          <w:color w:val="000000" w:themeColor="text1"/>
        </w:rPr>
      </w:pPr>
      <w:r w:rsidRPr="00F26EE3">
        <w:rPr>
          <w:color w:val="000000" w:themeColor="text1"/>
        </w:rPr>
        <w:t>do uchwały nr 82</w:t>
      </w:r>
      <w:r>
        <w:rPr>
          <w:color w:val="000000" w:themeColor="text1"/>
        </w:rPr>
        <w:t>9</w:t>
      </w:r>
      <w:r w:rsidRPr="00F26EE3">
        <w:rPr>
          <w:color w:val="000000" w:themeColor="text1"/>
        </w:rPr>
        <w:t>/22</w:t>
      </w:r>
    </w:p>
    <w:p w:rsidR="009145CA" w:rsidRPr="00F26EE3" w:rsidRDefault="009145CA" w:rsidP="009145CA">
      <w:pPr>
        <w:ind w:left="6096" w:right="70"/>
        <w:rPr>
          <w:color w:val="000000" w:themeColor="text1"/>
        </w:rPr>
      </w:pPr>
      <w:r w:rsidRPr="00F26EE3">
        <w:rPr>
          <w:color w:val="000000" w:themeColor="text1"/>
        </w:rPr>
        <w:t>Rady Miasta Torunia</w:t>
      </w:r>
    </w:p>
    <w:p w:rsidR="009145CA" w:rsidRPr="00F26EE3" w:rsidRDefault="009145CA" w:rsidP="009145CA">
      <w:pPr>
        <w:ind w:left="6096" w:right="70"/>
        <w:rPr>
          <w:color w:val="000000" w:themeColor="text1"/>
        </w:rPr>
      </w:pPr>
      <w:r w:rsidRPr="00F26EE3">
        <w:rPr>
          <w:color w:val="000000" w:themeColor="text1"/>
        </w:rPr>
        <w:t>z dnia 17 marca 2022 r.</w:t>
      </w:r>
    </w:p>
    <w:p w:rsidR="009145CA" w:rsidRPr="00EA59E5" w:rsidRDefault="009145CA" w:rsidP="009145CA">
      <w:pPr>
        <w:ind w:right="70"/>
        <w:jc w:val="center"/>
        <w:rPr>
          <w:color w:val="000000" w:themeColor="text1"/>
        </w:rPr>
      </w:pPr>
    </w:p>
    <w:p w:rsidR="009145CA" w:rsidRPr="00EA59E5" w:rsidRDefault="009145CA" w:rsidP="009145CA">
      <w:pPr>
        <w:jc w:val="center"/>
        <w:rPr>
          <w:b/>
        </w:rPr>
      </w:pPr>
      <w:r w:rsidRPr="00EA59E5">
        <w:rPr>
          <w:b/>
        </w:rPr>
        <w:t xml:space="preserve">Wieloletni plan rozwoju i modernizacji urządzeń wodociągowych i urządzeń kanalizacyjnych Toruńskich Wodociągów Sp. z o.o.  </w:t>
      </w:r>
    </w:p>
    <w:p w:rsidR="009145CA" w:rsidRPr="00D83AA3" w:rsidRDefault="009145CA" w:rsidP="009145CA">
      <w:pPr>
        <w:jc w:val="center"/>
        <w:rPr>
          <w:b/>
          <w:sz w:val="28"/>
          <w:szCs w:val="28"/>
          <w:u w:val="single"/>
        </w:rPr>
      </w:pPr>
      <w:r w:rsidRPr="00EA59E5">
        <w:rPr>
          <w:b/>
        </w:rPr>
        <w:t>na lata 202</w:t>
      </w:r>
      <w:r>
        <w:rPr>
          <w:b/>
        </w:rPr>
        <w:t>2</w:t>
      </w:r>
      <w:r w:rsidRPr="00EA59E5">
        <w:rPr>
          <w:b/>
        </w:rPr>
        <w:t>- 202</w:t>
      </w:r>
      <w:r>
        <w:rPr>
          <w:b/>
        </w:rPr>
        <w:t>6</w:t>
      </w:r>
    </w:p>
    <w:p w:rsidR="009145CA" w:rsidRPr="00D83AA3" w:rsidRDefault="009145CA" w:rsidP="009145CA">
      <w:pPr>
        <w:jc w:val="both"/>
      </w:pPr>
    </w:p>
    <w:p w:rsidR="009145CA" w:rsidRPr="00913A59" w:rsidRDefault="009145CA" w:rsidP="009145CA">
      <w:pPr>
        <w:jc w:val="both"/>
        <w:rPr>
          <w:b/>
        </w:rPr>
      </w:pPr>
      <w:r w:rsidRPr="00913A59">
        <w:rPr>
          <w:b/>
        </w:rPr>
        <w:t>1. Podstawa prawna i przedmiot opracowania</w:t>
      </w:r>
    </w:p>
    <w:p w:rsidR="009145CA" w:rsidRPr="00913A59" w:rsidRDefault="009145CA" w:rsidP="009145CA">
      <w:pPr>
        <w:shd w:val="clear" w:color="auto" w:fill="FFFFFF"/>
        <w:ind w:firstLine="567"/>
        <w:jc w:val="both"/>
        <w:rPr>
          <w:spacing w:val="-1"/>
        </w:rPr>
      </w:pPr>
      <w:r w:rsidRPr="00913A59">
        <w:t>„Wieloletni plan rozwoju i modernizacji urządzeń wodociągowych i urządzeń kanalizacyjnych Toruńskich Wodociągów Sp. z o.o. na lata 20</w:t>
      </w:r>
      <w:r>
        <w:t>22</w:t>
      </w:r>
      <w:r w:rsidRPr="00913A59">
        <w:t xml:space="preserve"> - 202</w:t>
      </w:r>
      <w:r>
        <w:t>6</w:t>
      </w:r>
      <w:r w:rsidRPr="00913A59">
        <w:t>” został opracowany zgodnie z Ustawą z dnia 7 czerwca 2001 r. o zbiorowym zaopatrzeniu w wodę i z</w:t>
      </w:r>
      <w:r>
        <w:t>biorowym odprowadzaniu ścieków (</w:t>
      </w:r>
      <w:r w:rsidRPr="00913A59">
        <w:t>Dz. U.</w:t>
      </w:r>
      <w:r>
        <w:t xml:space="preserve"> z</w:t>
      </w:r>
      <w:r w:rsidRPr="00913A59">
        <w:t xml:space="preserve"> </w:t>
      </w:r>
      <w:r>
        <w:t xml:space="preserve">2020 r. </w:t>
      </w:r>
      <w:r w:rsidRPr="00913A59">
        <w:t>poz.</w:t>
      </w:r>
      <w:r>
        <w:t xml:space="preserve"> 2028)</w:t>
      </w:r>
      <w:r w:rsidRPr="00913A59">
        <w:t xml:space="preserve"> w oparciu o zdefiniowane, niezbędne potrzeby </w:t>
      </w:r>
      <w:r w:rsidRPr="00913A59">
        <w:rPr>
          <w:spacing w:val="-1"/>
        </w:rPr>
        <w:t>w zakresie budowy oraz modernizacji sieci i urządzeń wodociągowo-kanalizacyjnych miasta Torunia.</w:t>
      </w:r>
    </w:p>
    <w:p w:rsidR="009145CA" w:rsidRPr="00913A59" w:rsidRDefault="009145CA" w:rsidP="009145CA">
      <w:pPr>
        <w:shd w:val="clear" w:color="auto" w:fill="FFFFFF"/>
        <w:ind w:firstLine="567"/>
        <w:jc w:val="both"/>
      </w:pPr>
      <w:r w:rsidRPr="00913A59">
        <w:t>Podstawą opracowania „Wieloletni</w:t>
      </w:r>
      <w:r>
        <w:t>ego</w:t>
      </w:r>
      <w:r w:rsidRPr="00913A59">
        <w:t xml:space="preserve"> plan</w:t>
      </w:r>
      <w:r>
        <w:t>u</w:t>
      </w:r>
      <w:r w:rsidRPr="00913A59">
        <w:t xml:space="preserve"> rozwoju i modernizacji urządzeń wodociągowych i urządzeń kanalizacyjnych Toruńskich Wodociągów Sp. z o.o. na lata 20</w:t>
      </w:r>
      <w:r>
        <w:t>22</w:t>
      </w:r>
      <w:r w:rsidRPr="00913A59">
        <w:t xml:space="preserve"> - 202</w:t>
      </w:r>
      <w:r>
        <w:t>6</w:t>
      </w:r>
      <w:r w:rsidRPr="00913A59">
        <w:t xml:space="preserve">” </w:t>
      </w:r>
      <w:r>
        <w:t>s</w:t>
      </w:r>
      <w:r w:rsidRPr="00913A59">
        <w:t>ą:</w:t>
      </w:r>
    </w:p>
    <w:p w:rsidR="009145CA" w:rsidRPr="00913A59" w:rsidRDefault="009145CA" w:rsidP="009145C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pacing w:val="-1"/>
        </w:rPr>
      </w:pPr>
      <w:r w:rsidRPr="00913A59">
        <w:t>Studium uwarunkowań i kierunków zagospodarowania przestrzennego miasta Torunia</w:t>
      </w:r>
    </w:p>
    <w:p w:rsidR="009145CA" w:rsidRPr="00913A59" w:rsidRDefault="009145CA" w:rsidP="009145C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pacing w:val="-1"/>
        </w:rPr>
      </w:pPr>
      <w:r w:rsidRPr="00913A59">
        <w:t>Obowiązujące Miejscowe Plany Zagospodarowania Przestrzennego Miasta Torunia</w:t>
      </w:r>
    </w:p>
    <w:p w:rsidR="009145CA" w:rsidRPr="000B52BD" w:rsidRDefault="009145CA" w:rsidP="009145C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427"/>
        <w:jc w:val="both"/>
        <w:rPr>
          <w:spacing w:val="-1"/>
        </w:rPr>
      </w:pPr>
      <w:r w:rsidRPr="00913A59">
        <w:t>Aktualny zakres rzeczowy oraz harmonogram realizacji projektu „Gospodarka wodno – ściekowa na terenie aglomeracji Toruń - III etap”</w:t>
      </w:r>
    </w:p>
    <w:p w:rsidR="009145CA" w:rsidRPr="00913A59" w:rsidRDefault="009145CA" w:rsidP="009145CA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7" w:hanging="427"/>
        <w:jc w:val="both"/>
      </w:pPr>
      <w:r w:rsidRPr="00913A59">
        <w:t>Umowa o dofinansowanie nr POIS.02.03.00-00-0049/16-00 Projektu</w:t>
      </w:r>
      <w:r w:rsidRPr="00913A59">
        <w:rPr>
          <w:i/>
        </w:rPr>
        <w:t xml:space="preserve"> „Gospodarka wodno-ściekowa na terenie aglomeracji Toruń - III etap”, </w:t>
      </w:r>
      <w:r w:rsidRPr="00913A59">
        <w:t xml:space="preserve">02.03.00-00-0049/16, w ramach działania 2.3 Gospodarka wodno-ściekowa w aglomeracjach oś priorytetowa II Ochrona środowiska, w tym adaptacja do zmian klimatu Programu Operacyjnego </w:t>
      </w:r>
      <w:r>
        <w:t>Infrastruktura i </w:t>
      </w:r>
      <w:r w:rsidRPr="00913A59">
        <w:t>Środowisko 2014-2020, zawart</w:t>
      </w:r>
      <w:r>
        <w:t>a</w:t>
      </w:r>
      <w:r w:rsidRPr="00913A59">
        <w:t xml:space="preserve"> dnia 16.08.2016 pomiędzy NFOŚiGW </w:t>
      </w:r>
      <w:r>
        <w:t>w Warszawie a </w:t>
      </w:r>
      <w:r w:rsidRPr="00913A59">
        <w:t>Spółką Toruńskie Wodociągi.</w:t>
      </w:r>
    </w:p>
    <w:p w:rsidR="009145CA" w:rsidRPr="00913A59" w:rsidRDefault="009145CA" w:rsidP="009145CA">
      <w:pPr>
        <w:shd w:val="clear" w:color="auto" w:fill="FFFFFF"/>
        <w:jc w:val="both"/>
      </w:pPr>
      <w:r w:rsidRPr="00913A59">
        <w:t>Zadania inwestycyjne rozwojowo – modernizacyjne objęte Planem zgodne są z:</w:t>
      </w:r>
    </w:p>
    <w:p w:rsidR="009145CA" w:rsidRPr="00913A59" w:rsidRDefault="009145CA" w:rsidP="009145CA">
      <w:pPr>
        <w:shd w:val="clear" w:color="auto" w:fill="FFFFFF"/>
        <w:tabs>
          <w:tab w:val="left" w:pos="360"/>
        </w:tabs>
        <w:jc w:val="both"/>
      </w:pPr>
      <w:r w:rsidRPr="00913A59">
        <w:rPr>
          <w:spacing w:val="-1"/>
        </w:rPr>
        <w:t>1)</w:t>
      </w:r>
      <w:r w:rsidRPr="00913A59">
        <w:tab/>
        <w:t>kierunkami rozwoju Gminy określonymi w opracowanych na szczeblu Gminy:</w:t>
      </w:r>
    </w:p>
    <w:p w:rsidR="009145CA" w:rsidRPr="00913A59" w:rsidRDefault="009145CA" w:rsidP="009145CA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720" w:hanging="360"/>
        <w:jc w:val="both"/>
      </w:pPr>
      <w:r w:rsidRPr="00913A59">
        <w:t>studium uwarunkowań i kierunków zagospodarowania przestrzennego miasta Torunia,</w:t>
      </w:r>
    </w:p>
    <w:p w:rsidR="009145CA" w:rsidRPr="00913A59" w:rsidRDefault="009145CA" w:rsidP="009145CA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720" w:hanging="360"/>
        <w:jc w:val="both"/>
        <w:rPr>
          <w:spacing w:val="-1"/>
        </w:rPr>
      </w:pPr>
      <w:r w:rsidRPr="00913A59">
        <w:rPr>
          <w:spacing w:val="-1"/>
        </w:rPr>
        <w:t>obowiązującymi miejscowymi planami zagospodarowania przestrzennego oraz</w:t>
      </w:r>
    </w:p>
    <w:p w:rsidR="009145CA" w:rsidRPr="00913A59" w:rsidRDefault="009145CA" w:rsidP="009145CA">
      <w:pPr>
        <w:shd w:val="clear" w:color="auto" w:fill="FFFFFF"/>
        <w:tabs>
          <w:tab w:val="left" w:pos="360"/>
        </w:tabs>
        <w:ind w:left="360" w:hanging="360"/>
        <w:jc w:val="both"/>
        <w:rPr>
          <w:i/>
        </w:rPr>
      </w:pPr>
      <w:r w:rsidRPr="00913A59">
        <w:rPr>
          <w:spacing w:val="-1"/>
        </w:rPr>
        <w:t>2)</w:t>
      </w:r>
      <w:r w:rsidRPr="00913A59">
        <w:tab/>
      </w:r>
      <w:r w:rsidRPr="001A0D1B">
        <w:t>zezwoleniem na prowadzenie zbiorowego zaopatrzenia w wodę i zbiorowego odprowadzania ścieków.</w:t>
      </w:r>
    </w:p>
    <w:p w:rsidR="009145CA" w:rsidRPr="00505D0C" w:rsidRDefault="009145CA" w:rsidP="009145CA">
      <w:pPr>
        <w:ind w:left="1064"/>
        <w:jc w:val="both"/>
        <w:rPr>
          <w:i/>
          <w:sz w:val="16"/>
          <w:szCs w:val="16"/>
        </w:rPr>
      </w:pPr>
    </w:p>
    <w:p w:rsidR="009145CA" w:rsidRPr="00913A59" w:rsidRDefault="009145CA" w:rsidP="009145CA">
      <w:pPr>
        <w:jc w:val="both"/>
        <w:rPr>
          <w:b/>
        </w:rPr>
      </w:pPr>
      <w:r w:rsidRPr="00913A59">
        <w:rPr>
          <w:b/>
        </w:rPr>
        <w:t>2. Zakres czasowy planu</w:t>
      </w:r>
      <w:r>
        <w:rPr>
          <w:b/>
        </w:rPr>
        <w:t>.</w:t>
      </w:r>
    </w:p>
    <w:p w:rsidR="009145CA" w:rsidRPr="00913A59" w:rsidRDefault="009145CA" w:rsidP="009145CA">
      <w:pPr>
        <w:shd w:val="clear" w:color="auto" w:fill="FFFFFF"/>
        <w:ind w:firstLine="708"/>
        <w:jc w:val="both"/>
      </w:pPr>
      <w:r w:rsidRPr="00913A59">
        <w:t>Plan opracowano na lata 20</w:t>
      </w:r>
      <w:r>
        <w:t>22</w:t>
      </w:r>
      <w:r w:rsidRPr="00913A59">
        <w:t>-202</w:t>
      </w:r>
      <w:r>
        <w:t>6</w:t>
      </w:r>
      <w:r w:rsidRPr="00913A59">
        <w:t>.</w:t>
      </w:r>
    </w:p>
    <w:p w:rsidR="009145CA" w:rsidRPr="00505D0C" w:rsidRDefault="009145CA" w:rsidP="009145CA">
      <w:pPr>
        <w:ind w:left="1064"/>
        <w:jc w:val="both"/>
        <w:rPr>
          <w:sz w:val="16"/>
          <w:szCs w:val="16"/>
        </w:rPr>
      </w:pPr>
    </w:p>
    <w:p w:rsidR="009145CA" w:rsidRPr="00913A59" w:rsidRDefault="009145CA" w:rsidP="009145CA">
      <w:pPr>
        <w:jc w:val="both"/>
        <w:rPr>
          <w:b/>
        </w:rPr>
      </w:pPr>
      <w:r w:rsidRPr="00913A59">
        <w:rPr>
          <w:b/>
        </w:rPr>
        <w:t>3. Zakres tematyczny planu</w:t>
      </w:r>
      <w:r>
        <w:rPr>
          <w:b/>
        </w:rPr>
        <w:t>.</w:t>
      </w:r>
    </w:p>
    <w:p w:rsidR="009145CA" w:rsidRPr="00913A59" w:rsidRDefault="009145CA" w:rsidP="009145CA">
      <w:pPr>
        <w:shd w:val="clear" w:color="auto" w:fill="FFFFFF"/>
        <w:ind w:firstLine="567"/>
        <w:jc w:val="both"/>
      </w:pPr>
      <w:r w:rsidRPr="00913A59">
        <w:t>„Wieloletni plan rozwoju i modernizacji urządzeń wodociągowych i urządzeń kanalizacyjnych Toruńskich Wodociągów Sp. z o.o. na lata 20</w:t>
      </w:r>
      <w:r>
        <w:t>22</w:t>
      </w:r>
      <w:r w:rsidRPr="00913A59">
        <w:t xml:space="preserve"> - 202</w:t>
      </w:r>
      <w:r>
        <w:t>6</w:t>
      </w:r>
      <w:r w:rsidRPr="00913A59">
        <w:t xml:space="preserve">” dotyczy urządzeń wodociągowych i urządzeń kanalizacyjnych pozostających w zakresie działania przedsiębiorstwa. </w:t>
      </w:r>
    </w:p>
    <w:p w:rsidR="009145CA" w:rsidRPr="00913A59" w:rsidRDefault="009145CA" w:rsidP="009145CA">
      <w:pPr>
        <w:shd w:val="clear" w:color="auto" w:fill="FFFFFF"/>
        <w:ind w:firstLine="567"/>
        <w:jc w:val="both"/>
      </w:pPr>
      <w:r w:rsidRPr="00913A59">
        <w:t xml:space="preserve">Urządzenia wodociągowe, których plany budowy, rozbudowy, wymiany i modernizacji zamieszczono w planie wieloletnim </w:t>
      </w:r>
      <w:r>
        <w:t xml:space="preserve">w </w:t>
      </w:r>
      <w:r w:rsidRPr="00913A59">
        <w:t>tabel</w:t>
      </w:r>
      <w:r>
        <w:t>i</w:t>
      </w:r>
      <w:r w:rsidRPr="00913A59">
        <w:t xml:space="preserve"> 1 to ujęc</w:t>
      </w:r>
      <w:r>
        <w:t>ia wody</w:t>
      </w:r>
      <w:r w:rsidRPr="00913A59">
        <w:t>, urządzenia</w:t>
      </w:r>
      <w:r>
        <w:t>, systemy i instalacje</w:t>
      </w:r>
      <w:r w:rsidRPr="00913A59">
        <w:t xml:space="preserve"> pośrednio wpływające na produkcję i przesył wody, sieci wodociągowe. Urz</w:t>
      </w:r>
      <w:r>
        <w:t xml:space="preserve">ądzenia kanalizacyjne, których </w:t>
      </w:r>
      <w:r w:rsidRPr="00913A59">
        <w:t xml:space="preserve">plany budowy, rozbudowy i modernizacji zamieszczono w planie wieloletnim </w:t>
      </w:r>
      <w:r>
        <w:t xml:space="preserve">w </w:t>
      </w:r>
      <w:r w:rsidRPr="00913A59">
        <w:t>tabel</w:t>
      </w:r>
      <w:r>
        <w:t>i</w:t>
      </w:r>
      <w:r w:rsidRPr="00913A59">
        <w:t xml:space="preserve"> 2 to sie</w:t>
      </w:r>
      <w:r>
        <w:t xml:space="preserve">ci kanalizacyjne, przepompownie, obiekty na </w:t>
      </w:r>
      <w:r w:rsidRPr="00913A59">
        <w:t>oczyszczal</w:t>
      </w:r>
      <w:r>
        <w:t xml:space="preserve">ni ścieków oraz inne urządzenia, systemy i instalacje </w:t>
      </w:r>
      <w:r w:rsidRPr="00913A59">
        <w:t>pośredn</w:t>
      </w:r>
      <w:r>
        <w:t>io związane z odbiorem ścieków.</w:t>
      </w:r>
    </w:p>
    <w:p w:rsidR="009145CA" w:rsidRPr="00913A59" w:rsidRDefault="009145CA" w:rsidP="009145CA">
      <w:pPr>
        <w:shd w:val="clear" w:color="auto" w:fill="FFFFFF"/>
        <w:ind w:firstLine="567"/>
        <w:jc w:val="both"/>
      </w:pPr>
      <w:r w:rsidRPr="00913A59">
        <w:t>Załączone do niniejszego projektu planu tabele zawierają:</w:t>
      </w:r>
    </w:p>
    <w:p w:rsidR="009145CA" w:rsidRPr="00913A59" w:rsidRDefault="009145CA" w:rsidP="009145C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913A59">
        <w:t>zakres rzeczowy przedsięwzięć,</w:t>
      </w:r>
    </w:p>
    <w:p w:rsidR="009145CA" w:rsidRPr="00913A59" w:rsidRDefault="009145CA" w:rsidP="009145C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913A59">
        <w:lastRenderedPageBreak/>
        <w:t>zakres czasowy ich realizacji,</w:t>
      </w:r>
    </w:p>
    <w:p w:rsidR="009145CA" w:rsidRPr="00913A59" w:rsidRDefault="009145CA" w:rsidP="009145CA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913A59">
        <w:t>nakłady finansowe w poszczególnych latach na ich realizację oraz źródła ich finansowania.</w:t>
      </w:r>
    </w:p>
    <w:p w:rsidR="009145CA" w:rsidRDefault="009145CA" w:rsidP="009145CA">
      <w:pPr>
        <w:shd w:val="clear" w:color="auto" w:fill="FFFFFF"/>
        <w:jc w:val="both"/>
        <w:rPr>
          <w:spacing w:val="-1"/>
        </w:rPr>
      </w:pPr>
      <w:r w:rsidRPr="00913A59">
        <w:t>K</w:t>
      </w:r>
      <w:r w:rsidRPr="00913A59">
        <w:rPr>
          <w:spacing w:val="-1"/>
        </w:rPr>
        <w:t>ażda z tabel głównych (1,</w:t>
      </w:r>
      <w:r>
        <w:rPr>
          <w:spacing w:val="-1"/>
        </w:rPr>
        <w:t xml:space="preserve"> </w:t>
      </w:r>
      <w:r w:rsidRPr="00913A59">
        <w:rPr>
          <w:spacing w:val="-1"/>
        </w:rPr>
        <w:t>2) została podzielona na następujące części:</w:t>
      </w:r>
    </w:p>
    <w:p w:rsidR="009145CA" w:rsidRPr="00913A59" w:rsidRDefault="009145CA" w:rsidP="009145CA">
      <w:pPr>
        <w:shd w:val="clear" w:color="auto" w:fill="FFFFFF"/>
        <w:ind w:left="10"/>
        <w:jc w:val="both"/>
        <w:rPr>
          <w:b/>
          <w:bCs/>
        </w:rPr>
      </w:pPr>
      <w:r w:rsidRPr="00913A59">
        <w:rPr>
          <w:b/>
          <w:bCs/>
        </w:rPr>
        <w:t>Tabela 1 – Wodociąg</w:t>
      </w:r>
      <w:r>
        <w:rPr>
          <w:b/>
          <w:bCs/>
        </w:rPr>
        <w:t>.</w:t>
      </w:r>
    </w:p>
    <w:p w:rsidR="009145CA" w:rsidRPr="00913A59" w:rsidRDefault="009145CA" w:rsidP="009145C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hanging="567"/>
        <w:jc w:val="both"/>
        <w:rPr>
          <w:spacing w:val="-9"/>
        </w:rPr>
      </w:pPr>
      <w:r w:rsidRPr="00913A59">
        <w:t>I.</w:t>
      </w:r>
      <w:r w:rsidRPr="00913A59">
        <w:tab/>
        <w:t>Budowa sieci wodociągowych</w:t>
      </w:r>
    </w:p>
    <w:p w:rsidR="009145CA" w:rsidRPr="00913A59" w:rsidRDefault="009145CA" w:rsidP="009145C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spacing w:val="-9"/>
        </w:rPr>
      </w:pPr>
      <w:r>
        <w:rPr>
          <w:spacing w:val="-1"/>
        </w:rPr>
        <w:t>I</w:t>
      </w:r>
      <w:r w:rsidRPr="00913A59">
        <w:rPr>
          <w:spacing w:val="-1"/>
        </w:rPr>
        <w:t>I.</w:t>
      </w:r>
      <w:r w:rsidRPr="00913A59">
        <w:rPr>
          <w:spacing w:val="-1"/>
        </w:rPr>
        <w:tab/>
        <w:t xml:space="preserve">Wymiana </w:t>
      </w:r>
      <w:r>
        <w:rPr>
          <w:spacing w:val="-1"/>
        </w:rPr>
        <w:t xml:space="preserve">(przebudowa) </w:t>
      </w:r>
      <w:r w:rsidRPr="00913A59">
        <w:rPr>
          <w:spacing w:val="-1"/>
        </w:rPr>
        <w:t xml:space="preserve">i modernizacja sieci </w:t>
      </w:r>
      <w:r>
        <w:rPr>
          <w:spacing w:val="-1"/>
        </w:rPr>
        <w:t>wodociągowych</w:t>
      </w:r>
    </w:p>
    <w:p w:rsidR="009145CA" w:rsidRPr="00913A59" w:rsidRDefault="009145CA" w:rsidP="009145C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spacing w:val="-8"/>
        </w:rPr>
      </w:pPr>
      <w:r w:rsidRPr="00913A59">
        <w:rPr>
          <w:spacing w:val="-1"/>
        </w:rPr>
        <w:t>I</w:t>
      </w:r>
      <w:r>
        <w:rPr>
          <w:spacing w:val="-1"/>
        </w:rPr>
        <w:t>II</w:t>
      </w:r>
      <w:r w:rsidRPr="00913A59">
        <w:rPr>
          <w:spacing w:val="-1"/>
        </w:rPr>
        <w:t>.</w:t>
      </w:r>
      <w:r w:rsidRPr="00913A59">
        <w:rPr>
          <w:spacing w:val="-1"/>
        </w:rPr>
        <w:tab/>
        <w:t>Modernizacja</w:t>
      </w:r>
      <w:r>
        <w:rPr>
          <w:spacing w:val="-1"/>
        </w:rPr>
        <w:t>, przebudowa</w:t>
      </w:r>
      <w:r w:rsidRPr="00913A59">
        <w:rPr>
          <w:spacing w:val="-1"/>
        </w:rPr>
        <w:t xml:space="preserve"> i budowa urządzeń </w:t>
      </w:r>
      <w:r>
        <w:rPr>
          <w:spacing w:val="-1"/>
        </w:rPr>
        <w:t>i</w:t>
      </w:r>
      <w:r w:rsidRPr="00913A59">
        <w:rPr>
          <w:spacing w:val="-1"/>
        </w:rPr>
        <w:t xml:space="preserve"> obiektów wodociągowych</w:t>
      </w:r>
    </w:p>
    <w:p w:rsidR="009145CA" w:rsidRPr="00913A59" w:rsidRDefault="009145CA" w:rsidP="009145C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538" w:hanging="538"/>
        <w:jc w:val="both"/>
        <w:rPr>
          <w:spacing w:val="-1"/>
        </w:rPr>
      </w:pPr>
      <w:r>
        <w:rPr>
          <w:spacing w:val="-1"/>
        </w:rPr>
        <w:t>I</w:t>
      </w:r>
      <w:r w:rsidRPr="00913A59">
        <w:rPr>
          <w:spacing w:val="-1"/>
        </w:rPr>
        <w:t xml:space="preserve">V. </w:t>
      </w:r>
      <w:r w:rsidRPr="00913A59">
        <w:rPr>
          <w:spacing w:val="-1"/>
        </w:rPr>
        <w:tab/>
        <w:t>Przygotowanie nowych zadań inwestycyjnych oraz rezerwa</w:t>
      </w:r>
      <w:r>
        <w:rPr>
          <w:spacing w:val="-1"/>
        </w:rPr>
        <w:t>,</w:t>
      </w:r>
      <w:r w:rsidRPr="00913A59">
        <w:rPr>
          <w:spacing w:val="-1"/>
        </w:rPr>
        <w:t xml:space="preserve"> związane z modernizacją, wymianą, budową, wykupami i ustanowieniem służebności dla lokalizacji sieci, urządzeń i obiektów wodociągowych</w:t>
      </w:r>
    </w:p>
    <w:p w:rsidR="009145CA" w:rsidRPr="00913A59" w:rsidRDefault="009145CA" w:rsidP="009145CA">
      <w:pPr>
        <w:shd w:val="clear" w:color="auto" w:fill="FFFFFF"/>
        <w:ind w:left="10"/>
        <w:jc w:val="both"/>
        <w:rPr>
          <w:b/>
          <w:bCs/>
        </w:rPr>
      </w:pPr>
      <w:r w:rsidRPr="00913A59">
        <w:rPr>
          <w:b/>
          <w:bCs/>
        </w:rPr>
        <w:t>Tabela 2 – Kanalizacja</w:t>
      </w:r>
      <w:r>
        <w:rPr>
          <w:b/>
          <w:bCs/>
        </w:rPr>
        <w:t>.</w:t>
      </w:r>
    </w:p>
    <w:p w:rsidR="009145CA" w:rsidRPr="00913A59" w:rsidRDefault="009145CA" w:rsidP="009145CA">
      <w:pPr>
        <w:ind w:left="705" w:hanging="705"/>
        <w:jc w:val="both"/>
      </w:pPr>
      <w:r w:rsidRPr="00913A59">
        <w:t>I.</w:t>
      </w:r>
      <w:r w:rsidRPr="00913A59">
        <w:tab/>
        <w:t>Gospodarka ściekowa na terenie aglomeracji Toruń – III etap (dofinansowanie z UE-FS 2014-2020)</w:t>
      </w:r>
      <w:r>
        <w:t xml:space="preserve"> +</w:t>
      </w:r>
      <w:r w:rsidRPr="008717B6">
        <w:t xml:space="preserve"> nowa perspektywa finansowa 2021-2027</w:t>
      </w:r>
    </w:p>
    <w:p w:rsidR="009145CA" w:rsidRPr="00913A59" w:rsidRDefault="009145CA" w:rsidP="009145CA">
      <w:pPr>
        <w:ind w:left="705" w:hanging="705"/>
        <w:jc w:val="both"/>
      </w:pPr>
      <w:r w:rsidRPr="00913A59">
        <w:t>II.</w:t>
      </w:r>
      <w:r w:rsidRPr="00913A59">
        <w:tab/>
        <w:t>Budowa sieci kanalizacyjnych</w:t>
      </w:r>
    </w:p>
    <w:p w:rsidR="009145CA" w:rsidRPr="00913A59" w:rsidRDefault="009145CA" w:rsidP="009145CA">
      <w:pPr>
        <w:ind w:left="705" w:hanging="705"/>
        <w:jc w:val="both"/>
      </w:pPr>
      <w:r>
        <w:t>III.</w:t>
      </w:r>
      <w:r>
        <w:tab/>
        <w:t xml:space="preserve">Wymiana </w:t>
      </w:r>
      <w:r w:rsidRPr="00913A59">
        <w:t>i modernizacja sieci kanalizacyjnych</w:t>
      </w:r>
    </w:p>
    <w:p w:rsidR="009145CA" w:rsidRPr="00913A59" w:rsidRDefault="009145CA" w:rsidP="009145CA">
      <w:pPr>
        <w:ind w:left="705" w:hanging="705"/>
        <w:jc w:val="both"/>
      </w:pPr>
      <w:r w:rsidRPr="00913A59">
        <w:t>IV.</w:t>
      </w:r>
      <w:r w:rsidRPr="00913A59">
        <w:tab/>
        <w:t xml:space="preserve">Modernizacja i budowa urządzeń </w:t>
      </w:r>
      <w:r>
        <w:t>i</w:t>
      </w:r>
      <w:r w:rsidRPr="00913A59">
        <w:t xml:space="preserve"> obiektów gospodarki ściekowej</w:t>
      </w:r>
    </w:p>
    <w:p w:rsidR="009145CA" w:rsidRDefault="009145CA" w:rsidP="009145CA">
      <w:pPr>
        <w:ind w:left="705" w:hanging="705"/>
        <w:jc w:val="both"/>
      </w:pPr>
      <w:r w:rsidRPr="00913A59">
        <w:t>V.</w:t>
      </w:r>
      <w:r w:rsidRPr="00913A59">
        <w:tab/>
        <w:t>Przygotowanie nowych zadań inwestycyjnych oraz rezerwa, związane z modernizacją, wymianą, budową, wykupami i ustanowieniem służebności dla lokalizacji sieci, urządzeń i obiektów kanalizacyjnych</w:t>
      </w:r>
    </w:p>
    <w:p w:rsidR="009145CA" w:rsidRDefault="009145CA" w:rsidP="009145CA">
      <w:pPr>
        <w:jc w:val="both"/>
      </w:pPr>
      <w:r w:rsidRPr="00DB011F">
        <w:t>Zestawienie zbiorcze bloków zadaniowych zawiera tabela</w:t>
      </w:r>
      <w:r>
        <w:t xml:space="preserve"> 3.</w:t>
      </w:r>
    </w:p>
    <w:p w:rsidR="009145CA" w:rsidRPr="00590DE3" w:rsidRDefault="009145CA" w:rsidP="009145CA">
      <w:pPr>
        <w:ind w:left="705" w:hanging="705"/>
        <w:jc w:val="both"/>
        <w:rPr>
          <w:sz w:val="16"/>
          <w:szCs w:val="16"/>
        </w:rPr>
      </w:pPr>
    </w:p>
    <w:p w:rsidR="009145CA" w:rsidRDefault="009145CA" w:rsidP="009145CA">
      <w:pPr>
        <w:jc w:val="both"/>
        <w:rPr>
          <w:b/>
        </w:rPr>
      </w:pPr>
      <w:r>
        <w:rPr>
          <w:b/>
        </w:rPr>
        <w:t>4</w:t>
      </w:r>
      <w:r w:rsidRPr="00913A59">
        <w:rPr>
          <w:b/>
        </w:rPr>
        <w:t xml:space="preserve">. </w:t>
      </w:r>
      <w:r>
        <w:rPr>
          <w:b/>
        </w:rPr>
        <w:t>Kierunki rozwoju i działań inwestycyjnych.</w:t>
      </w:r>
    </w:p>
    <w:p w:rsidR="009145CA" w:rsidRPr="00E63282" w:rsidRDefault="009145CA" w:rsidP="009145CA">
      <w:pPr>
        <w:ind w:firstLine="567"/>
        <w:jc w:val="both"/>
      </w:pPr>
      <w:r w:rsidRPr="00280A4A">
        <w:t xml:space="preserve">Celem </w:t>
      </w:r>
      <w:r>
        <w:t>powołania Spółki jest zaspakajanie zbiorowych potrzeb mieszkańców Torunia w zakresie zbiorowego zaopatrzenia w wodę i odprowadzania ścieków, które Spółka realizuje m.in. przy wykorzystaniu posiadanego majątku, jego unowocześnianiu i realizacji nowych inwestycji.</w:t>
      </w:r>
    </w:p>
    <w:p w:rsidR="009145CA" w:rsidRDefault="009145CA" w:rsidP="009145CA">
      <w:pPr>
        <w:ind w:firstLine="567"/>
        <w:jc w:val="both"/>
      </w:pPr>
      <w:r>
        <w:t>Do podstawowych kierunków rozwoju Toruńskich</w:t>
      </w:r>
      <w:r w:rsidRPr="00913A59">
        <w:t xml:space="preserve"> Wodociąg</w:t>
      </w:r>
      <w:r>
        <w:t>ów</w:t>
      </w:r>
      <w:r w:rsidRPr="00913A59">
        <w:t xml:space="preserve"> Spółka z o.o.</w:t>
      </w:r>
      <w:r>
        <w:t xml:space="preserve"> realizowanych poprzez zadania inwestycyjne ujęte w planie zalicza się:</w:t>
      </w:r>
    </w:p>
    <w:p w:rsidR="009145CA" w:rsidRDefault="009145CA" w:rsidP="009145CA">
      <w:pPr>
        <w:jc w:val="both"/>
      </w:pPr>
      <w:r>
        <w:t>1) działania inwestycyjne przewidziane w ramach projektu z pozyskanym dofinansowaniem unijnym pod nazwą „</w:t>
      </w:r>
      <w:r w:rsidRPr="00913A59">
        <w:t xml:space="preserve">Gospodarka </w:t>
      </w:r>
      <w:r w:rsidRPr="00AD20C2">
        <w:t xml:space="preserve">wodno-ściekowa </w:t>
      </w:r>
      <w:r w:rsidRPr="00913A59">
        <w:t>na terenie aglomeracji Toruń – III etap</w:t>
      </w:r>
      <w:r>
        <w:t>”, które umożliwią powstanie nowej lub modernizację/przebudowę istniejącej infrastruktury przy niższym zaangażowaniu środków własnych.</w:t>
      </w:r>
    </w:p>
    <w:p w:rsidR="009145CA" w:rsidRDefault="009145CA" w:rsidP="009145CA">
      <w:pPr>
        <w:jc w:val="both"/>
      </w:pPr>
      <w:r>
        <w:t>2) wspieranie rozwoju budownictwa mieszkaniowego, zarówno wielorodzinnego, jak i budowy budynków mieszkalnych jednorodzinnych w wyniku uzbrajania terenów przeznaczonych pod takie budownictwo poprzez budowę nowych odcinków sieci wodociągowych i kanalizacyjnych.</w:t>
      </w:r>
    </w:p>
    <w:p w:rsidR="009145CA" w:rsidRDefault="009145CA" w:rsidP="009145CA">
      <w:pPr>
        <w:jc w:val="both"/>
      </w:pPr>
      <w:r>
        <w:t>3) tworzenie korzystnych warunków dla przedsiębiorców chcących realizować nowe inwestycje na terenach do tego przeznaczonych poprzez budowanie infrastruktury umożliwiającej dostarczanie wysokiej jakości wody w sposób ciągły i odbiór ścieków, w tym o podwyższonej zawartości zanieczyszczeń. Powyższe umożliwi rozwój i tworzenie nowych firm i nowych miejsc pracy.</w:t>
      </w:r>
    </w:p>
    <w:p w:rsidR="009145CA" w:rsidRPr="00857345" w:rsidRDefault="009145CA" w:rsidP="009145CA">
      <w:pPr>
        <w:jc w:val="both"/>
      </w:pPr>
      <w:r>
        <w:t xml:space="preserve">4) modernizację istniejących sieci, urządzeń, systemów, instalacji i obiektów stanowiących majątek Spółki, która powoduje obniżanie kosztów eksploatacyjnych oraz zmniejszenie ilości awarii i </w:t>
      </w:r>
      <w:r w:rsidRPr="00857345">
        <w:t>skracanie czasu usuwania awarii</w:t>
      </w:r>
      <w:r>
        <w:t>, s</w:t>
      </w:r>
      <w:r w:rsidRPr="00857345">
        <w:t>tałe podnoszenie</w:t>
      </w:r>
      <w:r>
        <w:t xml:space="preserve"> jakości sprzedawanej wody, a w </w:t>
      </w:r>
      <w:r w:rsidRPr="00857345">
        <w:t>przypadku ścieków utrzymanie wysokich parametrów oczyszczania</w:t>
      </w:r>
      <w:r>
        <w:t>, w tym</w:t>
      </w:r>
      <w:r w:rsidRPr="00857345">
        <w:t xml:space="preserve"> poprzez</w:t>
      </w:r>
      <w:r>
        <w:t xml:space="preserve"> wykorzystanie</w:t>
      </w:r>
      <w:r w:rsidRPr="00857345">
        <w:t xml:space="preserve"> now</w:t>
      </w:r>
      <w:r>
        <w:t>ych</w:t>
      </w:r>
      <w:r w:rsidRPr="00857345">
        <w:t xml:space="preserve"> technologi</w:t>
      </w:r>
      <w:r>
        <w:t>i</w:t>
      </w:r>
      <w:r w:rsidRPr="00857345">
        <w:t>.</w:t>
      </w:r>
    </w:p>
    <w:p w:rsidR="009145CA" w:rsidRDefault="009145CA" w:rsidP="009145CA">
      <w:pPr>
        <w:jc w:val="both"/>
      </w:pPr>
      <w:r>
        <w:t>5)</w:t>
      </w:r>
      <w:r w:rsidRPr="00857345">
        <w:t xml:space="preserve"> </w:t>
      </w:r>
      <w:r>
        <w:t>s</w:t>
      </w:r>
      <w:r w:rsidRPr="00857345">
        <w:t>tałe podnoszen</w:t>
      </w:r>
      <w:r>
        <w:t>ie jakości obsługi mieszkańców, w tym</w:t>
      </w:r>
      <w:r w:rsidRPr="00857345">
        <w:t xml:space="preserve"> wprowadzenie w pełni elektro</w:t>
      </w:r>
      <w:r>
        <w:t xml:space="preserve">nicznego biura obsługi klientów. </w:t>
      </w:r>
    </w:p>
    <w:p w:rsidR="009145CA" w:rsidRPr="00F26EE3" w:rsidRDefault="009145CA" w:rsidP="009145CA">
      <w:pPr>
        <w:jc w:val="both"/>
        <w:rPr>
          <w:sz w:val="20"/>
          <w:szCs w:val="20"/>
        </w:rPr>
      </w:pPr>
    </w:p>
    <w:p w:rsidR="009145CA" w:rsidRPr="00913A59" w:rsidRDefault="009145CA" w:rsidP="009145CA">
      <w:pPr>
        <w:jc w:val="both"/>
        <w:rPr>
          <w:b/>
        </w:rPr>
      </w:pPr>
      <w:r>
        <w:rPr>
          <w:b/>
        </w:rPr>
        <w:t>5</w:t>
      </w:r>
      <w:r w:rsidRPr="00913A59">
        <w:rPr>
          <w:b/>
        </w:rPr>
        <w:t xml:space="preserve">. Planowany zakres usług wodociągowo </w:t>
      </w:r>
      <w:r>
        <w:rPr>
          <w:b/>
        </w:rPr>
        <w:t>–</w:t>
      </w:r>
      <w:r w:rsidRPr="00913A59">
        <w:rPr>
          <w:b/>
        </w:rPr>
        <w:t xml:space="preserve"> kanalizacyjnych</w:t>
      </w:r>
      <w:r>
        <w:rPr>
          <w:b/>
        </w:rPr>
        <w:t>.</w:t>
      </w:r>
    </w:p>
    <w:p w:rsidR="009145CA" w:rsidRPr="00913A59" w:rsidRDefault="009145CA" w:rsidP="009145CA">
      <w:pPr>
        <w:shd w:val="clear" w:color="auto" w:fill="FFFFFF"/>
        <w:ind w:left="5" w:firstLine="562"/>
        <w:jc w:val="both"/>
      </w:pPr>
      <w:r w:rsidRPr="00913A59">
        <w:t xml:space="preserve">Toruńskie Wodociągi Spółka z o.o. w Toruniu prowadzi działalność w zakresie zbiorowego zaopatrzenia w wodę oraz zbiorowego odprowadzania ścieków. Spółka </w:t>
      </w:r>
      <w:r w:rsidRPr="00913A59">
        <w:lastRenderedPageBreak/>
        <w:t xml:space="preserve">zobowiązana jest do zapewniania ciągłości dostaw odpowiedniej jakości wody oraz niezawodnego odbioru i oczyszczania ścieków, przy uwzględnieniu ochrony interesów odbiorców usług oraz wymagań ochrony środowiska, </w:t>
      </w:r>
      <w:r w:rsidRPr="00913A59">
        <w:rPr>
          <w:spacing w:val="-1"/>
        </w:rPr>
        <w:t>a także optymalizacji kosztów eksploatacyjnych i inwestycyjnych. Podstawowym przedmiotem działania przedsiębiorstwa jest:</w:t>
      </w:r>
    </w:p>
    <w:p w:rsidR="009145CA" w:rsidRPr="00913A59" w:rsidRDefault="009145CA" w:rsidP="009145C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913A59">
        <w:rPr>
          <w:spacing w:val="-1"/>
        </w:rPr>
        <w:t>pobór i uzdatnianie wody,</w:t>
      </w:r>
    </w:p>
    <w:p w:rsidR="009145CA" w:rsidRPr="00913A59" w:rsidRDefault="009145CA" w:rsidP="009145C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913A59">
        <w:rPr>
          <w:spacing w:val="-1"/>
        </w:rPr>
        <w:t>dystrybucja wody,</w:t>
      </w:r>
    </w:p>
    <w:p w:rsidR="009145CA" w:rsidRPr="00913A59" w:rsidRDefault="009145CA" w:rsidP="009145C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913A59">
        <w:rPr>
          <w:spacing w:val="-1"/>
        </w:rPr>
        <w:t>odbiór ścieków,</w:t>
      </w:r>
    </w:p>
    <w:p w:rsidR="009145CA" w:rsidRPr="00DF6F72" w:rsidRDefault="009145CA" w:rsidP="009145C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913A59">
        <w:rPr>
          <w:spacing w:val="-1"/>
        </w:rPr>
        <w:t>oczyszczanie ścieków</w:t>
      </w:r>
      <w:r>
        <w:rPr>
          <w:spacing w:val="-1"/>
        </w:rPr>
        <w:t>.</w:t>
      </w:r>
    </w:p>
    <w:p w:rsidR="009145CA" w:rsidRPr="00913A59" w:rsidRDefault="009145CA" w:rsidP="009145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Zadania zapisane w WPI służą zwiększeniu obszaru świadczenia usług poprzez rozwój i modernizację sieci wod-kan wraz z urządzeniami infrastruktury. Ważnym obszarem działań Spółki jest racjonalizacja pracy sieci i urządzeń poprzez modernizacje i usprawnienie działania istniejących sieci i urządzeń. </w:t>
      </w:r>
    </w:p>
    <w:p w:rsidR="009145CA" w:rsidRDefault="009145CA" w:rsidP="009145CA">
      <w:pPr>
        <w:shd w:val="clear" w:color="auto" w:fill="FFFFFF"/>
        <w:ind w:firstLine="567"/>
        <w:jc w:val="both"/>
      </w:pPr>
      <w:r w:rsidRPr="00913A59">
        <w:t xml:space="preserve">Na terenie Gminy Miasta Toruń z usług wodociągowych korzysta </w:t>
      </w:r>
      <w:r w:rsidRPr="000229D7">
        <w:t>obecnie 98,</w:t>
      </w:r>
      <w:r>
        <w:t>6</w:t>
      </w:r>
      <w:r w:rsidRPr="000229D7">
        <w:t>%,</w:t>
      </w:r>
      <w:r w:rsidRPr="00201FB2">
        <w:t xml:space="preserve"> </w:t>
      </w:r>
      <w:r>
        <w:t>a z </w:t>
      </w:r>
      <w:r w:rsidRPr="00201FB2">
        <w:t xml:space="preserve">usług </w:t>
      </w:r>
      <w:r w:rsidRPr="000229D7">
        <w:t>kanalizacyjnych 98</w:t>
      </w:r>
      <w:r>
        <w:t>,4</w:t>
      </w:r>
      <w:r w:rsidRPr="000229D7">
        <w:t>%</w:t>
      </w:r>
      <w:r w:rsidRPr="00201FB2">
        <w:t xml:space="preserve"> mieszkańców. Realizacja zadań inwestycyjnych </w:t>
      </w:r>
      <w:r>
        <w:t>z </w:t>
      </w:r>
      <w:r w:rsidRPr="00913A59">
        <w:t>„Wieloletni</w:t>
      </w:r>
      <w:r>
        <w:t>ego</w:t>
      </w:r>
      <w:r w:rsidRPr="00913A59">
        <w:t xml:space="preserve"> plan</w:t>
      </w:r>
      <w:r>
        <w:t>u</w:t>
      </w:r>
      <w:r w:rsidRPr="00913A59">
        <w:t xml:space="preserve"> rozwoju i modernizacji urządzeń wodociągowych i urządzeń kanalizacyjnych Toruńskich Wodociągów Sp. z o.o. na lata 20</w:t>
      </w:r>
      <w:r>
        <w:t>22</w:t>
      </w:r>
      <w:r w:rsidRPr="00913A59">
        <w:t xml:space="preserve"> - 202</w:t>
      </w:r>
      <w:r>
        <w:t>6</w:t>
      </w:r>
      <w:r w:rsidRPr="00913A59">
        <w:t>” spowoduje dalszą poprawę jakości usług świadczonych dotychczasowym i potencjalnym klientom, a także umożliwi korzystanie z sieci miejskiej kolejnym mieszkańcom.</w:t>
      </w:r>
      <w:r>
        <w:t xml:space="preserve"> </w:t>
      </w:r>
    </w:p>
    <w:p w:rsidR="009145CA" w:rsidRDefault="009145CA" w:rsidP="009145CA">
      <w:pPr>
        <w:shd w:val="clear" w:color="auto" w:fill="FFFFFF"/>
        <w:ind w:left="5" w:firstLine="567"/>
        <w:jc w:val="both"/>
      </w:pPr>
      <w:r w:rsidRPr="00913A59">
        <w:t>Planowany zakres podstawowych usług wodno-kanalizacyjnych</w:t>
      </w:r>
      <w:r>
        <w:t xml:space="preserve"> (sprzedaż wody, odbiór ścieków)</w:t>
      </w:r>
    </w:p>
    <w:p w:rsidR="009145CA" w:rsidRPr="00BB7DF3" w:rsidRDefault="009145CA" w:rsidP="009145CA">
      <w:pPr>
        <w:shd w:val="clear" w:color="auto" w:fill="FFFFFF"/>
        <w:ind w:left="6378" w:firstLine="702"/>
        <w:jc w:val="both"/>
        <w:rPr>
          <w:bCs/>
          <w:spacing w:val="-6"/>
          <w:vertAlign w:val="superscript"/>
        </w:rPr>
      </w:pPr>
      <w:r w:rsidRPr="00BB7DF3">
        <w:t xml:space="preserve">  w  </w:t>
      </w:r>
      <w:r w:rsidRPr="00BB7DF3">
        <w:rPr>
          <w:bCs/>
          <w:spacing w:val="-6"/>
        </w:rPr>
        <w:t>tys. m</w:t>
      </w:r>
      <w:r w:rsidRPr="00BB7DF3">
        <w:rPr>
          <w:bCs/>
          <w:spacing w:val="-6"/>
          <w:vertAlign w:val="superscript"/>
        </w:rPr>
        <w:t>3</w:t>
      </w:r>
    </w:p>
    <w:tbl>
      <w:tblPr>
        <w:tblW w:w="4346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3"/>
        <w:gridCol w:w="1148"/>
        <w:gridCol w:w="1148"/>
        <w:gridCol w:w="1145"/>
        <w:gridCol w:w="1145"/>
        <w:gridCol w:w="1143"/>
      </w:tblGrid>
      <w:tr w:rsidR="009145CA" w:rsidRPr="0032087E" w:rsidTr="0047290E">
        <w:trPr>
          <w:trHeight w:hRule="exact" w:val="283"/>
          <w:jc w:val="center"/>
        </w:trPr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CA" w:rsidRPr="0032087E" w:rsidRDefault="009145CA" w:rsidP="0047290E">
            <w:pPr>
              <w:shd w:val="clear" w:color="auto" w:fill="FFFFFF"/>
              <w:jc w:val="both"/>
            </w:pPr>
            <w:r w:rsidRPr="0032087E">
              <w:rPr>
                <w:bCs/>
              </w:rPr>
              <w:t>Opis \ Lata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center"/>
            </w:pPr>
            <w:r w:rsidRPr="0032087E">
              <w:rPr>
                <w:bCs/>
                <w:spacing w:val="-3"/>
              </w:rPr>
              <w:t>2022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center"/>
            </w:pPr>
            <w:r w:rsidRPr="0032087E">
              <w:rPr>
                <w:bCs/>
                <w:spacing w:val="-3"/>
              </w:rPr>
              <w:t>2023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center"/>
            </w:pPr>
            <w:r w:rsidRPr="0032087E">
              <w:rPr>
                <w:bCs/>
                <w:spacing w:val="-3"/>
              </w:rPr>
              <w:t>2024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center"/>
            </w:pPr>
            <w:r w:rsidRPr="0032087E">
              <w:rPr>
                <w:bCs/>
                <w:spacing w:val="-3"/>
              </w:rPr>
              <w:t>2025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CA" w:rsidRPr="0032087E" w:rsidRDefault="009145CA" w:rsidP="0047290E">
            <w:pPr>
              <w:jc w:val="center"/>
              <w:rPr>
                <w:bCs/>
                <w:spacing w:val="-3"/>
              </w:rPr>
            </w:pPr>
            <w:r w:rsidRPr="0032087E">
              <w:rPr>
                <w:bCs/>
                <w:spacing w:val="-3"/>
              </w:rPr>
              <w:t>2026</w:t>
            </w:r>
          </w:p>
        </w:tc>
      </w:tr>
      <w:tr w:rsidR="009145CA" w:rsidRPr="0032087E" w:rsidTr="0047290E">
        <w:trPr>
          <w:trHeight w:hRule="exact" w:val="570"/>
          <w:jc w:val="center"/>
        </w:trPr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CA" w:rsidRPr="0032087E" w:rsidRDefault="009145CA" w:rsidP="0047290E">
            <w:pPr>
              <w:shd w:val="clear" w:color="auto" w:fill="FFFFFF"/>
              <w:jc w:val="both"/>
              <w:rPr>
                <w:bCs/>
                <w:spacing w:val="-2"/>
              </w:rPr>
            </w:pPr>
            <w:r w:rsidRPr="0032087E">
              <w:rPr>
                <w:bCs/>
                <w:spacing w:val="-2"/>
              </w:rPr>
              <w:t>Ogółem woda,</w:t>
            </w:r>
          </w:p>
          <w:p w:rsidR="009145CA" w:rsidRPr="0032087E" w:rsidRDefault="009145CA" w:rsidP="0047290E">
            <w:pPr>
              <w:shd w:val="clear" w:color="auto" w:fill="FFFFFF"/>
              <w:jc w:val="both"/>
            </w:pPr>
            <w:r w:rsidRPr="0032087E">
              <w:rPr>
                <w:bCs/>
                <w:spacing w:val="-2"/>
              </w:rPr>
              <w:t xml:space="preserve"> w tym: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11 826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11 828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11 952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11 967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11 982</w:t>
            </w:r>
          </w:p>
        </w:tc>
      </w:tr>
      <w:tr w:rsidR="009145CA" w:rsidRPr="0032087E" w:rsidTr="0047290E">
        <w:trPr>
          <w:trHeight w:hRule="exact" w:val="278"/>
          <w:jc w:val="center"/>
        </w:trPr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CA" w:rsidRPr="0032087E" w:rsidRDefault="009145CA" w:rsidP="0047290E">
            <w:pPr>
              <w:shd w:val="clear" w:color="auto" w:fill="FFFFFF"/>
              <w:jc w:val="both"/>
            </w:pPr>
            <w:r w:rsidRPr="0032087E">
              <w:t>GMT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9 122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9 132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 xml:space="preserve">9 156 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9 166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9 175</w:t>
            </w:r>
          </w:p>
        </w:tc>
      </w:tr>
      <w:tr w:rsidR="009145CA" w:rsidRPr="0032087E" w:rsidTr="0047290E">
        <w:trPr>
          <w:trHeight w:hRule="exact" w:val="390"/>
          <w:jc w:val="center"/>
        </w:trPr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CA" w:rsidRPr="0032087E" w:rsidRDefault="009145CA" w:rsidP="0047290E">
            <w:pPr>
              <w:shd w:val="clear" w:color="auto" w:fill="FFFFFF"/>
              <w:jc w:val="both"/>
            </w:pPr>
            <w:r w:rsidRPr="0032087E">
              <w:t>Pozostałe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2 704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2 696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2 796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2 801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2 807</w:t>
            </w:r>
          </w:p>
        </w:tc>
      </w:tr>
      <w:tr w:rsidR="009145CA" w:rsidRPr="0032087E" w:rsidTr="0047290E">
        <w:trPr>
          <w:trHeight w:hRule="exact" w:val="530"/>
          <w:jc w:val="center"/>
        </w:trPr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CA" w:rsidRPr="0032087E" w:rsidRDefault="009145CA" w:rsidP="0047290E">
            <w:pPr>
              <w:shd w:val="clear" w:color="auto" w:fill="FFFFFF"/>
              <w:jc w:val="both"/>
              <w:rPr>
                <w:bCs/>
                <w:spacing w:val="-2"/>
              </w:rPr>
            </w:pPr>
            <w:r w:rsidRPr="0032087E">
              <w:rPr>
                <w:bCs/>
                <w:spacing w:val="-2"/>
              </w:rPr>
              <w:t xml:space="preserve">Ogółem ścieki, </w:t>
            </w:r>
          </w:p>
          <w:p w:rsidR="009145CA" w:rsidRPr="0032087E" w:rsidRDefault="009145CA" w:rsidP="0047290E">
            <w:pPr>
              <w:shd w:val="clear" w:color="auto" w:fill="FFFFFF"/>
              <w:jc w:val="both"/>
            </w:pPr>
            <w:r w:rsidRPr="0032087E">
              <w:rPr>
                <w:bCs/>
                <w:spacing w:val="-2"/>
              </w:rPr>
              <w:t>w tym: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11 193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11 267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11 296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11 3</w:t>
            </w:r>
            <w:r>
              <w:t>10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11 323</w:t>
            </w:r>
          </w:p>
        </w:tc>
      </w:tr>
      <w:tr w:rsidR="009145CA" w:rsidRPr="0032087E" w:rsidTr="0047290E">
        <w:trPr>
          <w:trHeight w:hRule="exact" w:val="278"/>
          <w:jc w:val="center"/>
        </w:trPr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CA" w:rsidRPr="0032087E" w:rsidRDefault="009145CA" w:rsidP="0047290E">
            <w:pPr>
              <w:shd w:val="clear" w:color="auto" w:fill="FFFFFF"/>
              <w:jc w:val="both"/>
            </w:pPr>
            <w:r w:rsidRPr="0032087E">
              <w:t>GMT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9 076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9 086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9 111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9 120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9 129</w:t>
            </w:r>
          </w:p>
        </w:tc>
      </w:tr>
      <w:tr w:rsidR="009145CA" w:rsidRPr="0032087E" w:rsidTr="0047290E">
        <w:trPr>
          <w:trHeight w:hRule="exact" w:val="288"/>
          <w:jc w:val="center"/>
        </w:trPr>
        <w:tc>
          <w:tcPr>
            <w:tcW w:w="1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45CA" w:rsidRPr="0032087E" w:rsidRDefault="009145CA" w:rsidP="0047290E">
            <w:pPr>
              <w:shd w:val="clear" w:color="auto" w:fill="FFFFFF"/>
              <w:jc w:val="both"/>
            </w:pPr>
            <w:r w:rsidRPr="0032087E">
              <w:t>pozostałe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2 117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2 181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2 185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2 1</w:t>
            </w:r>
            <w:r>
              <w:t>90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CA" w:rsidRPr="0032087E" w:rsidRDefault="009145CA" w:rsidP="0047290E">
            <w:pPr>
              <w:jc w:val="right"/>
            </w:pPr>
            <w:r w:rsidRPr="0032087E">
              <w:t>2 19</w:t>
            </w:r>
            <w:r>
              <w:t>4</w:t>
            </w:r>
          </w:p>
        </w:tc>
      </w:tr>
    </w:tbl>
    <w:p w:rsidR="009145CA" w:rsidRPr="00F26EE3" w:rsidRDefault="009145CA" w:rsidP="009145CA">
      <w:pPr>
        <w:jc w:val="both"/>
        <w:rPr>
          <w:sz w:val="20"/>
          <w:szCs w:val="20"/>
        </w:rPr>
      </w:pPr>
    </w:p>
    <w:p w:rsidR="009145CA" w:rsidRDefault="009145CA" w:rsidP="009145CA">
      <w:pPr>
        <w:jc w:val="both"/>
        <w:rPr>
          <w:b/>
        </w:rPr>
      </w:pPr>
      <w:r>
        <w:rPr>
          <w:b/>
        </w:rPr>
        <w:t>6</w:t>
      </w:r>
      <w:r w:rsidRPr="00913A59">
        <w:rPr>
          <w:b/>
        </w:rPr>
        <w:t xml:space="preserve">. Przedsięwzięcia rozwojowo </w:t>
      </w:r>
      <w:r>
        <w:rPr>
          <w:b/>
        </w:rPr>
        <w:t>–</w:t>
      </w:r>
      <w:r w:rsidRPr="00913A59">
        <w:rPr>
          <w:b/>
        </w:rPr>
        <w:t xml:space="preserve"> modernizacyjne</w:t>
      </w:r>
      <w:r>
        <w:rPr>
          <w:b/>
        </w:rPr>
        <w:t>.</w:t>
      </w:r>
    </w:p>
    <w:p w:rsidR="009145CA" w:rsidRDefault="009145CA" w:rsidP="009145CA">
      <w:pPr>
        <w:shd w:val="clear" w:color="auto" w:fill="FFFFFF"/>
        <w:ind w:right="10" w:firstLine="567"/>
        <w:jc w:val="both"/>
      </w:pPr>
      <w:r>
        <w:t>Opisana w tabeli 1</w:t>
      </w:r>
      <w:r w:rsidRPr="00913A59">
        <w:t>, w punk</w:t>
      </w:r>
      <w:r>
        <w:t xml:space="preserve">cie I </w:t>
      </w:r>
      <w:r w:rsidRPr="00913A59">
        <w:t xml:space="preserve">rozbudowa sieci wodociągowej pozwoli na pozyskanie nowych odbiorców wody, szczególnie na terenach przeznaczonych przez Gminę do zabudowy jedno- i wielorodzinnej jak OM JAR, </w:t>
      </w:r>
      <w:r>
        <w:t>Grębocin Nad Strugą, rejon ul. Poznańska - Glinki</w:t>
      </w:r>
      <w:r w:rsidRPr="00913A59">
        <w:t xml:space="preserve"> oraz </w:t>
      </w:r>
      <w:r>
        <w:t xml:space="preserve">na </w:t>
      </w:r>
      <w:r w:rsidRPr="00913A59">
        <w:t>terenach</w:t>
      </w:r>
      <w:r>
        <w:t>,</w:t>
      </w:r>
      <w:r w:rsidRPr="00913A59">
        <w:t xml:space="preserve"> gdzie już rozwija się budownictwo a budowa sieci jest kontynuowana (Stawki Południowe, Rudak C</w:t>
      </w:r>
      <w:r>
        <w:t>, Winnica</w:t>
      </w:r>
      <w:r w:rsidRPr="00913A59">
        <w:t>)</w:t>
      </w:r>
      <w:r>
        <w:t xml:space="preserve">. Rozbudowa </w:t>
      </w:r>
      <w:r w:rsidRPr="00913A59">
        <w:t xml:space="preserve">stworzy warunki do inwestowania na terenach przemysłowych </w:t>
      </w:r>
      <w:r>
        <w:t xml:space="preserve">i usługowych </w:t>
      </w:r>
      <w:r w:rsidRPr="00913A59">
        <w:t xml:space="preserve">dotychczas nieuzbrojonych (m.in. rejon ulic: </w:t>
      </w:r>
      <w:r>
        <w:t>Ukośnej, Działowej, Kociewskiej, Na Zapleczu,</w:t>
      </w:r>
      <w:r w:rsidRPr="00913A59">
        <w:t xml:space="preserve"> </w:t>
      </w:r>
      <w:r>
        <w:t xml:space="preserve">Podgórskiej, Grota Roweckiego, Szosa Bydgoska przy pętli tramwajowej, </w:t>
      </w:r>
      <w:r w:rsidRPr="00913A59">
        <w:t xml:space="preserve">tereny </w:t>
      </w:r>
      <w:r>
        <w:t>zakładów Boryszew</w:t>
      </w:r>
      <w:r w:rsidRPr="00913A59">
        <w:t>)</w:t>
      </w:r>
      <w:r>
        <w:t xml:space="preserve">. </w:t>
      </w:r>
    </w:p>
    <w:p w:rsidR="009145CA" w:rsidRDefault="009145CA" w:rsidP="009145CA">
      <w:pPr>
        <w:shd w:val="clear" w:color="auto" w:fill="FFFFFF"/>
        <w:ind w:right="10" w:firstLine="567"/>
        <w:jc w:val="both"/>
      </w:pPr>
      <w:r>
        <w:t>Plan obejmuje budowę magistral wodociągowych w ul. Łódzkiej, Grota-Roweckiego i Podgórskiej-Grzybowej, które wpłyną na polepszenie zaopatrzenia w wodę tych rejonów miasta i ustabilizowanie ciśnień w sieci i poprawę niezawodności działania.</w:t>
      </w:r>
    </w:p>
    <w:p w:rsidR="009145CA" w:rsidRDefault="009145CA" w:rsidP="009145CA">
      <w:pPr>
        <w:shd w:val="clear" w:color="auto" w:fill="FFFFFF"/>
        <w:ind w:right="10" w:firstLine="567"/>
        <w:jc w:val="both"/>
      </w:pPr>
      <w:r>
        <w:t>Przeznacza się środki na przebudowę/wymianę wodociągów podwyższonego ciśnienia, których wiele odcinków jest w złym stanie technicznym i generuje straty wody (rejon Al. 700- lecia Torunia, Tuwima, Wojska Polskiego i inne).</w:t>
      </w:r>
    </w:p>
    <w:p w:rsidR="009145CA" w:rsidRDefault="009145CA" w:rsidP="009145CA">
      <w:pPr>
        <w:shd w:val="clear" w:color="auto" w:fill="FFFFFF"/>
        <w:ind w:right="10" w:firstLine="567"/>
        <w:jc w:val="both"/>
      </w:pPr>
      <w:r>
        <w:t xml:space="preserve">Plan przewiduje budowę (oraz przebudowę i wymianę) brakujących odcinków sieci wodociągowej w ulicach </w:t>
      </w:r>
      <w:r w:rsidRPr="00913A59">
        <w:t>przeznaczonych do modernizacji</w:t>
      </w:r>
      <w:r>
        <w:t xml:space="preserve"> i przebudowy</w:t>
      </w:r>
      <w:r w:rsidRPr="00913A59">
        <w:t xml:space="preserve"> przez MZD</w:t>
      </w:r>
      <w:r>
        <w:t>, w tym w szeregu ulic ujętych do realizacji w ramach uchwalonego przez Radę Miasta Torunia Programu Budowy Dróg Lokalnych</w:t>
      </w:r>
      <w:r w:rsidRPr="00913A59">
        <w:t>.</w:t>
      </w:r>
      <w:r w:rsidRPr="00E87F91">
        <w:t xml:space="preserve"> </w:t>
      </w:r>
      <w:r w:rsidRPr="00913A59">
        <w:t xml:space="preserve"> </w:t>
      </w:r>
    </w:p>
    <w:p w:rsidR="009145CA" w:rsidRPr="00943BA8" w:rsidRDefault="009145CA" w:rsidP="009145CA">
      <w:pPr>
        <w:shd w:val="clear" w:color="auto" w:fill="FFFFFF"/>
        <w:ind w:right="11" w:firstLine="567"/>
        <w:jc w:val="both"/>
      </w:pPr>
      <w:r w:rsidRPr="00943BA8">
        <w:lastRenderedPageBreak/>
        <w:t>W tabeli 2 pkt I ujęto zadanie, które jest aktualnie realizowane w ramach projektu „Gospodarka wodno-ściekowa na terenie aglomeracji Toruń - III etap”</w:t>
      </w:r>
      <w:r>
        <w:t>,</w:t>
      </w:r>
      <w:r w:rsidRPr="00943BA8">
        <w:t xml:space="preserve"> tj. </w:t>
      </w:r>
      <w:r>
        <w:t xml:space="preserve">„Rozdział kanalizacji ogólnospławnej poprzez budowę </w:t>
      </w:r>
      <w:r w:rsidRPr="00943BA8">
        <w:t>kolektora deszczowego K-I</w:t>
      </w:r>
      <w:r>
        <w:t>”</w:t>
      </w:r>
      <w:r w:rsidRPr="00943BA8">
        <w:t xml:space="preserve"> oraz zadanie </w:t>
      </w:r>
      <w:r>
        <w:t>„M</w:t>
      </w:r>
      <w:r w:rsidRPr="00943BA8">
        <w:t>odernizacja Centralnej Oczyszczalni Ścieków w Toruniu - II etap</w:t>
      </w:r>
      <w:r>
        <w:t>”</w:t>
      </w:r>
      <w:r w:rsidRPr="00943BA8">
        <w:t xml:space="preserve"> </w:t>
      </w:r>
      <w:r>
        <w:t xml:space="preserve">na które pozyskano środki w ramach </w:t>
      </w:r>
      <w:r w:rsidRPr="00943BA8">
        <w:t>rozszerzenia zakresu rzeczowego Projektu.</w:t>
      </w:r>
    </w:p>
    <w:p w:rsidR="009145CA" w:rsidRPr="00A30309" w:rsidRDefault="009145CA" w:rsidP="009145CA">
      <w:pPr>
        <w:shd w:val="clear" w:color="auto" w:fill="FFFFFF"/>
        <w:ind w:right="11" w:firstLine="567"/>
        <w:jc w:val="both"/>
      </w:pPr>
      <w:r w:rsidRPr="00A30309">
        <w:t>Wykonanie zadań wymienionych w tabeli 2 poz. 3-6, obejmujących bezwykopową modernizację sieci kanalizacyjnej na terenie miasta Torunia - II etap (ok. 8,6 km sieci DN 150-1000), modernizację kolektora C w Toruniu (ok. 3,2 km kolektora DN 1000-2000), modernizację kolektora C - etap II (ok. 7,5 km kolektora DN 900-1800) oraz rozdział kanalizacji ogólnospławnej w rejonie ul. Poznańskiej (ok. 0,9 km kanału DN 600-1800) uzależnione jest od pozyskania dofinansowania ze środków zewnętrznych. Zadania te zostały ujęte w ramach kolejnego projektu rozszerzenia projektu „Gospodarka wodno-ściekowa na terenie aglomeracji Toruń – IV etap”.</w:t>
      </w:r>
    </w:p>
    <w:p w:rsidR="009145CA" w:rsidRDefault="009145CA" w:rsidP="009145CA">
      <w:pPr>
        <w:ind w:firstLine="567"/>
        <w:jc w:val="both"/>
      </w:pPr>
      <w:r w:rsidRPr="00A30309">
        <w:t>Poza ww. projektem Spółka będzie zabiegała o pozyskanie środków na inne zadania, m.in.</w:t>
      </w:r>
      <w:r>
        <w:t xml:space="preserve"> Z</w:t>
      </w:r>
      <w:r w:rsidRPr="00A30309">
        <w:t>akup samochodów elektrycznych wraz ze stacjami ładowania (tabela 1, poz. 14)</w:t>
      </w:r>
      <w:r>
        <w:t>,</w:t>
      </w:r>
      <w:r w:rsidRPr="00A30309">
        <w:t xml:space="preserve"> Budowę przepławki na jazie na rzece Drw</w:t>
      </w:r>
      <w:r>
        <w:t>ęcy (tabela 1, poz. 11), Budowę</w:t>
      </w:r>
      <w:r w:rsidRPr="00A30309">
        <w:t xml:space="preserve"> W</w:t>
      </w:r>
      <w:r>
        <w:t xml:space="preserve">ydzielonej Komory Fermentacyjnej na terenie oczyszczalni ścieków </w:t>
      </w:r>
      <w:r w:rsidRPr="00540AE4">
        <w:rPr>
          <w:i/>
        </w:rPr>
        <w:t>Centralna</w:t>
      </w:r>
      <w:r>
        <w:t xml:space="preserve">, </w:t>
      </w:r>
      <w:r w:rsidRPr="00A30309">
        <w:t>(tabela 2, poz. 20)</w:t>
      </w:r>
      <w:r>
        <w:t xml:space="preserve">, </w:t>
      </w:r>
      <w:r w:rsidRPr="00540AE4">
        <w:t>Budowa instalacji fotowoltaicznej na terenie Stacji Wodociągowej Drwęca-Jedwabno</w:t>
      </w:r>
      <w:r>
        <w:t xml:space="preserve"> (tabela 1, poz. 9).</w:t>
      </w:r>
    </w:p>
    <w:p w:rsidR="009145CA" w:rsidRPr="00943BA8" w:rsidRDefault="009145CA" w:rsidP="009145CA">
      <w:pPr>
        <w:ind w:firstLine="567"/>
        <w:jc w:val="both"/>
      </w:pPr>
      <w:r w:rsidRPr="00943BA8">
        <w:t>Planowane działania przyczynią się do usprawnienia funkcjonującego systemu kanalizacji poprzez uzyskanie pełnej szczelności istniejących kanałów oraz zapewnią ich dalszą bezawaryjną pracę. Wyeliminowane zostaną zjawiska eksfiltracji (prze</w:t>
      </w:r>
      <w:r>
        <w:t>nikania ścieków z </w:t>
      </w:r>
      <w:r w:rsidRPr="00943BA8">
        <w:t>kanału do gruntu) oraz infiltracji (przedostawanie się wód g</w:t>
      </w:r>
      <w:r>
        <w:t>runtowych do wnętrza kanału) co </w:t>
      </w:r>
      <w:r w:rsidRPr="00943BA8">
        <w:t>będzie miało pozytywne oddziaływanie na środowisko wodne.</w:t>
      </w:r>
    </w:p>
    <w:p w:rsidR="009145CA" w:rsidRDefault="009145CA" w:rsidP="009145CA">
      <w:pPr>
        <w:shd w:val="clear" w:color="auto" w:fill="FFFFFF"/>
        <w:ind w:right="11" w:firstLine="567"/>
        <w:jc w:val="both"/>
      </w:pPr>
      <w:r>
        <w:t xml:space="preserve">Inwestycja na ul. Poznańskiej </w:t>
      </w:r>
      <w:r w:rsidRPr="00B8257E">
        <w:t xml:space="preserve">umożliwi rozdzielenie ścieków deszczowych </w:t>
      </w:r>
      <w:r>
        <w:t>i </w:t>
      </w:r>
      <w:r w:rsidRPr="00B8257E">
        <w:t xml:space="preserve">sanitarnych </w:t>
      </w:r>
      <w:r>
        <w:t>w tej części</w:t>
      </w:r>
      <w:r w:rsidRPr="001D5900">
        <w:t xml:space="preserve"> miasta.</w:t>
      </w:r>
    </w:p>
    <w:p w:rsidR="009145CA" w:rsidRPr="00913A59" w:rsidRDefault="009145CA" w:rsidP="009145CA">
      <w:pPr>
        <w:shd w:val="clear" w:color="auto" w:fill="FFFFFF"/>
        <w:ind w:firstLine="567"/>
        <w:jc w:val="both"/>
      </w:pPr>
      <w:r>
        <w:t xml:space="preserve">W tabeli II, w pkt. II przedstawiono zadania dotyczące budowy nowych odcinków sieci kanalizacji sanitarnej. </w:t>
      </w:r>
      <w:r w:rsidRPr="00913A59">
        <w:t>Realizacja ww. zadań pozwoli na:</w:t>
      </w:r>
    </w:p>
    <w:p w:rsidR="009145CA" w:rsidRPr="00913A59" w:rsidRDefault="009145CA" w:rsidP="009145CA">
      <w:pPr>
        <w:shd w:val="clear" w:color="auto" w:fill="FFFFFF"/>
        <w:jc w:val="both"/>
      </w:pPr>
      <w:r>
        <w:t xml:space="preserve">- </w:t>
      </w:r>
      <w:r w:rsidRPr="00913A59">
        <w:t>ograniczenie szkód ekologicznych, jakie wywołują nieszczelne przydomowe zbiorniki na nieczystości płynne oraz nieszczelne sieci kanalizacji sanitarnej i og</w:t>
      </w:r>
      <w:r>
        <w:t xml:space="preserve">ólnospławnej. W tabeli II, w pkt. II przedstawiono zadania dotyczące budowy nowych odcinków sieci kanalizacji sanitarnej. </w:t>
      </w:r>
      <w:r w:rsidRPr="00913A59">
        <w:t>Realizacja ww. zadań pozwoli na:</w:t>
      </w:r>
    </w:p>
    <w:p w:rsidR="009145CA" w:rsidRDefault="009145CA" w:rsidP="009145CA">
      <w:pPr>
        <w:tabs>
          <w:tab w:val="left" w:pos="284"/>
        </w:tabs>
        <w:jc w:val="both"/>
      </w:pPr>
      <w:r>
        <w:t xml:space="preserve">- </w:t>
      </w:r>
      <w:r w:rsidRPr="00913A59">
        <w:t>ograniczenie szkód ekologicznych, jakie wywołują nieszczelne przydomowe zbiorniki na nieczystości płynne oraz nieszczelne sieci kanalizacji sanitarnej i og</w:t>
      </w:r>
      <w:r>
        <w:t xml:space="preserve">ólnospławnej, </w:t>
      </w:r>
    </w:p>
    <w:p w:rsidR="009145CA" w:rsidRPr="00913A59" w:rsidRDefault="009145CA" w:rsidP="009145CA">
      <w:pPr>
        <w:shd w:val="clear" w:color="auto" w:fill="FFFFFF"/>
        <w:tabs>
          <w:tab w:val="left" w:pos="284"/>
        </w:tabs>
        <w:ind w:right="10"/>
        <w:jc w:val="both"/>
      </w:pPr>
      <w:r>
        <w:t>-</w:t>
      </w:r>
      <w:r>
        <w:tab/>
        <w:t>polepszenie warunków</w:t>
      </w:r>
      <w:r w:rsidRPr="00913A59">
        <w:t xml:space="preserve"> bytowych dla mieszkańców miasta na terenach dotychczas nieuzbrojonych (OM Stawki Południowe, OM Rudak C, OM Bukowa Kępa</w:t>
      </w:r>
      <w:r>
        <w:t>, Grębocin Nad Strugą</w:t>
      </w:r>
      <w:r w:rsidRPr="00913A59">
        <w:t>).</w:t>
      </w:r>
    </w:p>
    <w:p w:rsidR="009145CA" w:rsidRPr="00913A59" w:rsidRDefault="009145CA" w:rsidP="009145CA">
      <w:pPr>
        <w:shd w:val="clear" w:color="auto" w:fill="FFFFFF"/>
        <w:tabs>
          <w:tab w:val="left" w:pos="284"/>
        </w:tabs>
        <w:ind w:right="10"/>
        <w:jc w:val="both"/>
      </w:pPr>
      <w:r w:rsidRPr="00913A59">
        <w:t>-</w:t>
      </w:r>
      <w:r w:rsidRPr="00913A59">
        <w:tab/>
        <w:t>polepszenie warunków d</w:t>
      </w:r>
      <w:r>
        <w:t xml:space="preserve">o inwestowania na terenach jw. </w:t>
      </w:r>
      <w:r w:rsidRPr="00913A59">
        <w:t xml:space="preserve">oraz w rejonie ulic: </w:t>
      </w:r>
      <w:r>
        <w:t>Winnica, Na Zapleczu, Ukośnej, Kociewskiej, na</w:t>
      </w:r>
      <w:r w:rsidRPr="00913A59">
        <w:t xml:space="preserve"> terenach </w:t>
      </w:r>
      <w:r>
        <w:t xml:space="preserve">rewitalizowanych </w:t>
      </w:r>
      <w:r w:rsidRPr="00913A59">
        <w:t xml:space="preserve">po zakładach </w:t>
      </w:r>
      <w:r>
        <w:t>Boryszew,</w:t>
      </w:r>
      <w:r w:rsidRPr="00241BFC">
        <w:t xml:space="preserve"> </w:t>
      </w:r>
      <w:r>
        <w:t>Poznańska-Glinki</w:t>
      </w:r>
      <w:r w:rsidRPr="00913A59">
        <w:t>.</w:t>
      </w:r>
    </w:p>
    <w:p w:rsidR="009145CA" w:rsidRDefault="009145CA" w:rsidP="009145CA">
      <w:pPr>
        <w:tabs>
          <w:tab w:val="left" w:pos="284"/>
        </w:tabs>
        <w:jc w:val="both"/>
      </w:pPr>
      <w:r w:rsidRPr="00913A59">
        <w:t>-</w:t>
      </w:r>
      <w:r w:rsidRPr="00913A59">
        <w:tab/>
        <w:t>umożliwienie realizacji inwestycji miejskich, głównie dróg</w:t>
      </w:r>
      <w:r>
        <w:t xml:space="preserve"> w ramach Programu Budowy Dróg Lokalnych zatwierdzonego decyzją Rady Miasta oraz w ramach TTBS.</w:t>
      </w:r>
    </w:p>
    <w:p w:rsidR="009145CA" w:rsidRDefault="009145CA" w:rsidP="009145CA">
      <w:pPr>
        <w:shd w:val="clear" w:color="auto" w:fill="FFFFFF"/>
        <w:ind w:right="11" w:firstLine="567"/>
        <w:jc w:val="both"/>
      </w:pPr>
      <w:r>
        <w:t xml:space="preserve">Podobnie jak w przypadku tabeli I plan przewiduje budowę (oraz przebudowę i wymianę) brakujących odcinków sieci kanalizacyjnej w ulicach </w:t>
      </w:r>
      <w:r w:rsidRPr="00913A59">
        <w:t>przeznaczonych do modernizacji</w:t>
      </w:r>
      <w:r>
        <w:t xml:space="preserve"> i przebudowy</w:t>
      </w:r>
      <w:r w:rsidRPr="00913A59">
        <w:t xml:space="preserve"> przez MZD</w:t>
      </w:r>
      <w:r>
        <w:t>, w tym w szeregu ulic ujętych do realizacji w ramach uchwalonego przez Radę Miasta Torunia Programu Budowy Dróg Lokalnych</w:t>
      </w:r>
      <w:r w:rsidRPr="00913A59">
        <w:t>.</w:t>
      </w:r>
    </w:p>
    <w:p w:rsidR="009145CA" w:rsidRDefault="009145CA" w:rsidP="009145CA">
      <w:pPr>
        <w:shd w:val="clear" w:color="auto" w:fill="FFFFFF"/>
        <w:ind w:right="10" w:firstLine="567"/>
        <w:jc w:val="both"/>
      </w:pPr>
      <w:r>
        <w:t xml:space="preserve">Część zadań opisana w punkcie II jako przebudowa </w:t>
      </w:r>
      <w:r w:rsidRPr="00913A59">
        <w:t xml:space="preserve">odcinków sieci </w:t>
      </w:r>
      <w:r>
        <w:t>wynika z potrzeb dyslokacji odcinków sieci z racji budowy przebudowy ulic lub zmian w zagospodarowaniu otaczającego terenu.</w:t>
      </w:r>
    </w:p>
    <w:p w:rsidR="009145CA" w:rsidRPr="002101DC" w:rsidRDefault="009145CA" w:rsidP="009145CA">
      <w:pPr>
        <w:ind w:firstLine="567"/>
        <w:jc w:val="both"/>
        <w:rPr>
          <w:sz w:val="10"/>
          <w:szCs w:val="10"/>
        </w:rPr>
      </w:pPr>
    </w:p>
    <w:p w:rsidR="009145CA" w:rsidRPr="00913A59" w:rsidRDefault="009145CA" w:rsidP="009145CA">
      <w:pPr>
        <w:jc w:val="both"/>
        <w:rPr>
          <w:b/>
        </w:rPr>
      </w:pPr>
      <w:r>
        <w:rPr>
          <w:b/>
        </w:rPr>
        <w:t>7</w:t>
      </w:r>
      <w:r w:rsidRPr="00913A59">
        <w:rPr>
          <w:b/>
        </w:rPr>
        <w:t>. Przedsięwzięcia racjonalizujące zużycie wody oraz odprowadzanie ścieków</w:t>
      </w:r>
      <w:r>
        <w:rPr>
          <w:b/>
        </w:rPr>
        <w:t>.</w:t>
      </w:r>
    </w:p>
    <w:p w:rsidR="009145CA" w:rsidRDefault="009145CA" w:rsidP="009145CA">
      <w:pPr>
        <w:ind w:firstLine="567"/>
        <w:jc w:val="both"/>
      </w:pPr>
      <w:r w:rsidRPr="00913A59">
        <w:t>Wymiana</w:t>
      </w:r>
      <w:r>
        <w:t xml:space="preserve"> ze względu na zły stan techniczny i awaryjność niektórych przewodów</w:t>
      </w:r>
      <w:r w:rsidRPr="00913A59">
        <w:t xml:space="preserve"> </w:t>
      </w:r>
      <w:r>
        <w:t xml:space="preserve">zapewni </w:t>
      </w:r>
      <w:r w:rsidRPr="00913A59">
        <w:t xml:space="preserve">nieprzerwane dostawy wody, obniży koszty eksploatacji sieci wodociągowej, </w:t>
      </w:r>
      <w:r w:rsidRPr="00913A59">
        <w:lastRenderedPageBreak/>
        <w:t>zmniejszy ilość uciążliwych dla mieszkańców awarii sieci wodociągowej (czasowych braków wody, wyłączeń z ruchu lub ograniczeń w ruchu kołowym i pieszym).</w:t>
      </w:r>
    </w:p>
    <w:p w:rsidR="009145CA" w:rsidRDefault="009145CA" w:rsidP="009145CA">
      <w:pPr>
        <w:shd w:val="clear" w:color="auto" w:fill="FFFFFF"/>
        <w:ind w:right="10" w:firstLine="567"/>
        <w:jc w:val="both"/>
      </w:pPr>
      <w:r w:rsidRPr="00913A59">
        <w:t>W tabeli 1, pkt</w:t>
      </w:r>
      <w:r>
        <w:t>.</w:t>
      </w:r>
      <w:r w:rsidRPr="00913A59">
        <w:t xml:space="preserve"> </w:t>
      </w:r>
      <w:r>
        <w:t xml:space="preserve">II </w:t>
      </w:r>
      <w:r w:rsidRPr="00913A59">
        <w:t>zaplanowano inwestycje pozwalające na minimalizację strat wody wynikających z nieszczelności lub awaryjności istniejącej sieci wodociągowej</w:t>
      </w:r>
      <w:r>
        <w:t xml:space="preserve"> (ul. Bema, Warneńczyka, Rudacka, PCK). Część zadań wynika z potrzeb dyslokacji odcinków sieci z racji budowy przebudowy ulic lub zmian w zagospodarowaniu otaczającego terenu (ul. Grudziądzka – przy budynku Straży Miejskiej).</w:t>
      </w:r>
    </w:p>
    <w:p w:rsidR="009145CA" w:rsidRPr="00913A59" w:rsidRDefault="009145CA" w:rsidP="009145CA">
      <w:pPr>
        <w:ind w:firstLine="567"/>
        <w:jc w:val="both"/>
      </w:pPr>
      <w:r w:rsidRPr="00913A59">
        <w:t xml:space="preserve">W tabeli 1, pkt </w:t>
      </w:r>
      <w:r>
        <w:t xml:space="preserve"> </w:t>
      </w:r>
      <w:r w:rsidRPr="00913A59">
        <w:t>III</w:t>
      </w:r>
      <w:r>
        <w:t>. 7, 8, 13, 15</w:t>
      </w:r>
      <w:r w:rsidRPr="0012320E">
        <w:t xml:space="preserve"> </w:t>
      </w:r>
      <w:r w:rsidRPr="00913A59">
        <w:t xml:space="preserve">zaplanowano </w:t>
      </w:r>
      <w:r>
        <w:t xml:space="preserve">zadania modernizacyjne na obiektach sieciowych i ujęciach wody. Przewidziano środki na rozbudowę ujęć wód podziemnych o nowe studnie, zastąpienie istniejących, wyeksploatowanych, studni nowymi, wymianę urządzeń technologicznych. </w:t>
      </w:r>
      <w:r w:rsidRPr="00913A59">
        <w:t xml:space="preserve">Modernizacja </w:t>
      </w:r>
      <w:r>
        <w:t xml:space="preserve">i rozbudowa </w:t>
      </w:r>
      <w:r w:rsidRPr="00913A59">
        <w:t xml:space="preserve">istniejących ujęć wody gruntowej pozwoli </w:t>
      </w:r>
      <w:r>
        <w:t>zwiększyć</w:t>
      </w:r>
      <w:r w:rsidRPr="00913A59">
        <w:t xml:space="preserve"> możliwości produkcyjne oraz zapewni ochronę istniejących i nowych studni głębinowych przed infiltracją zanieczyszczeń zewnętrznych. </w:t>
      </w:r>
    </w:p>
    <w:p w:rsidR="009145CA" w:rsidRPr="00315ED8" w:rsidRDefault="009145CA" w:rsidP="009145CA">
      <w:pPr>
        <w:ind w:firstLine="567"/>
        <w:jc w:val="both"/>
      </w:pPr>
      <w:r w:rsidRPr="00315ED8">
        <w:t>Modernizowane będą pobudowane jeszcze w latach siedemdziesiątych/ osiemdziesiątych hydrofornie pozostające na majątku Spółki wraz z sieciami wodociągowy</w:t>
      </w:r>
      <w:r>
        <w:t>mi podwyższonego ciśnienia (pkt</w:t>
      </w:r>
      <w:r w:rsidRPr="00315ED8">
        <w:t xml:space="preserve"> 13). Kontynuowana będzie rozbudowa </w:t>
      </w:r>
      <w:r>
        <w:t>monitoringu strat na sieci (pkt</w:t>
      </w:r>
      <w:r w:rsidRPr="00315ED8">
        <w:t xml:space="preserve"> 1</w:t>
      </w:r>
      <w:r>
        <w:t>5</w:t>
      </w:r>
      <w:r w:rsidRPr="00315ED8">
        <w:t>) oraz przeznaczone zostaną środki na modernizację gospodarki energetycznej</w:t>
      </w:r>
      <w:r>
        <w:t xml:space="preserve"> na ujęciach (pkt</w:t>
      </w:r>
      <w:r w:rsidRPr="00315ED8">
        <w:t xml:space="preserve"> 8). Budowa instalacji fotowoltaicznych pozwoli na produkcję energii elektrycznej na potrzeby własne ujęć wody w Małej Nieszawce i w Lubiczu.</w:t>
      </w:r>
    </w:p>
    <w:p w:rsidR="009145CA" w:rsidRPr="00913A59" w:rsidRDefault="009145CA" w:rsidP="009145CA">
      <w:pPr>
        <w:ind w:firstLine="567"/>
        <w:jc w:val="both"/>
      </w:pPr>
      <w:r w:rsidRPr="00315ED8">
        <w:t>W punkcie 14 tabeli I przewidziano</w:t>
      </w:r>
      <w:r>
        <w:t xml:space="preserve"> zgodnie z ustawą o elektromobilności środki na zakup samochodów elektrycznych.</w:t>
      </w:r>
    </w:p>
    <w:p w:rsidR="009145CA" w:rsidRPr="00913A59" w:rsidRDefault="009145CA" w:rsidP="009145CA">
      <w:pPr>
        <w:shd w:val="clear" w:color="auto" w:fill="FFFFFF"/>
        <w:ind w:right="67" w:firstLine="567"/>
        <w:jc w:val="both"/>
      </w:pPr>
      <w:r w:rsidRPr="00913A59">
        <w:t>W tabeli 2 inwestycje prz</w:t>
      </w:r>
      <w:r>
        <w:t xml:space="preserve">edstawione w </w:t>
      </w:r>
      <w:r w:rsidRPr="00913A59">
        <w:t>pkt</w:t>
      </w:r>
      <w:r>
        <w:t>.</w:t>
      </w:r>
      <w:r w:rsidRPr="00913A59">
        <w:t xml:space="preserve"> III pozwalają na likwidację nieszczelności sieci kanalizacji sanitarnej</w:t>
      </w:r>
      <w:r>
        <w:t xml:space="preserve"> na sieciach będących w złym stanie technicznym. </w:t>
      </w:r>
    </w:p>
    <w:p w:rsidR="009145CA" w:rsidRDefault="009145CA" w:rsidP="009145CA">
      <w:pPr>
        <w:shd w:val="clear" w:color="auto" w:fill="FFFFFF"/>
        <w:ind w:right="10" w:firstLine="567"/>
        <w:jc w:val="both"/>
      </w:pPr>
      <w:r w:rsidRPr="00913A59">
        <w:t>Modernizacja sieci kanalizacyjnej metodą be</w:t>
      </w:r>
      <w:r>
        <w:t>zwykopową, za pomocą wklejanych</w:t>
      </w:r>
      <w:r w:rsidRPr="00913A59">
        <w:t xml:space="preserve"> „rękawów termoutwardzalnych” </w:t>
      </w:r>
      <w:r>
        <w:t xml:space="preserve">lub paneli </w:t>
      </w:r>
      <w:r w:rsidRPr="00913A59">
        <w:t>skutecznie uniemożliwi przenikanie ścieków do środowiska</w:t>
      </w:r>
      <w:r>
        <w:t>,</w:t>
      </w:r>
      <w:r w:rsidRPr="00913A59">
        <w:t xml:space="preserve"> a także dopływ wód infiltracyjnych do istniejących odcinków kanalizacji. W ten sposób ograniczona zostanie ilość ścieków spływających do oczyszczalni, a tym samym obniży się koszt oczyszczania ścieków.</w:t>
      </w:r>
      <w:r>
        <w:t xml:space="preserve"> Wzmocniona zostanie także konstrukcja kanałów, często kilkudziesięcioletnich. Przewidziano środki na modernizację kanalizacji sanitarnej metodami bezwykopowymi, w tym starych kanałów dużej średnicy w Szosie Lubickiej, Krasińskiego.</w:t>
      </w:r>
    </w:p>
    <w:p w:rsidR="009145CA" w:rsidRDefault="009145CA" w:rsidP="009145CA">
      <w:pPr>
        <w:shd w:val="clear" w:color="auto" w:fill="FFFFFF"/>
        <w:ind w:right="72" w:firstLine="567"/>
        <w:jc w:val="both"/>
      </w:pPr>
      <w:r w:rsidRPr="00913A59">
        <w:t>W tabeli 2 inwestycje prz</w:t>
      </w:r>
      <w:r>
        <w:t xml:space="preserve">edstawione w </w:t>
      </w:r>
      <w:r w:rsidRPr="00913A59">
        <w:t>pkt I</w:t>
      </w:r>
      <w:r>
        <w:t>V.14, 15 pozwolą na zoptymalizowanie zużycia energii elektrycznej oraz poprawę działania obiektów na sieci kanalizacyjnej, w tym przepompowni sieciowych. W punkcie 17 zapisano środki na modernizacje obiektów na terenie Oczyszczalni Ścieków „Centralna”. W punkcie 19 przeznaczono środki na budowę nowego zbiornika WKFz.</w:t>
      </w:r>
    </w:p>
    <w:p w:rsidR="009145CA" w:rsidRDefault="009145CA" w:rsidP="009145CA">
      <w:pPr>
        <w:shd w:val="clear" w:color="auto" w:fill="FFFFFF"/>
        <w:ind w:right="72" w:firstLine="567"/>
        <w:jc w:val="both"/>
      </w:pPr>
      <w:r>
        <w:t>Termomodernizacja obiektów pozwoli na ograniczenie zużycia ciepła (tabela 1 pkt 17 i tabela 2, pkt 18).</w:t>
      </w:r>
    </w:p>
    <w:p w:rsidR="009145CA" w:rsidRPr="00913A59" w:rsidRDefault="009145CA" w:rsidP="009145CA">
      <w:pPr>
        <w:ind w:firstLine="567"/>
        <w:jc w:val="both"/>
      </w:pPr>
      <w:r w:rsidRPr="00A41819">
        <w:t xml:space="preserve">Modernizacja serwerowni, sieci komputerowej oraz systemów informatycznych </w:t>
      </w:r>
      <w:r w:rsidRPr="00913A59">
        <w:t xml:space="preserve">(tabela 1, pkt </w:t>
      </w:r>
      <w:r>
        <w:t xml:space="preserve">III. 8 </w:t>
      </w:r>
      <w:r w:rsidRPr="00913A59">
        <w:t>i tabela 2, pkt IV.1</w:t>
      </w:r>
      <w:r>
        <w:t>4</w:t>
      </w:r>
      <w:r w:rsidRPr="00913A59">
        <w:t xml:space="preserve">) usprawni oraz podniesie bezpieczeństwo funkcjonowania serwerowni oraz sieci komputerowej </w:t>
      </w:r>
      <w:r>
        <w:t xml:space="preserve">i pozwoli na niezbędne aktualizacje oprogramowania </w:t>
      </w:r>
      <w:r w:rsidRPr="00913A59">
        <w:t>w Spółce.</w:t>
      </w:r>
    </w:p>
    <w:p w:rsidR="009145CA" w:rsidRPr="00913A59" w:rsidRDefault="009145CA" w:rsidP="009145CA">
      <w:pPr>
        <w:ind w:firstLine="567"/>
        <w:jc w:val="both"/>
      </w:pPr>
      <w:r w:rsidRPr="00913A59">
        <w:t xml:space="preserve">Przygotowanie nowych zadań inwestycyjnych – tabela 1, pkt </w:t>
      </w:r>
      <w:r>
        <w:t>I</w:t>
      </w:r>
      <w:r w:rsidRPr="00913A59">
        <w:t>V.</w:t>
      </w:r>
      <w:r>
        <w:t xml:space="preserve">19 </w:t>
      </w:r>
      <w:r w:rsidRPr="00913A59">
        <w:t>i tabela 2, pkt V.</w:t>
      </w:r>
      <w:r>
        <w:t>20</w:t>
      </w:r>
      <w:r w:rsidRPr="00913A59">
        <w:t xml:space="preserve"> przewiduje środki na wykonanie, koncepcji, dokumentacji projektowych i innych opracowań związanych z modernizacją, wymianą oraz rozbudową sieci i urządzeń wodociągowych i</w:t>
      </w:r>
      <w:r>
        <w:t> </w:t>
      </w:r>
      <w:r w:rsidRPr="00913A59">
        <w:t>kanalizacyjnych, niezbędnych do realizacji inwestycji przewidzianych w planie w kolejnych latach.</w:t>
      </w:r>
    </w:p>
    <w:p w:rsidR="009145CA" w:rsidRDefault="009145CA" w:rsidP="009145CA">
      <w:pPr>
        <w:ind w:firstLine="567"/>
        <w:jc w:val="both"/>
      </w:pPr>
      <w:r>
        <w:t>R</w:t>
      </w:r>
      <w:r w:rsidRPr="00913A59">
        <w:t>ezerwa przeznaczona jest n</w:t>
      </w:r>
      <w:r>
        <w:t xml:space="preserve">a ewentualne niezbędne pokrycie </w:t>
      </w:r>
      <w:r w:rsidRPr="00913A59">
        <w:t xml:space="preserve">dodatkowych kosztów związanych z realizacją zadań planowanych, a także na pokrycie kosztów zadań nie planowanych, które mogą wyniknąć np. z konieczności wymiany sieci i przyłączy wodociągowych </w:t>
      </w:r>
      <w:r>
        <w:t xml:space="preserve">lub wymiany sieci kanalizacyjnych </w:t>
      </w:r>
      <w:r w:rsidRPr="00913A59">
        <w:t xml:space="preserve">w związku z modernizacjami lub remontami dróg (tabela 1, pkt </w:t>
      </w:r>
      <w:r>
        <w:t>I</w:t>
      </w:r>
      <w:r w:rsidRPr="00913A59">
        <w:t>V.</w:t>
      </w:r>
      <w:r>
        <w:t>20,</w:t>
      </w:r>
      <w:r w:rsidRPr="00913A59">
        <w:t xml:space="preserve"> tabela 2, pkt V.</w:t>
      </w:r>
      <w:r>
        <w:t>21</w:t>
      </w:r>
      <w:r w:rsidRPr="00913A59">
        <w:t>)</w:t>
      </w:r>
      <w:r>
        <w:t>.</w:t>
      </w:r>
    </w:p>
    <w:p w:rsidR="009145CA" w:rsidRPr="00F26EE3" w:rsidRDefault="009145CA" w:rsidP="009145CA">
      <w:pPr>
        <w:jc w:val="both"/>
        <w:rPr>
          <w:sz w:val="20"/>
          <w:szCs w:val="20"/>
        </w:rPr>
      </w:pPr>
    </w:p>
    <w:p w:rsidR="009145CA" w:rsidRDefault="009145CA" w:rsidP="009145CA">
      <w:pPr>
        <w:rPr>
          <w:b/>
        </w:rPr>
      </w:pPr>
      <w:r>
        <w:rPr>
          <w:b/>
        </w:rPr>
        <w:t>8</w:t>
      </w:r>
      <w:r w:rsidRPr="00913A59">
        <w:rPr>
          <w:b/>
        </w:rPr>
        <w:t>. Nakłady na planowane</w:t>
      </w:r>
      <w:r>
        <w:rPr>
          <w:b/>
        </w:rPr>
        <w:t xml:space="preserve"> </w:t>
      </w:r>
      <w:r w:rsidRPr="00913A59">
        <w:rPr>
          <w:b/>
        </w:rPr>
        <w:t>z</w:t>
      </w:r>
      <w:r>
        <w:rPr>
          <w:b/>
        </w:rPr>
        <w:t>adania inwestycyjne w latach 2022</w:t>
      </w:r>
      <w:r w:rsidRPr="00913A59">
        <w:rPr>
          <w:b/>
        </w:rPr>
        <w:t xml:space="preserve"> – 202</w:t>
      </w:r>
      <w:r>
        <w:rPr>
          <w:b/>
        </w:rPr>
        <w:t>6.</w:t>
      </w:r>
    </w:p>
    <w:p w:rsidR="009145CA" w:rsidRPr="006A1480" w:rsidRDefault="009145CA" w:rsidP="009145CA">
      <w:pPr>
        <w:jc w:val="center"/>
      </w:pPr>
      <w:r w:rsidRPr="006A1480">
        <w:t xml:space="preserve">                                                                                                                   tys. PLN</w:t>
      </w:r>
    </w:p>
    <w:tbl>
      <w:tblPr>
        <w:tblW w:w="95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1276"/>
        <w:gridCol w:w="850"/>
        <w:gridCol w:w="851"/>
        <w:gridCol w:w="850"/>
        <w:gridCol w:w="851"/>
        <w:gridCol w:w="992"/>
        <w:gridCol w:w="992"/>
        <w:gridCol w:w="514"/>
      </w:tblGrid>
      <w:tr w:rsidR="009145CA" w:rsidRPr="004F6643" w:rsidTr="0047290E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Nakłady inwestycyjne w latach 2022-2026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2020</w:t>
            </w:r>
            <w:r w:rsidRPr="004F6643">
              <w:rPr>
                <w:b/>
                <w:bCs/>
              </w:rPr>
              <w:br/>
              <w:t>wyko</w:t>
            </w:r>
            <w:r>
              <w:rPr>
                <w:b/>
                <w:bCs/>
              </w:rPr>
              <w:t>-</w:t>
            </w:r>
            <w:r w:rsidRPr="004F6643">
              <w:rPr>
                <w:b/>
                <w:bCs/>
              </w:rPr>
              <w:t>nanie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2021</w:t>
            </w:r>
            <w:r w:rsidRPr="004F6643">
              <w:rPr>
                <w:b/>
                <w:bCs/>
              </w:rPr>
              <w:br/>
              <w:t>przewi</w:t>
            </w:r>
            <w:r>
              <w:rPr>
                <w:b/>
                <w:bCs/>
              </w:rPr>
              <w:t>-</w:t>
            </w:r>
            <w:r w:rsidRPr="004F6643">
              <w:rPr>
                <w:b/>
                <w:bCs/>
              </w:rPr>
              <w:t>dywane wykonanie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Razem</w:t>
            </w:r>
            <w:r w:rsidRPr="004F6643">
              <w:rPr>
                <w:b/>
                <w:bCs/>
              </w:rPr>
              <w:br/>
              <w:t>2022-2026</w:t>
            </w:r>
          </w:p>
        </w:tc>
        <w:tc>
          <w:tcPr>
            <w:tcW w:w="514" w:type="dxa"/>
            <w:vAlign w:val="center"/>
            <w:hideMark/>
          </w:tcPr>
          <w:p w:rsidR="009145CA" w:rsidRPr="004F6643" w:rsidRDefault="009145CA" w:rsidP="0047290E"/>
        </w:tc>
      </w:tr>
      <w:tr w:rsidR="009145CA" w:rsidRPr="004F6643" w:rsidTr="0047290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r w:rsidRPr="004F6643">
              <w:t>na sieci i urządzenia wodociągowe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11 001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8 274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18 865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19 005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16 920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8 130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9 285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72 205</w:t>
            </w:r>
          </w:p>
        </w:tc>
        <w:tc>
          <w:tcPr>
            <w:tcW w:w="514" w:type="dxa"/>
            <w:vAlign w:val="center"/>
            <w:hideMark/>
          </w:tcPr>
          <w:p w:rsidR="009145CA" w:rsidRPr="004F6643" w:rsidRDefault="009145CA" w:rsidP="0047290E"/>
        </w:tc>
      </w:tr>
      <w:tr w:rsidR="009145CA" w:rsidRPr="004F6643" w:rsidTr="0047290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r w:rsidRPr="004F6643">
              <w:t>na sieci i urządzenia kanalizacyjne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51 825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34 211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 xml:space="preserve">25 </w:t>
            </w:r>
            <w:r>
              <w:t>68</w:t>
            </w:r>
            <w:r w:rsidRPr="004F6643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4</w:t>
            </w:r>
            <w:r>
              <w:t>0</w:t>
            </w:r>
            <w:r w:rsidRPr="004F6643">
              <w:t xml:space="preserve"> </w:t>
            </w:r>
            <w: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4</w:t>
            </w:r>
            <w:r>
              <w:t>4</w:t>
            </w:r>
            <w:r w:rsidRPr="004F6643">
              <w:t xml:space="preserve"> </w:t>
            </w:r>
            <w:r>
              <w:t>28</w:t>
            </w:r>
            <w:r w:rsidRPr="004F6643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3</w:t>
            </w:r>
            <w:r>
              <w:t>1</w:t>
            </w:r>
            <w:r w:rsidRPr="004F6643">
              <w:t xml:space="preserve"> </w:t>
            </w:r>
            <w:r>
              <w:t>5</w:t>
            </w:r>
            <w:r w:rsidRPr="004F6643"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2</w:t>
            </w:r>
            <w:r>
              <w:t>3</w:t>
            </w:r>
            <w:r w:rsidRPr="004F6643">
              <w:t xml:space="preserve">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1</w:t>
            </w:r>
            <w:r>
              <w:t>65</w:t>
            </w:r>
            <w:r w:rsidRPr="004F6643">
              <w:t xml:space="preserve"> </w:t>
            </w:r>
            <w:r>
              <w:t>898</w:t>
            </w:r>
          </w:p>
        </w:tc>
        <w:tc>
          <w:tcPr>
            <w:tcW w:w="514" w:type="dxa"/>
            <w:vAlign w:val="center"/>
            <w:hideMark/>
          </w:tcPr>
          <w:p w:rsidR="009145CA" w:rsidRPr="004F6643" w:rsidRDefault="009145CA" w:rsidP="0047290E"/>
        </w:tc>
      </w:tr>
      <w:tr w:rsidR="009145CA" w:rsidRPr="004F6643" w:rsidTr="0047290E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  <w:rPr>
                <w:b/>
                <w:bCs/>
              </w:rPr>
            </w:pPr>
            <w:r w:rsidRPr="004F6643">
              <w:rPr>
                <w:b/>
                <w:bCs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62 826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42 485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 xml:space="preserve">44 </w:t>
            </w:r>
            <w:r>
              <w:t>54</w:t>
            </w:r>
            <w:r w:rsidRPr="004F6643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>
              <w:t>59 39</w:t>
            </w:r>
            <w:r w:rsidRPr="004F6643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6</w:t>
            </w:r>
            <w:r>
              <w:t>1</w:t>
            </w:r>
            <w:r w:rsidRPr="004F6643">
              <w:t xml:space="preserve"> </w:t>
            </w:r>
            <w:r>
              <w:t>20</w:t>
            </w:r>
            <w:r w:rsidRPr="004F6643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>
              <w:t>39</w:t>
            </w:r>
            <w:r w:rsidRPr="004F6643">
              <w:t xml:space="preserve"> </w:t>
            </w:r>
            <w:r>
              <w:t>7</w:t>
            </w:r>
            <w:r w:rsidRPr="004F6643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3</w:t>
            </w:r>
            <w:r>
              <w:t>3</w:t>
            </w:r>
            <w:r w:rsidRPr="004F6643">
              <w:t xml:space="preserve">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4F6643" w:rsidRDefault="009145CA" w:rsidP="0047290E">
            <w:pPr>
              <w:jc w:val="center"/>
            </w:pPr>
            <w:r w:rsidRPr="004F6643">
              <w:t>2</w:t>
            </w:r>
            <w:r>
              <w:t>38</w:t>
            </w:r>
            <w:r w:rsidRPr="004F6643">
              <w:t xml:space="preserve"> </w:t>
            </w:r>
            <w:r>
              <w:t>10</w:t>
            </w:r>
            <w:r w:rsidRPr="004F6643">
              <w:t>3</w:t>
            </w:r>
          </w:p>
        </w:tc>
        <w:tc>
          <w:tcPr>
            <w:tcW w:w="514" w:type="dxa"/>
            <w:vAlign w:val="center"/>
            <w:hideMark/>
          </w:tcPr>
          <w:p w:rsidR="009145CA" w:rsidRPr="004F6643" w:rsidRDefault="009145CA" w:rsidP="0047290E"/>
        </w:tc>
      </w:tr>
    </w:tbl>
    <w:p w:rsidR="009145CA" w:rsidRDefault="009145CA" w:rsidP="009145CA">
      <w:pPr>
        <w:jc w:val="center"/>
      </w:pPr>
    </w:p>
    <w:p w:rsidR="009145CA" w:rsidRPr="00913A59" w:rsidRDefault="009145CA" w:rsidP="009145CA">
      <w:pPr>
        <w:shd w:val="clear" w:color="auto" w:fill="FFFFFF"/>
        <w:ind w:firstLine="567"/>
        <w:jc w:val="both"/>
      </w:pPr>
      <w:r>
        <w:t xml:space="preserve">W tabelach </w:t>
      </w:r>
      <w:r w:rsidRPr="00913A59">
        <w:t xml:space="preserve">1 i 2 zestawiono zapotrzebowanie na kapitał inwestycyjny według rodzaju działalności, szczegółowo dla każdego zadania inwestycyjnego i każdego roku jego </w:t>
      </w:r>
      <w:r>
        <w:t>realizacji (z przedziału lat 2022</w:t>
      </w:r>
      <w:r w:rsidRPr="00913A59">
        <w:t>-202</w:t>
      </w:r>
      <w:r>
        <w:t>6</w:t>
      </w:r>
      <w:r w:rsidRPr="00913A59">
        <w:t>) oraz źródła finansowania.</w:t>
      </w:r>
    </w:p>
    <w:p w:rsidR="009145CA" w:rsidRPr="00913A59" w:rsidRDefault="009145CA" w:rsidP="009145CA">
      <w:pPr>
        <w:shd w:val="clear" w:color="auto" w:fill="FFFFFF"/>
        <w:ind w:firstLine="567"/>
        <w:jc w:val="both"/>
      </w:pPr>
      <w:r w:rsidRPr="00913A59">
        <w:rPr>
          <w:spacing w:val="-1"/>
        </w:rPr>
        <w:t>Podane w tabelach wartości zadań zostały oszacowane jak niżej:</w:t>
      </w:r>
    </w:p>
    <w:p w:rsidR="009145CA" w:rsidRPr="00913A59" w:rsidRDefault="009145CA" w:rsidP="009145C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– </w:t>
      </w:r>
      <w:r w:rsidRPr="00913A59">
        <w:t>w tabeli 1, pkt I-I</w:t>
      </w:r>
      <w:r>
        <w:t>II</w:t>
      </w:r>
      <w:r w:rsidRPr="00913A59">
        <w:t xml:space="preserve"> oraz tabeli 2  pkt II-IV - wartości zadań podano w oparciu o:</w:t>
      </w:r>
    </w:p>
    <w:p w:rsidR="009145CA" w:rsidRPr="00913A59" w:rsidRDefault="009145CA" w:rsidP="009145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spacing w:val="-20"/>
        </w:rPr>
      </w:pPr>
      <w:r w:rsidRPr="00913A59">
        <w:t>zawarte kontrakty/umowy dla zadań inwestycyjnych kontynuowanych,</w:t>
      </w:r>
    </w:p>
    <w:p w:rsidR="009145CA" w:rsidRPr="00174890" w:rsidRDefault="009145CA" w:rsidP="009145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spacing w:val="-20"/>
        </w:rPr>
      </w:pPr>
      <w:r w:rsidRPr="00913A59">
        <w:t>kosztorysy inwestorskie oraz analizę rynku usług i robót budowlanych,</w:t>
      </w:r>
    </w:p>
    <w:p w:rsidR="009145CA" w:rsidRPr="00174890" w:rsidRDefault="009145CA" w:rsidP="009145C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720" w:hanging="360"/>
        <w:jc w:val="both"/>
        <w:rPr>
          <w:spacing w:val="-20"/>
        </w:rPr>
      </w:pPr>
      <w:r w:rsidRPr="00174890">
        <w:rPr>
          <w:spacing w:val="-1"/>
        </w:rPr>
        <w:t xml:space="preserve">katalog „Zbioru jednostkowych wskaźników cenowych z zakresu budownictwa ogólnego, </w:t>
      </w:r>
      <w:r w:rsidRPr="00174890">
        <w:t>mieszkaniowego oraz przemysłowego” - na roboty inwestycyjne Bistyp - Konsulting (poziom cen I</w:t>
      </w:r>
      <w:r>
        <w:t>II</w:t>
      </w:r>
      <w:r w:rsidRPr="00174890">
        <w:t xml:space="preserve"> kw. 202</w:t>
      </w:r>
      <w:r>
        <w:t>1</w:t>
      </w:r>
      <w:r w:rsidRPr="00174890">
        <w:t xml:space="preserve">). </w:t>
      </w:r>
    </w:p>
    <w:p w:rsidR="009145CA" w:rsidRPr="00913A59" w:rsidRDefault="009145CA" w:rsidP="009145CA">
      <w:pPr>
        <w:shd w:val="clear" w:color="auto" w:fill="FFFFFF"/>
        <w:jc w:val="both"/>
      </w:pPr>
      <w:r>
        <w:t>– w tabeli 2 pkt I</w:t>
      </w:r>
      <w:r w:rsidRPr="00913A59">
        <w:t xml:space="preserve"> - wartość zadań dla projektu „Gospodarka wodno – ściekowa na terenie aglomeracji Toruń – III etap” podano w oparciu o zawarte kontrakty na </w:t>
      </w:r>
      <w:r>
        <w:t xml:space="preserve">roboty i </w:t>
      </w:r>
      <w:r w:rsidRPr="00913A59">
        <w:t>usługi pomocy technicznej</w:t>
      </w:r>
      <w:r>
        <w:t>,</w:t>
      </w:r>
      <w:r w:rsidRPr="00913A59">
        <w:t xml:space="preserve"> kosztorys</w:t>
      </w:r>
      <w:r>
        <w:t>y</w:t>
      </w:r>
      <w:r w:rsidRPr="00913A59">
        <w:t xml:space="preserve"> inwestorski</w:t>
      </w:r>
      <w:r>
        <w:t>e oraz planowane koszty robót określone w Programach Funkcjonalno-Użytkowych</w:t>
      </w:r>
      <w:r w:rsidRPr="00913A59">
        <w:t>,</w:t>
      </w:r>
    </w:p>
    <w:p w:rsidR="009145CA" w:rsidRDefault="009145CA" w:rsidP="009145CA">
      <w:pPr>
        <w:jc w:val="both"/>
        <w:rPr>
          <w:b/>
        </w:rPr>
      </w:pPr>
    </w:p>
    <w:p w:rsidR="009145CA" w:rsidRPr="00913A59" w:rsidRDefault="009145CA" w:rsidP="009145CA">
      <w:pPr>
        <w:jc w:val="both"/>
        <w:rPr>
          <w:b/>
        </w:rPr>
      </w:pPr>
      <w:r>
        <w:rPr>
          <w:b/>
        </w:rPr>
        <w:t>9</w:t>
      </w:r>
      <w:r w:rsidRPr="00913A59">
        <w:rPr>
          <w:b/>
        </w:rPr>
        <w:t>. Sposoby finansowania planowanych inwestycji</w:t>
      </w:r>
      <w:r>
        <w:rPr>
          <w:b/>
        </w:rPr>
        <w:t>.</w:t>
      </w:r>
    </w:p>
    <w:p w:rsidR="009145CA" w:rsidRPr="00913A59" w:rsidRDefault="009145CA" w:rsidP="009145CA">
      <w:pPr>
        <w:shd w:val="clear" w:color="auto" w:fill="FFFFFF"/>
        <w:ind w:left="14" w:firstLine="553"/>
        <w:jc w:val="both"/>
        <w:rPr>
          <w:spacing w:val="-1"/>
        </w:rPr>
      </w:pPr>
      <w:r w:rsidRPr="00913A59">
        <w:t xml:space="preserve">Z uwagi na wielkość planowanych przedsięwzięć modernizacyjno - rozwojowych oraz </w:t>
      </w:r>
      <w:r w:rsidRPr="00913A59">
        <w:rPr>
          <w:spacing w:val="-1"/>
        </w:rPr>
        <w:t xml:space="preserve">możliwości finansowe Spółki, </w:t>
      </w:r>
      <w:r w:rsidRPr="00913A59">
        <w:t xml:space="preserve">środki wydatkowane w poszczególnych latach na </w:t>
      </w:r>
      <w:r w:rsidRPr="00913A59">
        <w:rPr>
          <w:spacing w:val="-1"/>
        </w:rPr>
        <w:t xml:space="preserve">finansowanie zadań pochodzą z kilku źródeł. </w:t>
      </w:r>
    </w:p>
    <w:p w:rsidR="009145CA" w:rsidRPr="00913A59" w:rsidRDefault="009145CA" w:rsidP="009145CA">
      <w:pPr>
        <w:shd w:val="clear" w:color="auto" w:fill="FFFFFF"/>
        <w:ind w:firstLine="553"/>
        <w:jc w:val="both"/>
        <w:rPr>
          <w:spacing w:val="-1"/>
        </w:rPr>
      </w:pPr>
      <w:r w:rsidRPr="00913A59">
        <w:rPr>
          <w:spacing w:val="-1"/>
        </w:rPr>
        <w:t>Strukturę finansowania inwestycji prezentuje poniższa tabela</w:t>
      </w:r>
      <w:r>
        <w:rPr>
          <w:spacing w:val="-1"/>
        </w:rPr>
        <w:t>.</w:t>
      </w:r>
      <w:r w:rsidRPr="00AF2ADB">
        <w:t xml:space="preserve"> </w:t>
      </w:r>
    </w:p>
    <w:p w:rsidR="009145CA" w:rsidRPr="006A1480" w:rsidRDefault="009145CA" w:rsidP="009145CA">
      <w:pPr>
        <w:shd w:val="clear" w:color="auto" w:fill="FFFFFF"/>
        <w:ind w:left="6946" w:firstLine="2"/>
        <w:jc w:val="both"/>
      </w:pPr>
      <w:r w:rsidRPr="006A1480">
        <w:t>tys. PLN</w:t>
      </w:r>
    </w:p>
    <w:tbl>
      <w:tblPr>
        <w:tblW w:w="936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850"/>
        <w:gridCol w:w="1620"/>
        <w:gridCol w:w="932"/>
        <w:gridCol w:w="920"/>
        <w:gridCol w:w="815"/>
        <w:gridCol w:w="815"/>
        <w:gridCol w:w="852"/>
        <w:gridCol w:w="992"/>
      </w:tblGrid>
      <w:tr w:rsidR="009145CA" w:rsidRPr="001C7CCD" w:rsidTr="0047290E">
        <w:trPr>
          <w:trHeight w:val="8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 xml:space="preserve">Finansowanie w latach </w:t>
            </w:r>
          </w:p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2022-2026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2020</w:t>
            </w:r>
            <w:r w:rsidRPr="001C7CCD">
              <w:rPr>
                <w:b/>
                <w:bCs/>
              </w:rPr>
              <w:br/>
              <w:t>wyko</w:t>
            </w:r>
            <w:r>
              <w:rPr>
                <w:b/>
                <w:bCs/>
              </w:rPr>
              <w:t>-</w:t>
            </w:r>
            <w:r w:rsidRPr="001C7CCD">
              <w:rPr>
                <w:b/>
                <w:bCs/>
              </w:rPr>
              <w:t>nanie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2021</w:t>
            </w:r>
            <w:r w:rsidRPr="001C7CCD">
              <w:rPr>
                <w:b/>
                <w:bCs/>
              </w:rPr>
              <w:br/>
              <w:t>przewidywane wykonanie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Razem</w:t>
            </w:r>
            <w:r w:rsidRPr="001C7CCD">
              <w:rPr>
                <w:b/>
                <w:bCs/>
              </w:rPr>
              <w:br/>
              <w:t>2022-2026</w:t>
            </w:r>
          </w:p>
        </w:tc>
      </w:tr>
      <w:tr w:rsidR="009145CA" w:rsidRPr="001C7CCD" w:rsidTr="0047290E">
        <w:trPr>
          <w:trHeight w:val="37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  <w:rPr>
                <w:b/>
                <w:bCs/>
              </w:rPr>
            </w:pPr>
            <w:r w:rsidRPr="001C7CCD">
              <w:rPr>
                <w:b/>
                <w:bCs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62 826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42 485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 xml:space="preserve">44 </w:t>
            </w:r>
            <w:r>
              <w:t>54</w:t>
            </w:r>
            <w:r w:rsidRPr="001C7CCD"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>
              <w:t>59</w:t>
            </w:r>
            <w:r w:rsidRPr="001C7CCD">
              <w:t xml:space="preserve"> </w:t>
            </w:r>
            <w:r>
              <w:t>39</w:t>
            </w:r>
            <w:r w:rsidRPr="001C7CCD"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6</w:t>
            </w:r>
            <w:r>
              <w:t>1</w:t>
            </w:r>
            <w:r w:rsidRPr="001C7CCD">
              <w:t xml:space="preserve"> </w:t>
            </w:r>
            <w:r>
              <w:t>20</w:t>
            </w:r>
            <w:r w:rsidRPr="001C7CCD"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>
              <w:t>39</w:t>
            </w:r>
            <w:r w:rsidRPr="001C7CCD">
              <w:t xml:space="preserve"> </w:t>
            </w:r>
            <w:r>
              <w:t>7</w:t>
            </w:r>
            <w:r w:rsidRPr="001C7CCD"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3</w:t>
            </w:r>
            <w:r>
              <w:t>3</w:t>
            </w:r>
            <w:r w:rsidRPr="001C7CCD">
              <w:t xml:space="preserve">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2</w:t>
            </w:r>
            <w:r>
              <w:t>38</w:t>
            </w:r>
            <w:r w:rsidRPr="001C7CCD">
              <w:t xml:space="preserve"> </w:t>
            </w:r>
            <w:r>
              <w:t>10</w:t>
            </w:r>
            <w:r w:rsidRPr="001C7CCD">
              <w:t>3</w:t>
            </w:r>
          </w:p>
        </w:tc>
      </w:tr>
      <w:tr w:rsidR="009145CA" w:rsidRPr="001C7CCD" w:rsidTr="0047290E">
        <w:trPr>
          <w:trHeight w:val="4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r w:rsidRPr="001C7CCD">
              <w:t>środki własne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17 900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26 740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 xml:space="preserve">27 </w:t>
            </w:r>
            <w:r>
              <w:t>42</w:t>
            </w:r>
            <w:r w:rsidRPr="001C7CCD"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>
              <w:t>23 13</w:t>
            </w:r>
            <w:r w:rsidRPr="001C7CCD"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2</w:t>
            </w:r>
            <w:r>
              <w:t>0</w:t>
            </w:r>
            <w:r w:rsidRPr="001C7CCD">
              <w:t xml:space="preserve"> </w:t>
            </w:r>
            <w:r>
              <w:t>66</w:t>
            </w:r>
            <w:r w:rsidRPr="001C7CCD"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 xml:space="preserve">18 </w:t>
            </w:r>
            <w:r>
              <w:t>3</w:t>
            </w:r>
            <w:r w:rsidRPr="001C7CCD"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2</w:t>
            </w:r>
            <w:r>
              <w:t>0</w:t>
            </w:r>
            <w:r w:rsidRPr="001C7CCD">
              <w:t xml:space="preserve"> 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</w:t>
            </w:r>
            <w:r>
              <w:t>09</w:t>
            </w:r>
            <w:r w:rsidRPr="001C7CCD">
              <w:t xml:space="preserve"> </w:t>
            </w:r>
            <w:r>
              <w:t>98</w:t>
            </w:r>
            <w:r w:rsidRPr="001C7CCD">
              <w:t>9</w:t>
            </w:r>
          </w:p>
        </w:tc>
      </w:tr>
      <w:tr w:rsidR="009145CA" w:rsidRPr="001C7CCD" w:rsidTr="0047290E">
        <w:trPr>
          <w:trHeight w:val="39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CA" w:rsidRPr="001C7CCD" w:rsidRDefault="009145CA" w:rsidP="0047290E">
            <w:r w:rsidRPr="001C7CCD">
              <w:t>kredyty i pożyczki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13 630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13 935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10 200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12 100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13 100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7 200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55 400</w:t>
            </w:r>
          </w:p>
        </w:tc>
      </w:tr>
      <w:tr w:rsidR="009145CA" w:rsidRPr="001C7CCD" w:rsidTr="0047290E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r w:rsidRPr="001C7CCD">
              <w:t>dotacje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31 296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1 810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6 921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24 161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27 441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14 191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  <w:r w:rsidRPr="001C7CCD">
              <w:t>72 714</w:t>
            </w:r>
          </w:p>
        </w:tc>
      </w:tr>
      <w:tr w:rsidR="009145CA" w:rsidRPr="001C7CCD" w:rsidTr="0047290E">
        <w:trPr>
          <w:trHeight w:val="25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A" w:rsidRPr="001C7CCD" w:rsidRDefault="009145CA" w:rsidP="0047290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A" w:rsidRPr="001C7CCD" w:rsidRDefault="009145CA" w:rsidP="0047290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A" w:rsidRPr="001C7CCD" w:rsidRDefault="009145CA" w:rsidP="0047290E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A" w:rsidRPr="001C7CCD" w:rsidRDefault="009145CA" w:rsidP="0047290E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A" w:rsidRPr="001C7CCD" w:rsidRDefault="009145CA" w:rsidP="0047290E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A" w:rsidRPr="001C7CCD" w:rsidRDefault="009145CA" w:rsidP="0047290E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A" w:rsidRPr="001C7CCD" w:rsidRDefault="009145CA" w:rsidP="0047290E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5CA" w:rsidRPr="001C7CCD" w:rsidRDefault="009145CA" w:rsidP="004729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5CA" w:rsidRPr="001C7CCD" w:rsidRDefault="009145CA" w:rsidP="0047290E">
            <w:pPr>
              <w:jc w:val="center"/>
            </w:pPr>
          </w:p>
        </w:tc>
      </w:tr>
    </w:tbl>
    <w:p w:rsidR="00DF7537" w:rsidRDefault="00DF7537"/>
    <w:sectPr w:rsidR="00DF7537" w:rsidSect="00F26EE3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9A6410"/>
    <w:lvl w:ilvl="0">
      <w:numFmt w:val="decimal"/>
      <w:lvlText w:val="*"/>
      <w:lvlJc w:val="left"/>
    </w:lvl>
  </w:abstractNum>
  <w:abstractNum w:abstractNumId="1" w15:restartNumberingAfterBreak="0">
    <w:nsid w:val="4B331B12"/>
    <w:multiLevelType w:val="singleLevel"/>
    <w:tmpl w:val="84EA7E2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B2C3F8C"/>
    <w:multiLevelType w:val="singleLevel"/>
    <w:tmpl w:val="1B62ECD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CA"/>
    <w:rsid w:val="009145CA"/>
    <w:rsid w:val="00D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9C56"/>
  <w15:chartTrackingRefBased/>
  <w15:docId w15:val="{1A50A526-0CE0-4BE9-B373-9A7DE772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2744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2022-03-21T07:33:00Z</dcterms:created>
  <dcterms:modified xsi:type="dcterms:W3CDTF">2022-03-21T07:34:00Z</dcterms:modified>
</cp:coreProperties>
</file>