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7" w:rsidRPr="001F72B3" w:rsidRDefault="00235CE7" w:rsidP="00235CE7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1F72B3">
        <w:rPr>
          <w:b w:val="0"/>
          <w:bCs w:val="0"/>
          <w:sz w:val="24"/>
          <w:szCs w:val="24"/>
        </w:rPr>
        <w:t>Załącznik</w:t>
      </w:r>
    </w:p>
    <w:p w:rsidR="00235CE7" w:rsidRPr="001F72B3" w:rsidRDefault="00235CE7" w:rsidP="00235CE7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 w:rsidRPr="001F72B3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835/22</w:t>
      </w:r>
    </w:p>
    <w:p w:rsidR="00235CE7" w:rsidRPr="001F72B3" w:rsidRDefault="00235CE7" w:rsidP="00235CE7">
      <w:pPr>
        <w:ind w:firstLine="6237"/>
        <w:rPr>
          <w:lang w:eastAsia="pl-PL"/>
        </w:rPr>
      </w:pPr>
      <w:r w:rsidRPr="001F72B3">
        <w:rPr>
          <w:lang w:eastAsia="pl-PL"/>
        </w:rPr>
        <w:t>Rady Miasta Torunia</w:t>
      </w:r>
    </w:p>
    <w:p w:rsidR="00235CE7" w:rsidRPr="001F72B3" w:rsidRDefault="00235CE7" w:rsidP="00235CE7">
      <w:pPr>
        <w:ind w:firstLine="6237"/>
        <w:rPr>
          <w:lang w:eastAsia="pl-PL"/>
        </w:rPr>
      </w:pPr>
      <w:r w:rsidRPr="001F72B3">
        <w:rPr>
          <w:lang w:eastAsia="pl-PL"/>
        </w:rPr>
        <w:t xml:space="preserve">z dnia </w:t>
      </w:r>
      <w:r>
        <w:rPr>
          <w:lang w:eastAsia="pl-PL"/>
        </w:rPr>
        <w:t>17 marca 2022 r.</w:t>
      </w:r>
    </w:p>
    <w:p w:rsidR="00235CE7" w:rsidRPr="001F72B3" w:rsidRDefault="00235CE7" w:rsidP="00235CE7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235CE7" w:rsidRPr="001F72B3" w:rsidRDefault="00235CE7" w:rsidP="00235CE7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1F72B3">
        <w:rPr>
          <w:b w:val="0"/>
          <w:bCs w:val="0"/>
          <w:sz w:val="24"/>
          <w:szCs w:val="24"/>
        </w:rPr>
        <w:t>UZASADNIENIE</w:t>
      </w:r>
    </w:p>
    <w:p w:rsidR="00235CE7" w:rsidRPr="001F72B3" w:rsidRDefault="00235CE7" w:rsidP="00235CE7">
      <w:r w:rsidRPr="001F72B3">
        <w:t xml:space="preserve"> </w:t>
      </w:r>
    </w:p>
    <w:p w:rsidR="00235CE7" w:rsidRPr="001F72B3" w:rsidRDefault="00235CE7" w:rsidP="00235CE7">
      <w:pPr>
        <w:ind w:firstLine="851"/>
        <w:jc w:val="both"/>
      </w:pPr>
      <w:r w:rsidRPr="001F72B3">
        <w:t xml:space="preserve">3 grudnia 2021 r. do Rady Miasta Torunia wpłynęła skarga z 29 listopada 2021 r. na Prezydenta Miasta Torunia. </w:t>
      </w:r>
    </w:p>
    <w:p w:rsidR="00235CE7" w:rsidRPr="001F72B3" w:rsidRDefault="00235CE7" w:rsidP="00235CE7">
      <w:pPr>
        <w:ind w:firstLine="851"/>
        <w:jc w:val="both"/>
      </w:pPr>
      <w:r w:rsidRPr="001F72B3">
        <w:t>Przewodniczący Rady Miasta Torunia przekazał ją do Komisji Skarg, Wniosków i Petycji Rady Miasta Torunia celem jej zbadania i przygotowania projektu uchwały Rady rozstrzygającej zasadność skargi.</w:t>
      </w:r>
    </w:p>
    <w:p w:rsidR="00235CE7" w:rsidRPr="001F72B3" w:rsidRDefault="00235CE7" w:rsidP="00235CE7">
      <w:pPr>
        <w:tabs>
          <w:tab w:val="num" w:pos="360"/>
        </w:tabs>
        <w:ind w:firstLine="851"/>
        <w:jc w:val="both"/>
      </w:pPr>
      <w:r w:rsidRPr="001F72B3">
        <w:t xml:space="preserve">Na podstawie art. 18 ust. 2 pkt 15 ustawy z dnia </w:t>
      </w:r>
      <w:r w:rsidRPr="001F72B3">
        <w:rPr>
          <w:rStyle w:val="h2"/>
        </w:rPr>
        <w:t>8 marca 1990 r.</w:t>
      </w:r>
      <w:r w:rsidRPr="001F72B3">
        <w:t xml:space="preserve"> o samorządzie gminnym (</w:t>
      </w:r>
      <w:r w:rsidRPr="001F72B3">
        <w:rPr>
          <w:rStyle w:val="CharStyle15"/>
        </w:rPr>
        <w:t xml:space="preserve">Dz. U. </w:t>
      </w:r>
      <w:r w:rsidRPr="001F72B3">
        <w:t>z 2021 r. poz. 1372 i poz. 1834) oraz art. 227 w zw. z art. 229 pkt 3 oraz art. 238 § 1 ustawy z dnia 14 czerwca 1960 r. Kodeks postępowania administracyjnego (Dz. U. z 2021 r. poz. 735, poz. 1491 i poz. 2052) do rozpatrzenia skargi na prezydenta miasta i kierowników gminnych jednostek organizacyjnych właściwa jest rada gminy.</w:t>
      </w:r>
    </w:p>
    <w:p w:rsidR="00235CE7" w:rsidRPr="001F72B3" w:rsidRDefault="00235CE7" w:rsidP="00235CE7">
      <w:pPr>
        <w:tabs>
          <w:tab w:val="num" w:pos="360"/>
        </w:tabs>
        <w:ind w:firstLine="851"/>
        <w:jc w:val="both"/>
      </w:pPr>
      <w:r w:rsidRPr="001F72B3">
        <w:t xml:space="preserve">Przedmiotem skargi jest, zdaniem Skarżącego, nienależyte i niezgodne z projektem oraz zabudżetowaną </w:t>
      </w:r>
      <w:r>
        <w:t xml:space="preserve">kwotą </w:t>
      </w:r>
      <w:r w:rsidRPr="001F72B3">
        <w:t>wykonanie zadania „Zielone wiaty na Mokrem” w ramach budżetu obywatelskiego na 2020 r.</w:t>
      </w:r>
    </w:p>
    <w:p w:rsidR="00235CE7" w:rsidRPr="001F72B3" w:rsidRDefault="00235CE7" w:rsidP="00235CE7">
      <w:pPr>
        <w:ind w:firstLine="851"/>
        <w:jc w:val="both"/>
      </w:pPr>
      <w:r w:rsidRPr="001F72B3">
        <w:t>Po zapoznaniu się ze skargą i wyjaśnieniami złożonymi przez Dyrektora Wydziału Ochrony Środowiska i Ekologii Urzędu Miasta Torunia pismem z 14 grudnia 2021 r., pismem z dnia 4 lutego 2022 r. oraz pismem z dnia 10 lutego 2022 r. i z dokumentami do nich załączonymi Komisja Skarg, Wniosków i Petycji ustaliła na posiedzeniu w dniu 19 stycznia 2022 r., 9 lutego 2022r. oraz 9 marca 2022 r., iż projekt zgłoszony przez Skarżącego do Budżetu obywatelskiego na rok 2020, został przyjęty i na etapie analizy przed skierowaniem do głosowania, została dokonana zmiana jego zakresu. „</w:t>
      </w:r>
      <w:r w:rsidRPr="001F72B3">
        <w:rPr>
          <w:iCs/>
        </w:rPr>
        <w:t>Zazielenienie wiat przystankowych we wskazanych lokalizacjach. Trzy wiaty w pełnym zakresie (Kościuszki 41, Grudziądzka 81, Przy Kaszowniku opodal nr 37), dwie pozostałe w ograniczonym, ze względu na konieczność zachowania skrajni drogowych.”.</w:t>
      </w:r>
      <w:r w:rsidRPr="001F72B3">
        <w:rPr>
          <w:i/>
        </w:rPr>
        <w:t xml:space="preserve"> </w:t>
      </w:r>
      <w:r w:rsidRPr="001F72B3">
        <w:rPr>
          <w:iCs/>
        </w:rPr>
        <w:t>Projekt</w:t>
      </w:r>
      <w:r w:rsidRPr="001F72B3">
        <w:t xml:space="preserve"> z powyższą zmianą zakresu został poddany głosowaniu (JM0153) i przyjęty do realizacji. Przygotowany przez Biuro Ogrodnika Miejskiego Urzędu Miasta Torunia projekt urządzenia zieleni wiat przystankowych został przesłany do akceptacji Skarżącemu i Miejskiemu Zakładowi Komunikacji w Toruniu Sp. z o.o. dnia 31 lipca 2020 r. Przesłany elektronicznie projekt urządzenia zieleni nie przewidywał, aby „zielone ściany” miały być zastosowane we wszystkich lokalizacjach. W przypadku przystanku zlokalizowanego przy ul. Przy Kaszowniku zaproponowane zostało rozwiązanie polegające na zazielenieniu wiaty szpalerowym nasadzeniem buków. Rozwiązania powyższe Skarżący przyjął w pełni, informując o tym w e-mail z dnia 19 sierpnia 2020 r. Przystanek autobusowy przy ul. Grudziądzkiej na terenie dz. ew. nr 167 obr. 4, zlokalizowany jest równolegle i przylega do skrajni drogi rowerowej, bezpośrednio przed jej zakrętem, ograniczając widoczność poruszającym się użytkownikom. Przebieg skrajni jest dodatkowo zaznaczony i utrwalony poprzez osadzone w gruncie barierki drogowe. Lokalizacja elementów zazielenienia tylnej ściany wiaty przystanku w tej lokalizacji mogłaby stanowić zagrożenie bezpieczeństwa. Zgodnie z przyjętym zakresem projektu JM0153, zielone ściany wykonano w przypadku wiaty przystankowej przy ul. Kościuszki 41 i ul. Grudziądzkiej 81. Przystanki przy ul. Kościuszki opodal nr 41(północna nitka) i ul. Grudziądzkiej 78A zaopatrzono w donice boczne.</w:t>
      </w:r>
    </w:p>
    <w:p w:rsidR="00235CE7" w:rsidRPr="001F72B3" w:rsidRDefault="00235CE7" w:rsidP="00235CE7">
      <w:pPr>
        <w:ind w:firstLine="851"/>
        <w:jc w:val="both"/>
      </w:pPr>
      <w:r w:rsidRPr="001F72B3">
        <w:t>Realizacja zadania „Zielone wiaty na Mokrym” – projekt JM</w:t>
      </w:r>
      <w:r>
        <w:t>0</w:t>
      </w:r>
      <w:r w:rsidRPr="001F72B3">
        <w:t>153 w ramach budżetu obywatelskiego na rok 2020 (harmonogram):</w:t>
      </w:r>
    </w:p>
    <w:p w:rsidR="00235CE7" w:rsidRPr="001F72B3" w:rsidRDefault="00235CE7" w:rsidP="00235CE7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 xml:space="preserve">została powierzona Biuru Ogrodnika Miejskiego i rozpoczęła się 14.05.2020 r., po powrocie pracownika z długoterminowego zwolnienia lekarskiego, od spotkania z Wnioskodawcą projektu – Skarżącym, który potwierdził zakres swojego wniosku </w:t>
      </w:r>
      <w:r w:rsidRPr="001F72B3">
        <w:rPr>
          <w:sz w:val="24"/>
          <w:szCs w:val="24"/>
          <w:lang w:val="pl"/>
        </w:rPr>
        <w:lastRenderedPageBreak/>
        <w:t>i wskazał dodatkowo na potrzebę wykorzystania wód opadowych z wiat przystankowych do zasilania roślin;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dnia 15 maja 2020 r. został skierowany wniosek o podanie warunków technicznych realizacji zadania do Miejskiego Zarządu Dróg w Toruniu i Miejskiego Zakładu Komunikacji w Toruniu Sp. z o.o.;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dnia 19 maja 2020 r. skierowane zostało zapytanie do potencjalnego wykonawcy dokumentacji projektowej o przesłanie oferty cenowej na podstawie wstępnych założeń, zawartych w treści wniosku;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22 maja 2020 r. w Biurze Ogrodnika Miejskiego złożona została oferta na wykonanie projektu urządzenia zieleni wiat przystankowych z możliwością jego wykorzystania w innych lokalizacjach – oferta opiewała na kwotę 1.400,00 zł brutto;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9 czerwca 2020 r. skierowano ponaglenie do podmiotów ustalających warunki realizacji zadania;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 xml:space="preserve">22 czerwca 2020 </w:t>
      </w:r>
      <w:r>
        <w:rPr>
          <w:sz w:val="24"/>
          <w:szCs w:val="24"/>
          <w:lang w:val="pl"/>
        </w:rPr>
        <w:t>r. warunki techniczne realizacji</w:t>
      </w:r>
      <w:r w:rsidRPr="001F72B3">
        <w:rPr>
          <w:sz w:val="24"/>
          <w:szCs w:val="24"/>
          <w:lang w:val="pl"/>
        </w:rPr>
        <w:t xml:space="preserve"> zadania zostały przekazane przez Miejski Zarząd Dróg w Toruniu;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23 czerwca 2020 r. warunki techniczne realizacji zadania zostały przekazane przez MZK w Toruniu Sp. z o.o.;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30 czerwca 2020 r. przesłano zamówienie na wykonanie projektu urządzenia zieleni wiat przystankowych wraz z otrzymanymi wytycznymi;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30 czerwca 2020 r. wykonawca potwierdził przyjęcie zamówienia do realizacji w terminie do dnia 24 lipca 2020 r.;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27 lipca 2020 r. Wykonawca</w:t>
      </w:r>
      <w:r>
        <w:rPr>
          <w:sz w:val="24"/>
          <w:szCs w:val="24"/>
          <w:lang w:val="pl"/>
        </w:rPr>
        <w:t xml:space="preserve"> przekazał wersję</w:t>
      </w:r>
      <w:r w:rsidRPr="001F72B3">
        <w:rPr>
          <w:sz w:val="24"/>
          <w:szCs w:val="24"/>
          <w:lang w:val="pl"/>
        </w:rPr>
        <w:t xml:space="preserve"> papierową opracowania, dokonał poprawek i dnia 31 lipca 2020 r. przesłał dokumentację w wersji elektronicznej;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31 lipca 2020 r. dokumentacja powyższa została przesłana do akceptacji Wnioskodawcy projektu – Skarżącemu i MZK w Toruniu Sp. z o.o.;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12 sierpnia 2020 r. zaproponowane rozwiązania zostały zaakceptowane przez MZK w Toruniu Sp. z o.o. bez uwag;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19 sierpnia 2020 r. zaproponowane rozwiązania zostały zaakceptowane przez Wnioskodawcę projektu – Skarżącego bez uwag;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16 września 2020 r. został złożony przez Biuro Ogrodnika Miejskiego Urzędu Miasta Torunia wniosek o wyrażenie zgody na wszczęcie postępowania w celu wyłonienia wykonawcy robót – pokrycia zielenią 5 przystanków w ramach projektu „Zielone przystanki na Mokrym”;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 xml:space="preserve">decyzją z dnia 23 września 2020 r. </w:t>
      </w:r>
      <w:r>
        <w:rPr>
          <w:sz w:val="24"/>
          <w:szCs w:val="24"/>
          <w:lang w:val="pl"/>
        </w:rPr>
        <w:t>n</w:t>
      </w:r>
      <w:r w:rsidRPr="001F72B3">
        <w:rPr>
          <w:sz w:val="24"/>
          <w:szCs w:val="24"/>
          <w:lang w:val="pl"/>
        </w:rPr>
        <w:t>r</w:t>
      </w:r>
      <w:r>
        <w:rPr>
          <w:sz w:val="24"/>
          <w:szCs w:val="24"/>
          <w:lang w:val="pl"/>
        </w:rPr>
        <w:t xml:space="preserve"> </w:t>
      </w:r>
      <w:r w:rsidRPr="001F72B3">
        <w:rPr>
          <w:sz w:val="24"/>
          <w:szCs w:val="24"/>
          <w:lang w:val="pl"/>
        </w:rPr>
        <w:t>1140/IX/20/SŻ, zadanie zostało skierowane do realizacji, kwota przeznaczona na wykonanie zadania to 48.000,00 zł brutto;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23 września 2020 r. zostało opublikowane ogłoszenie o zamówieniu nr 495/2020, poza ustawą z dnia 11 września 2019 r</w:t>
      </w:r>
      <w:r>
        <w:rPr>
          <w:sz w:val="24"/>
          <w:szCs w:val="24"/>
          <w:lang w:val="pl"/>
        </w:rPr>
        <w:t>. Prawo zamówień p</w:t>
      </w:r>
      <w:r w:rsidRPr="001F72B3">
        <w:rPr>
          <w:sz w:val="24"/>
          <w:szCs w:val="24"/>
          <w:lang w:val="pl"/>
        </w:rPr>
        <w:t>ublicznych (Dz. U. z 2021 r. poz. 1129, poz. 1598, poz. 2054 i poz. 2269 oraz z 2022 r. poz. 25, oraz wysłane zostały zapytania bezpośrednie do 6 potencjalnych wykonawców;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28 września 2020 r., zgodnie z ustalonym harmonogramem, na ogłoszenie o zamówieniu odpowiedział jeden wykonawca, który zaproponował cenę przewyższającą ustalony budżet zadania – 54.000,00 zł brutto, Wykonawca ten jest znany zamawiającemu i realizował wcześniej inne zamówienia z powodzeniem. Kryterium wyboru - cena;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w związku z przekroczeniem kwoty przeznaczonej na realizację zadania przez Wykonawcę w złożonej ofercie, wezwano go do przeprowadzenia negocjacji ceny, co nastąpiło 26 października 2020 r., po powrocie pracownika, prowadzącego przedmiotowy temat, z leczenia szpitalnego;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Wykonawca w toku negocjacji obniżył wartość oferty do kwoty 48.000,00 zł brutto;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umowa na wykonanie zadania została podpisana 17 listopada 2020 r., Wykonawca przystąpił do realizacji;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lastRenderedPageBreak/>
        <w:t>pismem z dnia 1 grudnia 2020 r. Wykonawca wniósł o przedłużenie terminu realizacji zadania ze względu na szczególną sytuację epidemiczną, powodującą trudności w realizacji dostaw elementów niezbędnych do wykonania umowy;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aneksem do umowy przedłużono termin jej wykonania do dnia 30 kwietnia 2021 r.;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25 stycznia 2021 r. Wnioskodawca projektu – Skarżący zwrócił się z pytaniem, dotyczącym zaawansowania w realizacji zadania;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>25 stycznia 2021 r. Wnioskodawca projektu – Skarżący został poinformowany o przedłużeniu terminu realizacji robót do dnia 30 kwietnia 2021 r.</w:t>
      </w:r>
    </w:p>
    <w:p w:rsidR="00235CE7" w:rsidRPr="001F72B3" w:rsidRDefault="00235CE7" w:rsidP="00235CE7">
      <w:pPr>
        <w:pStyle w:val="Akapitzlist"/>
        <w:widowControl/>
        <w:numPr>
          <w:ilvl w:val="0"/>
          <w:numId w:val="1"/>
        </w:numPr>
        <w:spacing w:before="0"/>
        <w:ind w:left="426" w:hanging="426"/>
        <w:contextualSpacing/>
        <w:jc w:val="both"/>
        <w:rPr>
          <w:sz w:val="24"/>
          <w:szCs w:val="24"/>
        </w:rPr>
      </w:pPr>
      <w:r w:rsidRPr="001F72B3">
        <w:rPr>
          <w:sz w:val="24"/>
          <w:szCs w:val="24"/>
          <w:lang w:val="pl"/>
        </w:rPr>
        <w:t xml:space="preserve">wykonane prace zostały odebrane protokołem wykonania umowy dnia 10 maja 2021 r. bez uwag. </w:t>
      </w:r>
    </w:p>
    <w:p w:rsidR="00235CE7" w:rsidRPr="001F72B3" w:rsidRDefault="00235CE7" w:rsidP="00235CE7">
      <w:pPr>
        <w:ind w:firstLine="851"/>
        <w:jc w:val="both"/>
      </w:pPr>
      <w:r w:rsidRPr="001F72B3">
        <w:t>Wykonawca, zważywszy na negatywne doświadczenia z okresu realizacji robót (dewastacje i kradzieże) zobowiązał się nieodpłatnie do nadzoru nad wykonanymi instalacjami do końca sezonu wegetacyjnego 2021. W tym okresie dokonywał uzupełnień roślin skradzionych (maj, czerwiec i lipiec 2021r.), wymiany roślin zniszczonych i dosadzania nowych z własnej inicjatywy (maj, czerwiec i lipiec 2021r.), odchwaszczania roślin (maj, czerwiec, lipiec, sierpień, wrzesień i październik 2021r.) oraz podlewania raz w tygodniu w zależności od intensywności deszczu. Rośliny wielokrotnie były kradzione i niszczone, wyciągane i łamane.</w:t>
      </w:r>
    </w:p>
    <w:p w:rsidR="00235CE7" w:rsidRPr="001F72B3" w:rsidRDefault="00235CE7" w:rsidP="00235CE7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1F72B3">
        <w:rPr>
          <w:sz w:val="24"/>
          <w:szCs w:val="24"/>
        </w:rPr>
        <w:t>W związku z powyższym skargę z dnia 29 listopada 2021 r. na Prezydenta Miasta Torunia Rada Miasta Torunia uznaje za bezzasadną. W ocenie Rady Miasta Torunia niezbędny jest szczególny nadzór nad zrealizowanym projektem i zapewnienie właściwej pielęgnacji w okresie gwarancyjnym.</w:t>
      </w:r>
    </w:p>
    <w:p w:rsidR="00235CE7" w:rsidRPr="001F72B3" w:rsidRDefault="00235CE7" w:rsidP="00235CE7">
      <w:pPr>
        <w:pStyle w:val="Tekstpodstawowy2"/>
        <w:spacing w:before="0" w:line="240" w:lineRule="auto"/>
        <w:ind w:firstLine="851"/>
        <w:rPr>
          <w:sz w:val="24"/>
          <w:szCs w:val="24"/>
        </w:rPr>
      </w:pPr>
      <w:r w:rsidRPr="001F72B3">
        <w:rPr>
          <w:sz w:val="24"/>
          <w:szCs w:val="24"/>
        </w:rPr>
        <w:t>Jednocześnie z uwagi na to, iż skarga nie została uznana za zasadną, ponowienie jej w tej części bez wskazania nowych okoliczności spowoduje, zgodnie z art. 239 § 1 kodeksu postępowania administracyjnego, iż Rada Miasta Torunia podtrzyma swoje stanowisko z odpowiednią adnotacją w aktach sprawy - bez zawiadamiania Skarżącego.</w:t>
      </w:r>
    </w:p>
    <w:p w:rsidR="00235CE7" w:rsidRPr="001F72B3" w:rsidRDefault="00235CE7" w:rsidP="00235CE7">
      <w:pPr>
        <w:ind w:firstLine="851"/>
        <w:jc w:val="both"/>
        <w:rPr>
          <w:iCs/>
          <w:snapToGrid w:val="0"/>
        </w:rPr>
      </w:pPr>
      <w:r w:rsidRPr="001F72B3">
        <w:t>Dodatkowo Rada Miasta Torunia wskazuje, iż n</w:t>
      </w:r>
      <w:r w:rsidRPr="001F72B3">
        <w:rPr>
          <w:iCs/>
        </w:rPr>
        <w:t xml:space="preserve">a podstawie przepisu art. 229 pkt 3 cytowanej ustawy Kodeks postępowania administracyjnego skargi m. in. </w:t>
      </w:r>
      <w:r w:rsidRPr="001F72B3">
        <w:t>na kierowników gminnych jednostek organizacyjnych</w:t>
      </w:r>
      <w:r w:rsidRPr="001F72B3">
        <w:rPr>
          <w:iCs/>
          <w:snapToGrid w:val="0"/>
        </w:rPr>
        <w:t xml:space="preserve"> dotyczące ich zadań lub działalności, rozpatruje rada gminy, </w:t>
      </w:r>
      <w:r w:rsidRPr="001F72B3">
        <w:rPr>
          <w:iCs/>
          <w:snapToGrid w:val="0"/>
          <w:u w:val="single"/>
        </w:rPr>
        <w:t>jeżeli przepisy szczególne nie określają innych organów właściwych do rozpatrywania skarg.</w:t>
      </w:r>
      <w:r w:rsidRPr="001F72B3">
        <w:rPr>
          <w:iCs/>
          <w:snapToGrid w:val="0"/>
        </w:rPr>
        <w:t xml:space="preserve"> </w:t>
      </w:r>
    </w:p>
    <w:p w:rsidR="00235CE7" w:rsidRPr="001F72B3" w:rsidRDefault="00235CE7" w:rsidP="00235CE7">
      <w:pPr>
        <w:tabs>
          <w:tab w:val="num" w:pos="360"/>
        </w:tabs>
        <w:ind w:firstLine="851"/>
        <w:jc w:val="both"/>
      </w:pPr>
      <w:r w:rsidRPr="001F72B3"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 OSK1472/13, CBOIS).</w:t>
      </w:r>
    </w:p>
    <w:p w:rsidR="00DF7537" w:rsidRDefault="00235CE7" w:rsidP="00235CE7">
      <w:pPr>
        <w:tabs>
          <w:tab w:val="num" w:pos="360"/>
        </w:tabs>
        <w:ind w:firstLine="851"/>
        <w:jc w:val="both"/>
      </w:pPr>
      <w:r w:rsidRPr="001F72B3">
        <w:t>Oznacza to, że postępowanie skargowe w tym trybie jest postępowaniem jednoinstancyjnym i od niniejszej uchwały nie służy skarga do sądu administracyjnego.</w:t>
      </w:r>
    </w:p>
    <w:sectPr w:rsidR="00DF7537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EAD"/>
    <w:multiLevelType w:val="hybridMultilevel"/>
    <w:tmpl w:val="85B04636"/>
    <w:lvl w:ilvl="0" w:tplc="5CBE4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7"/>
    <w:rsid w:val="00235CE7"/>
    <w:rsid w:val="00D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316"/>
  <w15:chartTrackingRefBased/>
  <w15:docId w15:val="{3ADE36EE-31CE-47C9-96E4-F46AE0EE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35CE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35CE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35CE7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5CE7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235CE7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235CE7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link w:val="AkapitzlistZnak"/>
    <w:uiPriority w:val="99"/>
    <w:qFormat/>
    <w:rsid w:val="00235CE7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235CE7"/>
  </w:style>
  <w:style w:type="character" w:customStyle="1" w:styleId="AkapitzlistZnak">
    <w:name w:val="Akapit z listą Znak"/>
    <w:link w:val="Akapitzlist"/>
    <w:uiPriority w:val="99"/>
    <w:locked/>
    <w:rsid w:val="00235CE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2022-03-21T07:40:00Z</dcterms:created>
  <dcterms:modified xsi:type="dcterms:W3CDTF">2022-03-21T07:41:00Z</dcterms:modified>
</cp:coreProperties>
</file>