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509" w:rsidRDefault="00A633BF" w:rsidP="00877509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877509">
        <w:rPr>
          <w:rFonts w:ascii="Times New Roman" w:hAnsi="Times New Roman" w:cs="Times New Roman"/>
          <w:b/>
        </w:rPr>
        <w:t xml:space="preserve">ZARZĄDZENIE NR </w:t>
      </w:r>
      <w:r w:rsidR="003254AD">
        <w:rPr>
          <w:rFonts w:ascii="Times New Roman" w:hAnsi="Times New Roman" w:cs="Times New Roman"/>
          <w:b/>
        </w:rPr>
        <w:t>1</w:t>
      </w:r>
      <w:r w:rsidR="00D733B1">
        <w:rPr>
          <w:rFonts w:ascii="Times New Roman" w:hAnsi="Times New Roman" w:cs="Times New Roman"/>
          <w:b/>
        </w:rPr>
        <w:t>19</w:t>
      </w:r>
    </w:p>
    <w:p w:rsidR="00877509" w:rsidRDefault="00877509" w:rsidP="00877509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PREZYDENTA MIASTA TORUNIA</w:t>
      </w:r>
    </w:p>
    <w:p w:rsidR="00877509" w:rsidRDefault="00877509" w:rsidP="00877509">
      <w:pPr>
        <w:spacing w:line="276" w:lineRule="auto"/>
        <w:jc w:val="center"/>
        <w:rPr>
          <w:rFonts w:ascii="Times New Roman" w:eastAsia="Liberation Serif" w:hAnsi="Times New Roman" w:cs="Times New Roman"/>
        </w:rPr>
      </w:pPr>
      <w:r>
        <w:rPr>
          <w:rFonts w:ascii="Times New Roman" w:hAnsi="Times New Roman" w:cs="Times New Roman"/>
          <w:b/>
        </w:rPr>
        <w:t xml:space="preserve">z dnia </w:t>
      </w:r>
      <w:r w:rsidR="003254AD">
        <w:rPr>
          <w:rFonts w:ascii="Times New Roman" w:hAnsi="Times New Roman" w:cs="Times New Roman"/>
          <w:b/>
        </w:rPr>
        <w:t xml:space="preserve">13.04.2022r. </w:t>
      </w:r>
    </w:p>
    <w:p w:rsidR="00877509" w:rsidRDefault="00877509" w:rsidP="006A3F8B">
      <w:pPr>
        <w:jc w:val="both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   </w:t>
      </w:r>
    </w:p>
    <w:p w:rsidR="00375F53" w:rsidRPr="006A3F8B" w:rsidRDefault="00375F53" w:rsidP="006A3F8B">
      <w:pPr>
        <w:jc w:val="both"/>
        <w:rPr>
          <w:rFonts w:ascii="Times New Roman" w:hAnsi="Times New Roman" w:cs="Times New Roman"/>
          <w:b/>
        </w:rPr>
      </w:pPr>
    </w:p>
    <w:p w:rsidR="00877509" w:rsidRPr="006A3F8B" w:rsidRDefault="00877509" w:rsidP="006A3F8B">
      <w:pPr>
        <w:tabs>
          <w:tab w:val="left" w:pos="851"/>
        </w:tabs>
        <w:spacing w:after="57"/>
        <w:jc w:val="both"/>
        <w:rPr>
          <w:rFonts w:ascii="Times New Roman" w:hAnsi="Times New Roman" w:cs="Times New Roman"/>
          <w:b/>
        </w:rPr>
      </w:pPr>
      <w:r w:rsidRPr="006A3F8B">
        <w:rPr>
          <w:rFonts w:ascii="Times New Roman" w:hAnsi="Times New Roman" w:cs="Times New Roman"/>
          <w:b/>
        </w:rPr>
        <w:t xml:space="preserve">w sprawie ustalenia regulaminu I przetargu ustnego nieograniczonego na </w:t>
      </w:r>
      <w:r w:rsidR="009C1D49" w:rsidRPr="006A3F8B">
        <w:rPr>
          <w:rFonts w:ascii="Times New Roman" w:hAnsi="Times New Roman" w:cs="Times New Roman"/>
          <w:b/>
        </w:rPr>
        <w:t xml:space="preserve">sprzedaż </w:t>
      </w:r>
      <w:r w:rsidR="006A3F8B" w:rsidRPr="006A3F8B">
        <w:rPr>
          <w:rFonts w:ascii="Times New Roman" w:hAnsi="Times New Roman" w:cs="Times New Roman"/>
          <w:b/>
        </w:rPr>
        <w:t xml:space="preserve">nieruchomości zabudowanej,  położonej w Toruniu przy </w:t>
      </w:r>
      <w:r w:rsidR="00CC5884">
        <w:rPr>
          <w:rFonts w:ascii="Times New Roman" w:hAnsi="Times New Roman" w:cs="Times New Roman"/>
          <w:b/>
        </w:rPr>
        <w:t>ul. Łaziennej 24</w:t>
      </w:r>
      <w:r w:rsidR="00B10AB4">
        <w:rPr>
          <w:rFonts w:ascii="Times New Roman" w:hAnsi="Times New Roman" w:cs="Times New Roman"/>
          <w:b/>
        </w:rPr>
        <w:t xml:space="preserve"> </w:t>
      </w:r>
      <w:r w:rsidR="00CC5884">
        <w:rPr>
          <w:rFonts w:ascii="Times New Roman" w:hAnsi="Times New Roman" w:cs="Times New Roman"/>
          <w:b/>
        </w:rPr>
        <w:t>A</w:t>
      </w:r>
      <w:r w:rsidR="006A3F8B">
        <w:rPr>
          <w:rFonts w:ascii="Times New Roman" w:hAnsi="Times New Roman" w:cs="Times New Roman"/>
          <w:b/>
        </w:rPr>
        <w:t>,</w:t>
      </w:r>
      <w:r w:rsidR="006A3F8B" w:rsidRPr="006A3F8B">
        <w:rPr>
          <w:rFonts w:ascii="Times New Roman" w:hAnsi="Times New Roman" w:cs="Times New Roman"/>
          <w:b/>
        </w:rPr>
        <w:t xml:space="preserve"> stanowiącej własność Gminy Miasta Toruń</w:t>
      </w:r>
      <w:r w:rsidR="006A3F8B">
        <w:rPr>
          <w:rFonts w:ascii="Times New Roman" w:hAnsi="Times New Roman" w:cs="Times New Roman"/>
          <w:b/>
        </w:rPr>
        <w:t xml:space="preserve"> </w:t>
      </w:r>
      <w:r w:rsidRPr="006A3F8B">
        <w:rPr>
          <w:rFonts w:ascii="Times New Roman" w:hAnsi="Times New Roman" w:cs="Times New Roman"/>
          <w:b/>
        </w:rPr>
        <w:t>oraz powołania Komisji do przeprowadzenia  przetargu.</w:t>
      </w:r>
    </w:p>
    <w:p w:rsidR="00001558" w:rsidRDefault="00001558" w:rsidP="007B0B5E">
      <w:pPr>
        <w:pStyle w:val="Tekstpodstawowy"/>
        <w:spacing w:line="240" w:lineRule="auto"/>
        <w:jc w:val="both"/>
        <w:rPr>
          <w:rFonts w:ascii="Times New Roman" w:hAnsi="Times New Roman" w:cs="Times New Roman"/>
        </w:rPr>
      </w:pPr>
    </w:p>
    <w:p w:rsidR="00877509" w:rsidRPr="007B0B5E" w:rsidRDefault="00877509" w:rsidP="007B0B5E">
      <w:pPr>
        <w:pStyle w:val="Tekstpodstawowy"/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Na podstawie art. 30 ust. 1 ustawy z dnia 8 marca 1990 roku o samorządzie gminnym  (Dz. U. z 202</w:t>
      </w:r>
      <w:r w:rsidR="00375F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r, poz. </w:t>
      </w:r>
      <w:r w:rsidR="00375F53">
        <w:rPr>
          <w:rFonts w:ascii="Times New Roman" w:hAnsi="Times New Roman" w:cs="Times New Roman"/>
        </w:rPr>
        <w:t>559</w:t>
      </w:r>
      <w:r>
        <w:rPr>
          <w:rFonts w:ascii="Times New Roman" w:hAnsi="Times New Roman" w:cs="Times New Roman"/>
        </w:rPr>
        <w:t>)</w:t>
      </w:r>
      <w:r w:rsidR="00FA7012">
        <w:rPr>
          <w:rFonts w:ascii="Times New Roman" w:hAnsi="Times New Roman" w:cs="Times New Roman"/>
        </w:rPr>
        <w:t>,</w:t>
      </w:r>
      <w:r w:rsidR="007B0B5E" w:rsidRPr="007B0B5E">
        <w:rPr>
          <w:rFonts w:ascii="Times New Roman" w:hAnsi="Times New Roman" w:cs="Times New Roman"/>
        </w:rPr>
        <w:t xml:space="preserve"> Uchwały Nr </w:t>
      </w:r>
      <w:r w:rsidR="00CC5884">
        <w:rPr>
          <w:rFonts w:ascii="Times New Roman" w:hAnsi="Times New Roman" w:cs="Times New Roman"/>
        </w:rPr>
        <w:t>791</w:t>
      </w:r>
      <w:r w:rsidR="007B0B5E" w:rsidRPr="007B0B5E">
        <w:rPr>
          <w:rFonts w:ascii="Times New Roman" w:hAnsi="Times New Roman" w:cs="Times New Roman"/>
        </w:rPr>
        <w:t>/</w:t>
      </w:r>
      <w:r w:rsidR="00CC5884">
        <w:rPr>
          <w:rFonts w:ascii="Times New Roman" w:hAnsi="Times New Roman" w:cs="Times New Roman"/>
        </w:rPr>
        <w:t>22</w:t>
      </w:r>
      <w:r w:rsidR="007B0B5E" w:rsidRPr="007B0B5E">
        <w:rPr>
          <w:rFonts w:ascii="Times New Roman" w:hAnsi="Times New Roman" w:cs="Times New Roman"/>
        </w:rPr>
        <w:t xml:space="preserve"> Rady Miasta Torunia z dnia</w:t>
      </w:r>
      <w:r w:rsidR="00375F53">
        <w:rPr>
          <w:rFonts w:ascii="Times New Roman" w:hAnsi="Times New Roman" w:cs="Times New Roman"/>
        </w:rPr>
        <w:t xml:space="preserve"> </w:t>
      </w:r>
      <w:r w:rsidR="00CC5884">
        <w:rPr>
          <w:rFonts w:ascii="Times New Roman" w:hAnsi="Times New Roman" w:cs="Times New Roman"/>
        </w:rPr>
        <w:t>27</w:t>
      </w:r>
      <w:r w:rsidR="007B0B5E" w:rsidRPr="007B0B5E">
        <w:rPr>
          <w:rFonts w:ascii="Times New Roman" w:hAnsi="Times New Roman" w:cs="Times New Roman"/>
        </w:rPr>
        <w:t xml:space="preserve"> </w:t>
      </w:r>
      <w:r w:rsidR="00CC5884">
        <w:rPr>
          <w:rFonts w:ascii="Times New Roman" w:hAnsi="Times New Roman" w:cs="Times New Roman"/>
        </w:rPr>
        <w:t>stycznia</w:t>
      </w:r>
      <w:r w:rsidR="007B0B5E" w:rsidRPr="007B0B5E">
        <w:rPr>
          <w:rFonts w:ascii="Times New Roman" w:hAnsi="Times New Roman" w:cs="Times New Roman"/>
        </w:rPr>
        <w:t xml:space="preserve"> 202</w:t>
      </w:r>
      <w:r w:rsidR="00CC5884">
        <w:rPr>
          <w:rFonts w:ascii="Times New Roman" w:hAnsi="Times New Roman" w:cs="Times New Roman"/>
        </w:rPr>
        <w:t>2</w:t>
      </w:r>
      <w:r w:rsidR="007B0B5E" w:rsidRPr="007B0B5E">
        <w:rPr>
          <w:rFonts w:ascii="Times New Roman" w:hAnsi="Times New Roman" w:cs="Times New Roman"/>
        </w:rPr>
        <w:t>r.</w:t>
      </w:r>
      <w:r w:rsidR="00375F53">
        <w:rPr>
          <w:rFonts w:ascii="Times New Roman" w:hAnsi="Times New Roman" w:cs="Times New Roman"/>
        </w:rPr>
        <w:br/>
      </w:r>
      <w:r w:rsidR="007B0B5E" w:rsidRPr="007B0B5E">
        <w:rPr>
          <w:rFonts w:ascii="Times New Roman" w:hAnsi="Times New Roman" w:cs="Times New Roman"/>
        </w:rPr>
        <w:t xml:space="preserve">w sprawie sprzedaży nieruchomości zabudowanej, stanowiącej  własność Gminy Miasta Toruń położonej przy </w:t>
      </w:r>
      <w:r w:rsidR="00CC5884">
        <w:rPr>
          <w:rFonts w:ascii="Times New Roman" w:hAnsi="Times New Roman" w:cs="Times New Roman"/>
        </w:rPr>
        <w:t>Łaziennej 24</w:t>
      </w:r>
      <w:r w:rsidR="00B10AB4">
        <w:rPr>
          <w:rFonts w:ascii="Times New Roman" w:hAnsi="Times New Roman" w:cs="Times New Roman"/>
        </w:rPr>
        <w:t xml:space="preserve"> </w:t>
      </w:r>
      <w:r w:rsidR="00CC5884">
        <w:rPr>
          <w:rFonts w:ascii="Times New Roman" w:hAnsi="Times New Roman" w:cs="Times New Roman"/>
        </w:rPr>
        <w:t xml:space="preserve">A </w:t>
      </w:r>
      <w:r w:rsidR="007B0B5E" w:rsidRPr="007B0B5E">
        <w:rPr>
          <w:rFonts w:ascii="Times New Roman" w:hAnsi="Times New Roman" w:cs="Times New Roman"/>
        </w:rPr>
        <w:t>w Toruniu</w:t>
      </w:r>
      <w:r w:rsidR="00EE36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zarządza się, co następuje:</w:t>
      </w:r>
    </w:p>
    <w:p w:rsidR="00877509" w:rsidRDefault="00877509" w:rsidP="00877509">
      <w:pPr>
        <w:jc w:val="both"/>
        <w:rPr>
          <w:rFonts w:ascii="Times New Roman" w:hAnsi="Times New Roman" w:cs="Times New Roman"/>
        </w:rPr>
      </w:pPr>
    </w:p>
    <w:p w:rsidR="00877509" w:rsidRDefault="00877509" w:rsidP="0087750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§1</w:t>
      </w:r>
      <w:r w:rsidRPr="00AC3FEA">
        <w:rPr>
          <w:rFonts w:ascii="Times New Roman" w:hAnsi="Times New Roman" w:cs="Times New Roman"/>
        </w:rPr>
        <w:t>. Powołać Komisję do przeprowadzenia I przetargu ustnego nieograniczonego na sprzedaż</w:t>
      </w:r>
      <w:r w:rsidR="00D73F4E" w:rsidRPr="00D73F4E">
        <w:rPr>
          <w:rFonts w:ascii="Times New Roman" w:hAnsi="Times New Roman" w:cs="Times New Roman"/>
          <w:b/>
        </w:rPr>
        <w:t xml:space="preserve"> </w:t>
      </w:r>
      <w:r w:rsidR="00D73F4E" w:rsidRPr="00D73F4E">
        <w:rPr>
          <w:rFonts w:ascii="Times New Roman" w:hAnsi="Times New Roman" w:cs="Times New Roman"/>
        </w:rPr>
        <w:t xml:space="preserve">nieruchomości zabudowanej, położonej </w:t>
      </w:r>
      <w:r w:rsidR="007B0B5E">
        <w:rPr>
          <w:rFonts w:ascii="Times New Roman" w:hAnsi="Times New Roman" w:cs="Times New Roman"/>
        </w:rPr>
        <w:t xml:space="preserve">w Toruniu </w:t>
      </w:r>
      <w:r w:rsidR="00685CDB">
        <w:rPr>
          <w:rFonts w:ascii="Times New Roman" w:hAnsi="Times New Roman" w:cs="Times New Roman"/>
        </w:rPr>
        <w:t>ul. Łaziennej 24</w:t>
      </w:r>
      <w:r w:rsidR="00B10AB4">
        <w:rPr>
          <w:rFonts w:ascii="Times New Roman" w:hAnsi="Times New Roman" w:cs="Times New Roman"/>
        </w:rPr>
        <w:t xml:space="preserve"> </w:t>
      </w:r>
      <w:r w:rsidR="00685CDB">
        <w:rPr>
          <w:rFonts w:ascii="Times New Roman" w:hAnsi="Times New Roman" w:cs="Times New Roman"/>
        </w:rPr>
        <w:t>A</w:t>
      </w:r>
      <w:r w:rsidR="00157B66">
        <w:rPr>
          <w:rFonts w:ascii="Times New Roman" w:hAnsi="Times New Roman" w:cs="Times New Roman"/>
        </w:rPr>
        <w:t>, stanowiącej własność Gminy Miasta Toruń</w:t>
      </w:r>
      <w:r w:rsidR="00D73F4E" w:rsidRPr="00D73F4E">
        <w:rPr>
          <w:rFonts w:ascii="Times New Roman" w:hAnsi="Times New Roman" w:cs="Times New Roman"/>
        </w:rPr>
        <w:t xml:space="preserve"> w Toruniu</w:t>
      </w:r>
      <w:r w:rsidR="00D73F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w następującym składzie:</w:t>
      </w:r>
    </w:p>
    <w:p w:rsidR="00877509" w:rsidRDefault="00877509" w:rsidP="0087750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Przewodniczący Komisji        - Iwona Więckowska;</w:t>
      </w:r>
    </w:p>
    <w:p w:rsidR="00877509" w:rsidRDefault="00877509" w:rsidP="0087750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Członek Komisji                     - Robert Dąbrowski;</w:t>
      </w:r>
    </w:p>
    <w:p w:rsidR="00877509" w:rsidRDefault="00877509" w:rsidP="0087750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Członek Komisji                     - Małgorzata Stępińska;</w:t>
      </w:r>
    </w:p>
    <w:p w:rsidR="00877509" w:rsidRDefault="00877509" w:rsidP="0087750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Członek Komisji                     - </w:t>
      </w:r>
      <w:r w:rsidR="007B0B5E">
        <w:rPr>
          <w:rFonts w:ascii="Times New Roman" w:hAnsi="Times New Roman" w:cs="Times New Roman"/>
        </w:rPr>
        <w:t>Katarzyna Kierys</w:t>
      </w:r>
      <w:r>
        <w:rPr>
          <w:rFonts w:ascii="Times New Roman" w:hAnsi="Times New Roman" w:cs="Times New Roman"/>
        </w:rPr>
        <w:t>.</w:t>
      </w:r>
    </w:p>
    <w:p w:rsidR="00877509" w:rsidRDefault="00877509" w:rsidP="00877509">
      <w:pPr>
        <w:spacing w:line="276" w:lineRule="auto"/>
        <w:jc w:val="both"/>
        <w:rPr>
          <w:rFonts w:ascii="Times New Roman" w:hAnsi="Times New Roman" w:cs="Times New Roman"/>
        </w:rPr>
      </w:pPr>
    </w:p>
    <w:p w:rsidR="00877509" w:rsidRDefault="00877509" w:rsidP="00877509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§2. Komisja przeprowadzi przetarg,  zgodnie z Regulaminem, stanowiącym załącznik do niniejszego zarządzenia.</w:t>
      </w:r>
    </w:p>
    <w:p w:rsidR="00877509" w:rsidRDefault="00877509" w:rsidP="00877509">
      <w:pPr>
        <w:jc w:val="both"/>
        <w:rPr>
          <w:rFonts w:ascii="Times New Roman" w:hAnsi="Times New Roman" w:cs="Times New Roman"/>
        </w:rPr>
      </w:pPr>
    </w:p>
    <w:p w:rsidR="00877509" w:rsidRDefault="00877509" w:rsidP="0087750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§3. Przetarg odbędzie się w Wydzia</w:t>
      </w:r>
      <w:r w:rsidR="007B0B5E"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</w:rPr>
        <w:t xml:space="preserve"> Gospodarki Nieruchomościami Urzędu Miasta Torunia, przy ulicy Grudziądzkiej 126 „B” w sali konferencyjnej nr 115, na pierwszym piętrze.</w:t>
      </w:r>
    </w:p>
    <w:p w:rsidR="00877509" w:rsidRDefault="00877509" w:rsidP="00877509">
      <w:pPr>
        <w:spacing w:line="276" w:lineRule="auto"/>
        <w:jc w:val="both"/>
        <w:rPr>
          <w:rFonts w:ascii="Times New Roman" w:hAnsi="Times New Roman" w:cs="Times New Roman"/>
        </w:rPr>
      </w:pPr>
    </w:p>
    <w:p w:rsidR="00877509" w:rsidRDefault="00877509" w:rsidP="00877509">
      <w:pPr>
        <w:tabs>
          <w:tab w:val="left" w:pos="393"/>
        </w:tabs>
        <w:spacing w:line="360" w:lineRule="auto"/>
        <w:jc w:val="both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§4. Wykonanie zarządzenia powierza się Dyrektorowi Wydziału Gospodarki Nieruchomościami</w:t>
      </w:r>
    </w:p>
    <w:p w:rsidR="00877509" w:rsidRDefault="00877509" w:rsidP="00877509">
      <w:pPr>
        <w:tabs>
          <w:tab w:val="left" w:pos="393"/>
        </w:tabs>
        <w:jc w:val="both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 </w:t>
      </w:r>
    </w:p>
    <w:p w:rsidR="00877509" w:rsidRDefault="00877509" w:rsidP="00877509">
      <w:pPr>
        <w:spacing w:line="360" w:lineRule="auto"/>
        <w:jc w:val="both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§5. Zarządzenie wchodzi w życie z dniem podjęcia.</w:t>
      </w:r>
    </w:p>
    <w:p w:rsidR="00877509" w:rsidRDefault="00877509" w:rsidP="00877509">
      <w:pPr>
        <w:spacing w:line="340" w:lineRule="exact"/>
        <w:jc w:val="both"/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01558" w:rsidRDefault="00001558" w:rsidP="00157B66">
      <w:pPr>
        <w:pStyle w:val="Tekstpodstawowy"/>
        <w:rPr>
          <w:rFonts w:ascii="Times New Roman" w:hAnsi="Times New Roman" w:cs="Times New Roman"/>
          <w:vertAlign w:val="superscript"/>
        </w:rPr>
      </w:pPr>
    </w:p>
    <w:p w:rsidR="00685CDB" w:rsidRDefault="00685CDB" w:rsidP="00157B66">
      <w:pPr>
        <w:pStyle w:val="Tekstpodstawowy"/>
        <w:rPr>
          <w:rFonts w:ascii="Times New Roman" w:hAnsi="Times New Roman" w:cs="Times New Roman"/>
          <w:vertAlign w:val="superscript"/>
        </w:rPr>
      </w:pPr>
    </w:p>
    <w:p w:rsidR="00375F53" w:rsidRDefault="00375F53" w:rsidP="00157B66">
      <w:pPr>
        <w:pStyle w:val="Tekstpodstawowy"/>
        <w:rPr>
          <w:rFonts w:ascii="Times New Roman" w:hAnsi="Times New Roman" w:cs="Times New Roman"/>
          <w:vertAlign w:val="superscript"/>
        </w:rPr>
      </w:pPr>
    </w:p>
    <w:p w:rsidR="00375F53" w:rsidRDefault="00375F53" w:rsidP="00157B66">
      <w:pPr>
        <w:pStyle w:val="Tekstpodstawowy"/>
        <w:rPr>
          <w:rFonts w:ascii="Times New Roman" w:hAnsi="Times New Roman" w:cs="Times New Roman"/>
          <w:vertAlign w:val="superscript"/>
        </w:rPr>
      </w:pPr>
    </w:p>
    <w:p w:rsidR="00375F53" w:rsidRDefault="00375F53" w:rsidP="00157B66">
      <w:pPr>
        <w:pStyle w:val="Tekstpodstawowy"/>
        <w:rPr>
          <w:rFonts w:ascii="Times New Roman" w:hAnsi="Times New Roman" w:cs="Times New Roman"/>
          <w:vertAlign w:val="superscript"/>
        </w:rPr>
      </w:pPr>
    </w:p>
    <w:p w:rsidR="00375F53" w:rsidRDefault="00375F53" w:rsidP="00157B66">
      <w:pPr>
        <w:pStyle w:val="Tekstpodstawowy"/>
        <w:rPr>
          <w:rFonts w:ascii="Times New Roman" w:hAnsi="Times New Roman" w:cs="Times New Roman"/>
          <w:vertAlign w:val="superscript"/>
        </w:rPr>
      </w:pPr>
    </w:p>
    <w:p w:rsidR="00375F53" w:rsidRDefault="00375F53" w:rsidP="00157B66">
      <w:pPr>
        <w:pStyle w:val="Tekstpodstawowy"/>
        <w:rPr>
          <w:rFonts w:ascii="Times New Roman" w:hAnsi="Times New Roman" w:cs="Times New Roman"/>
          <w:vertAlign w:val="superscript"/>
        </w:rPr>
      </w:pPr>
    </w:p>
    <w:p w:rsidR="00877509" w:rsidRDefault="00685CDB" w:rsidP="00877509">
      <w:pPr>
        <w:spacing w:line="3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</w:t>
      </w:r>
      <w:r w:rsidR="00877509">
        <w:rPr>
          <w:rFonts w:ascii="Times New Roman" w:hAnsi="Times New Roman" w:cs="Times New Roman"/>
        </w:rPr>
        <w:t xml:space="preserve">    Załącznik do Zarządzenia  nr </w:t>
      </w:r>
      <w:r w:rsidR="003254AD">
        <w:rPr>
          <w:rFonts w:ascii="Times New Roman" w:hAnsi="Times New Roman" w:cs="Times New Roman"/>
        </w:rPr>
        <w:t>1</w:t>
      </w:r>
      <w:r w:rsidR="00D733B1">
        <w:rPr>
          <w:rFonts w:ascii="Times New Roman" w:hAnsi="Times New Roman" w:cs="Times New Roman"/>
        </w:rPr>
        <w:t>19</w:t>
      </w:r>
      <w:bookmarkStart w:id="0" w:name="_GoBack"/>
      <w:bookmarkEnd w:id="0"/>
    </w:p>
    <w:p w:rsidR="00877509" w:rsidRDefault="00877509" w:rsidP="00877509">
      <w:pPr>
        <w:spacing w:line="34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PMT z dnia </w:t>
      </w:r>
      <w:r w:rsidR="003254AD">
        <w:rPr>
          <w:rFonts w:ascii="Times New Roman" w:hAnsi="Times New Roman" w:cs="Times New Roman"/>
        </w:rPr>
        <w:t>13.04.2022 r.</w:t>
      </w:r>
    </w:p>
    <w:p w:rsidR="00877509" w:rsidRDefault="00877509" w:rsidP="00877509">
      <w:pPr>
        <w:spacing w:line="32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REGULAMIN I PRZETARGU</w:t>
      </w:r>
    </w:p>
    <w:p w:rsidR="00877509" w:rsidRDefault="00877509" w:rsidP="00877509">
      <w:pPr>
        <w:spacing w:line="320" w:lineRule="exact"/>
        <w:jc w:val="center"/>
        <w:rPr>
          <w:rFonts w:ascii="Times New Roman" w:hAnsi="Times New Roman" w:cs="Times New Roman"/>
          <w:b/>
        </w:rPr>
      </w:pPr>
    </w:p>
    <w:p w:rsidR="00877509" w:rsidRDefault="00877509" w:rsidP="00521787">
      <w:pPr>
        <w:pStyle w:val="Tretekstu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§1.1. Przetarg ogłasza, organizuje i przeprowadza Prezydent Miasta Torunia na zasadach ogólnych, określonych w ustawie z dnia 21 sierpnia 1997 roku o gospodarce nieruchomościami oraz w Rozporządzeniu Rady Ministrów z dnia 14 września 2004 roku</w:t>
      </w:r>
      <w:r>
        <w:rPr>
          <w:rFonts w:ascii="Times New Roman" w:hAnsi="Times New Roman" w:cs="Times New Roman"/>
          <w:szCs w:val="24"/>
        </w:rPr>
        <w:br/>
        <w:t>w sprawie sposobu i trybu przeprowadzenia przetargów oraz rokowań na zbycie nieruchomości</w:t>
      </w:r>
      <w:r w:rsidR="006F7263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</w:rPr>
        <w:t>Uchwały</w:t>
      </w:r>
      <w:r w:rsidR="0073779F">
        <w:rPr>
          <w:rFonts w:ascii="Times New Roman" w:hAnsi="Times New Roman" w:cs="Times New Roman"/>
        </w:rPr>
        <w:t xml:space="preserve"> Nr </w:t>
      </w:r>
      <w:r w:rsidR="00685CDB">
        <w:rPr>
          <w:rFonts w:ascii="Times New Roman" w:hAnsi="Times New Roman" w:cs="Times New Roman"/>
        </w:rPr>
        <w:t>791</w:t>
      </w:r>
      <w:r w:rsidR="0073779F">
        <w:rPr>
          <w:rFonts w:ascii="Times New Roman" w:hAnsi="Times New Roman" w:cs="Times New Roman"/>
        </w:rPr>
        <w:t>/</w:t>
      </w:r>
      <w:r w:rsidR="00685CDB">
        <w:rPr>
          <w:rFonts w:ascii="Times New Roman" w:hAnsi="Times New Roman" w:cs="Times New Roman"/>
        </w:rPr>
        <w:t>22</w:t>
      </w:r>
      <w:r w:rsidR="0073779F">
        <w:rPr>
          <w:rFonts w:ascii="Times New Roman" w:hAnsi="Times New Roman" w:cs="Times New Roman"/>
        </w:rPr>
        <w:t xml:space="preserve"> Rady Miasta Torunia z dnia </w:t>
      </w:r>
      <w:r w:rsidR="00685CDB">
        <w:rPr>
          <w:rFonts w:ascii="Times New Roman" w:hAnsi="Times New Roman" w:cs="Times New Roman"/>
        </w:rPr>
        <w:t>27</w:t>
      </w:r>
      <w:r w:rsidR="0073779F">
        <w:rPr>
          <w:rFonts w:ascii="Times New Roman" w:hAnsi="Times New Roman" w:cs="Times New Roman"/>
        </w:rPr>
        <w:t xml:space="preserve"> </w:t>
      </w:r>
      <w:r w:rsidR="00685CDB">
        <w:rPr>
          <w:rFonts w:ascii="Times New Roman" w:hAnsi="Times New Roman" w:cs="Times New Roman"/>
        </w:rPr>
        <w:t>stycznia</w:t>
      </w:r>
      <w:r w:rsidR="0073779F">
        <w:rPr>
          <w:rFonts w:ascii="Times New Roman" w:hAnsi="Times New Roman" w:cs="Times New Roman"/>
        </w:rPr>
        <w:t xml:space="preserve"> 202</w:t>
      </w:r>
      <w:r w:rsidR="00685CDB">
        <w:rPr>
          <w:rFonts w:ascii="Times New Roman" w:hAnsi="Times New Roman" w:cs="Times New Roman"/>
        </w:rPr>
        <w:t>2</w:t>
      </w:r>
      <w:r w:rsidR="0073779F">
        <w:rPr>
          <w:rFonts w:ascii="Times New Roman" w:hAnsi="Times New Roman" w:cs="Times New Roman"/>
        </w:rPr>
        <w:t xml:space="preserve">r. w </w:t>
      </w:r>
      <w:r w:rsidR="0073779F">
        <w:rPr>
          <w:rFonts w:ascii="Times New Roman" w:hAnsi="Times New Roman" w:cs="Times New Roman"/>
          <w:szCs w:val="24"/>
        </w:rPr>
        <w:t>sprawie sprzedaży nieruchomości zabudowanej, stanowiącej własność Gminy Miasta Toruń położonej przy</w:t>
      </w:r>
      <w:r w:rsidR="000D5C68">
        <w:rPr>
          <w:rFonts w:ascii="Times New Roman" w:hAnsi="Times New Roman" w:cs="Times New Roman"/>
          <w:szCs w:val="24"/>
        </w:rPr>
        <w:br/>
        <w:t>ul. Łaziennej 24</w:t>
      </w:r>
      <w:r w:rsidR="00B10AB4">
        <w:rPr>
          <w:rFonts w:ascii="Times New Roman" w:hAnsi="Times New Roman" w:cs="Times New Roman"/>
          <w:szCs w:val="24"/>
        </w:rPr>
        <w:t xml:space="preserve"> </w:t>
      </w:r>
      <w:r w:rsidR="000D5C68">
        <w:rPr>
          <w:rFonts w:ascii="Times New Roman" w:hAnsi="Times New Roman" w:cs="Times New Roman"/>
          <w:szCs w:val="24"/>
        </w:rPr>
        <w:t>A</w:t>
      </w:r>
      <w:r w:rsidR="00E828B6">
        <w:rPr>
          <w:rFonts w:ascii="Times New Roman" w:hAnsi="Times New Roman" w:cs="Times New Roman"/>
          <w:szCs w:val="24"/>
        </w:rPr>
        <w:t xml:space="preserve"> w Toruniu</w:t>
      </w:r>
      <w:r w:rsidR="006F726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Cs w:val="24"/>
        </w:rPr>
        <w:t>a także niniejszego Regulaminu.</w:t>
      </w:r>
    </w:p>
    <w:p w:rsidR="00877509" w:rsidRDefault="00877509" w:rsidP="00521787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       </w:t>
      </w:r>
      <w:r w:rsidR="00FA1710">
        <w:rPr>
          <w:rFonts w:ascii="Times New Roman" w:eastAsia="Liberation Serif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2. Czynności związane z przeprowadzeniem przetargu wykonuje Komisja Przetargowa, która podejmuje rozstrzygnięcia większością głosów, w drodze głosowania,</w:t>
      </w:r>
      <w:r w:rsidR="006F726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obecności co najmniej połowy ustalonego składu. W przypadku równej liczby głosów decyduje głos przewodniczącego komisji.</w:t>
      </w:r>
    </w:p>
    <w:p w:rsidR="00877509" w:rsidRDefault="00877509" w:rsidP="00521787">
      <w:pPr>
        <w:ind w:firstLine="284"/>
        <w:jc w:val="both"/>
        <w:rPr>
          <w:rFonts w:ascii="Times New Roman" w:hAnsi="Times New Roman" w:cs="Times New Roman"/>
        </w:rPr>
      </w:pPr>
    </w:p>
    <w:p w:rsidR="00877509" w:rsidRDefault="00877509" w:rsidP="00FE6497">
      <w:p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§2. Komisja Przetargowa przeprowadzi przetarg w dniu </w:t>
      </w:r>
      <w:r w:rsidR="00EE683B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 xml:space="preserve"> </w:t>
      </w:r>
      <w:r w:rsidR="009C774F">
        <w:rPr>
          <w:rFonts w:ascii="Times New Roman" w:hAnsi="Times New Roman" w:cs="Times New Roman"/>
          <w:b/>
        </w:rPr>
        <w:t>czerwca</w:t>
      </w:r>
      <w:r>
        <w:rPr>
          <w:rFonts w:ascii="Times New Roman" w:hAnsi="Times New Roman" w:cs="Times New Roman"/>
          <w:b/>
        </w:rPr>
        <w:t xml:space="preserve"> 202</w:t>
      </w:r>
      <w:r w:rsidR="006F7263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r. o godzinie  </w:t>
      </w:r>
      <w:r w:rsidR="00001558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.00</w:t>
      </w:r>
      <w:r>
        <w:rPr>
          <w:rFonts w:ascii="Times New Roman" w:hAnsi="Times New Roman" w:cs="Times New Roman"/>
        </w:rPr>
        <w:t>.</w:t>
      </w:r>
    </w:p>
    <w:p w:rsidR="000D5C68" w:rsidRPr="000D5C68" w:rsidRDefault="00FA1710" w:rsidP="00FE64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77509" w:rsidRPr="00FA1710">
        <w:rPr>
          <w:rFonts w:ascii="Times New Roman" w:hAnsi="Times New Roman" w:cs="Times New Roman"/>
        </w:rPr>
        <w:t>§</w:t>
      </w:r>
      <w:r w:rsidR="00877509" w:rsidRPr="000D5C68">
        <w:rPr>
          <w:rFonts w:ascii="Times New Roman" w:hAnsi="Times New Roman" w:cs="Times New Roman"/>
        </w:rPr>
        <w:t xml:space="preserve">3.1. Przedmiotem przetargu jest </w:t>
      </w:r>
      <w:r w:rsidR="000D5C68" w:rsidRPr="000D5C68">
        <w:rPr>
          <w:rFonts w:ascii="Times New Roman" w:hAnsi="Times New Roman" w:cs="Times New Roman"/>
        </w:rPr>
        <w:t>sprzedaż nieruchomości zabudowanej, stanowiącej własność Gminy Miasta Toruń, położonej w Toruniu przy ul. Łaziennej 24</w:t>
      </w:r>
      <w:r w:rsidR="00B10AB4">
        <w:rPr>
          <w:rFonts w:ascii="Times New Roman" w:hAnsi="Times New Roman" w:cs="Times New Roman"/>
        </w:rPr>
        <w:t xml:space="preserve"> </w:t>
      </w:r>
      <w:r w:rsidR="000D5C68" w:rsidRPr="000D5C68">
        <w:rPr>
          <w:rFonts w:ascii="Times New Roman" w:hAnsi="Times New Roman" w:cs="Times New Roman"/>
        </w:rPr>
        <w:t>A, oznaczonej geodezyjnie jako działka 37/2 o  powierzchni 0,0218 ha, w obrębie nr 16, zapisanej w księdze wieczystej KW Nr TO1T/00049012/2.</w:t>
      </w:r>
    </w:p>
    <w:p w:rsidR="00E22AC2" w:rsidRDefault="00AF2488" w:rsidP="00FE6497">
      <w:pPr>
        <w:pStyle w:val="Tekstpodstawowywcity2"/>
        <w:tabs>
          <w:tab w:val="decimal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FA1710">
        <w:rPr>
          <w:rFonts w:ascii="Times New Roman" w:eastAsia="Times New Roman" w:hAnsi="Times New Roman" w:cs="Times New Roman"/>
        </w:rPr>
        <w:t xml:space="preserve">        </w:t>
      </w:r>
      <w:r w:rsidR="00877509" w:rsidRPr="00AF2488">
        <w:rPr>
          <w:rFonts w:ascii="Times New Roman" w:eastAsia="Times New Roman" w:hAnsi="Times New Roman" w:cs="Times New Roman"/>
        </w:rPr>
        <w:t xml:space="preserve"> </w:t>
      </w:r>
      <w:r w:rsidR="00054BD5">
        <w:rPr>
          <w:rFonts w:ascii="Times New Roman" w:hAnsi="Times New Roman" w:cs="Times New Roman"/>
        </w:rPr>
        <w:t xml:space="preserve">2. </w:t>
      </w:r>
      <w:r w:rsidR="00E22AC2">
        <w:rPr>
          <w:rFonts w:ascii="Times New Roman" w:hAnsi="Times New Roman" w:cs="Times New Roman"/>
        </w:rPr>
        <w:t>Nieruchomość położona przy ul. Łaziennej 24 A, zabudowana jest budynkiem oficyny kamienicy frontowej (ul. Łazienna 24), wybudowanym w 1882 r. Działka położona jest w drugiej linii zabudowy ulicowej, wschodniej pierzei ulicy Łaziennej. Dostęp do działki</w:t>
      </w:r>
      <w:r w:rsidR="008D56D8">
        <w:rPr>
          <w:rFonts w:ascii="Times New Roman" w:hAnsi="Times New Roman" w:cs="Times New Roman"/>
        </w:rPr>
        <w:br/>
      </w:r>
      <w:r w:rsidR="00E22AC2">
        <w:rPr>
          <w:rFonts w:ascii="Times New Roman" w:hAnsi="Times New Roman" w:cs="Times New Roman"/>
        </w:rPr>
        <w:t>i budynku  możliwy jest wyłącznie poprzez wydzielony korytarz budynku głównego, który stanowi własność prywatną</w:t>
      </w:r>
      <w:r w:rsidR="008D56D8">
        <w:rPr>
          <w:rFonts w:ascii="Times New Roman" w:hAnsi="Times New Roman" w:cs="Times New Roman"/>
        </w:rPr>
        <w:t xml:space="preserve"> (działka geod. nr 37/1)</w:t>
      </w:r>
      <w:r w:rsidR="00E22AC2">
        <w:rPr>
          <w:rFonts w:ascii="Times New Roman" w:hAnsi="Times New Roman" w:cs="Times New Roman"/>
        </w:rPr>
        <w:t xml:space="preserve"> i został zabezpieczony w formie służebności gruntowej, która polega na prawie przechodu korytarzem o powierzchni 24 m</w:t>
      </w:r>
      <w:r w:rsidR="00E22AC2" w:rsidRPr="000C2233">
        <w:rPr>
          <w:rFonts w:ascii="Times New Roman" w:hAnsi="Times New Roman" w:cs="Times New Roman"/>
          <w:vertAlign w:val="superscript"/>
        </w:rPr>
        <w:t>2</w:t>
      </w:r>
      <w:r w:rsidR="00E22AC2">
        <w:rPr>
          <w:rFonts w:ascii="Times New Roman" w:hAnsi="Times New Roman" w:cs="Times New Roman"/>
        </w:rPr>
        <w:t>, w sposób jak najmniej utrudniający korzystanie</w:t>
      </w:r>
      <w:r w:rsidR="008D56D8">
        <w:rPr>
          <w:rFonts w:ascii="Times New Roman" w:hAnsi="Times New Roman" w:cs="Times New Roman"/>
        </w:rPr>
        <w:t xml:space="preserve"> </w:t>
      </w:r>
      <w:r w:rsidR="00E22AC2">
        <w:rPr>
          <w:rFonts w:ascii="Times New Roman" w:hAnsi="Times New Roman" w:cs="Times New Roman"/>
        </w:rPr>
        <w:t>z nieruchomości obciążonej, z obowiązkiem utrzymywania urządzeń związanych</w:t>
      </w:r>
      <w:r w:rsidR="008D56D8">
        <w:rPr>
          <w:rFonts w:ascii="Times New Roman" w:hAnsi="Times New Roman" w:cs="Times New Roman"/>
        </w:rPr>
        <w:t xml:space="preserve"> </w:t>
      </w:r>
      <w:r w:rsidR="00E22AC2">
        <w:rPr>
          <w:rFonts w:ascii="Times New Roman" w:hAnsi="Times New Roman" w:cs="Times New Roman"/>
        </w:rPr>
        <w:t xml:space="preserve">z wykonaniem służebności. Brak możliwości dojazdu do nieruchomości. </w:t>
      </w:r>
    </w:p>
    <w:p w:rsidR="00521787" w:rsidRDefault="008D56D8" w:rsidP="00FE6497">
      <w:pPr>
        <w:pStyle w:val="Tekstpodstawowywcity2"/>
        <w:tabs>
          <w:tab w:val="decimal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3. </w:t>
      </w:r>
      <w:r w:rsidR="000D5C68">
        <w:rPr>
          <w:rFonts w:ascii="Times New Roman" w:hAnsi="Times New Roman" w:cs="Times New Roman"/>
        </w:rPr>
        <w:t>Budynek oficyny został założony na planie litery L, jako obiekt czterokondygnacyjny, częściowo podpiwniczony, murowany i jest usytuowany w południowej i wschodniej części działki geod. nr 37/2.  Sąsiedztwo stanowią kamienice mieszkalne</w:t>
      </w:r>
      <w:r>
        <w:rPr>
          <w:rFonts w:ascii="Times New Roman" w:hAnsi="Times New Roman" w:cs="Times New Roman"/>
        </w:rPr>
        <w:t xml:space="preserve"> </w:t>
      </w:r>
      <w:r w:rsidR="000D5C68">
        <w:rPr>
          <w:rFonts w:ascii="Times New Roman" w:hAnsi="Times New Roman" w:cs="Times New Roman"/>
        </w:rPr>
        <w:t>i mieszkalno-usługowe. Część ścian oficyny styka się z sąsiednimi budynkami. Powierzchnia  zabudowy wynosi 124,00 m</w:t>
      </w:r>
      <w:r w:rsidR="000D5C68" w:rsidRPr="00CE7EFA">
        <w:rPr>
          <w:rFonts w:ascii="Times New Roman" w:hAnsi="Times New Roman" w:cs="Times New Roman"/>
          <w:vertAlign w:val="superscript"/>
        </w:rPr>
        <w:t>2</w:t>
      </w:r>
      <w:r w:rsidR="000D5C68">
        <w:rPr>
          <w:rFonts w:ascii="Times New Roman" w:hAnsi="Times New Roman" w:cs="Times New Roman"/>
        </w:rPr>
        <w:t>, powierzchnia użytkowa budynku wynosi 265,05 m</w:t>
      </w:r>
      <w:r w:rsidR="000D5C68" w:rsidRPr="00CE7EFA">
        <w:rPr>
          <w:rFonts w:ascii="Times New Roman" w:hAnsi="Times New Roman" w:cs="Times New Roman"/>
          <w:vertAlign w:val="superscript"/>
        </w:rPr>
        <w:t>2</w:t>
      </w:r>
      <w:r w:rsidR="000D5C68">
        <w:rPr>
          <w:rFonts w:ascii="Times New Roman" w:hAnsi="Times New Roman" w:cs="Times New Roman"/>
        </w:rPr>
        <w:t>, łączna powierzchnia wszystkich pomieszczeń wynosi 349,67 m</w:t>
      </w:r>
      <w:r w:rsidR="000D5C68" w:rsidRPr="00CE7EFA">
        <w:rPr>
          <w:rFonts w:ascii="Times New Roman" w:hAnsi="Times New Roman" w:cs="Times New Roman"/>
          <w:vertAlign w:val="superscript"/>
        </w:rPr>
        <w:t>2</w:t>
      </w:r>
      <w:r w:rsidR="000D5C68">
        <w:rPr>
          <w:rFonts w:ascii="Times New Roman" w:hAnsi="Times New Roman" w:cs="Times New Roman"/>
        </w:rPr>
        <w:t xml:space="preserve"> (obejmuje powierzchnię lokali, powierzchnię pomieszczeń przynależnych oraz powierzchnie wspólnego użytku), kubatura wynosi 1600 m</w:t>
      </w:r>
      <w:r w:rsidR="000D5C68" w:rsidRPr="00CE7EFA">
        <w:rPr>
          <w:rFonts w:ascii="Times New Roman" w:hAnsi="Times New Roman" w:cs="Times New Roman"/>
          <w:vertAlign w:val="superscript"/>
        </w:rPr>
        <w:t>3</w:t>
      </w:r>
      <w:r w:rsidR="000D5C68">
        <w:rPr>
          <w:rFonts w:ascii="Times New Roman" w:hAnsi="Times New Roman" w:cs="Times New Roman"/>
        </w:rPr>
        <w:t xml:space="preserve">. </w:t>
      </w:r>
      <w:r w:rsidR="008127B1">
        <w:rPr>
          <w:rFonts w:ascii="Times New Roman" w:hAnsi="Times New Roman" w:cs="Times New Roman"/>
        </w:rPr>
        <w:t>Parametry powierzchni i kubatury przyjęto na podstawie Inwentaryzacji budowlanej sporządzonej</w:t>
      </w:r>
      <w:r w:rsidR="008127B1">
        <w:rPr>
          <w:rFonts w:ascii="Times New Roman" w:hAnsi="Times New Roman" w:cs="Times New Roman"/>
        </w:rPr>
        <w:br/>
        <w:t xml:space="preserve">w październiku 2007 r. przez </w:t>
      </w:r>
      <w:proofErr w:type="spellStart"/>
      <w:r w:rsidR="008127B1">
        <w:rPr>
          <w:rFonts w:ascii="Times New Roman" w:hAnsi="Times New Roman" w:cs="Times New Roman"/>
        </w:rPr>
        <w:t>PUBiT</w:t>
      </w:r>
      <w:proofErr w:type="spellEnd"/>
      <w:r w:rsidR="008127B1">
        <w:rPr>
          <w:rFonts w:ascii="Times New Roman" w:hAnsi="Times New Roman" w:cs="Times New Roman"/>
        </w:rPr>
        <w:t xml:space="preserve"> „TELBUD 59”. Powierzchnia użytkowa według kartoteki budynków z bazy danych Wydziału Geodezji i Kartografii wynosi 267,46 m</w:t>
      </w:r>
      <w:r w:rsidR="008127B1" w:rsidRPr="008127B1">
        <w:rPr>
          <w:rFonts w:ascii="Times New Roman" w:hAnsi="Times New Roman" w:cs="Times New Roman"/>
          <w:vertAlign w:val="superscript"/>
        </w:rPr>
        <w:t>2</w:t>
      </w:r>
      <w:r w:rsidR="008127B1">
        <w:rPr>
          <w:rFonts w:ascii="Times New Roman" w:hAnsi="Times New Roman" w:cs="Times New Roman"/>
        </w:rPr>
        <w:t xml:space="preserve">. </w:t>
      </w:r>
      <w:r w:rsidR="000D5C68">
        <w:rPr>
          <w:rFonts w:ascii="Times New Roman" w:hAnsi="Times New Roman" w:cs="Times New Roman"/>
        </w:rPr>
        <w:t>W budynku znajduje się 7 lokali mieszkalnych, w piwnicy – pomieszczenia gospodarcze, na najwyższej kondygnacji: poddaszu – lokal nr 7 i pomieszczenia strychowe, nie stanowiące odrębnej własności. Wszyscy lokatorzy zostali wyprowadzeni i budynek od maja 2020r. stanowi pustostan. Stan techniczny budynku średni, standard wykończenia niski, elementy konstrukcyjne budynku nie wykazują uszkodzeń. Fundamenty kamienno-ceglane. Ściany konstrukcyjne zewnętrzne</w:t>
      </w:r>
      <w:r w:rsidR="00973EC6">
        <w:rPr>
          <w:rFonts w:ascii="Times New Roman" w:hAnsi="Times New Roman" w:cs="Times New Roman"/>
        </w:rPr>
        <w:t xml:space="preserve"> gr. 58 cm</w:t>
      </w:r>
      <w:r w:rsidR="000D5C68">
        <w:rPr>
          <w:rFonts w:ascii="Times New Roman" w:hAnsi="Times New Roman" w:cs="Times New Roman"/>
        </w:rPr>
        <w:t xml:space="preserve"> murowane z cegły pełnej ceramicznej</w:t>
      </w:r>
      <w:r w:rsidR="00973EC6">
        <w:rPr>
          <w:rFonts w:ascii="Times New Roman" w:hAnsi="Times New Roman" w:cs="Times New Roman"/>
        </w:rPr>
        <w:t xml:space="preserve"> na zaprawie wapiennej, ściany wewnętrzne nośne gr. 33 cm murowane z cegły ceramicznej na zaprawie wapiennej, ściany działowe gr</w:t>
      </w:r>
      <w:r w:rsidR="00BC2F64">
        <w:rPr>
          <w:rFonts w:ascii="Times New Roman" w:hAnsi="Times New Roman" w:cs="Times New Roman"/>
        </w:rPr>
        <w:t>.</w:t>
      </w:r>
      <w:r w:rsidR="00973EC6">
        <w:rPr>
          <w:rFonts w:ascii="Times New Roman" w:hAnsi="Times New Roman" w:cs="Times New Roman"/>
        </w:rPr>
        <w:t xml:space="preserve"> 12-14 cm murowane z cegły ceramicznej pełnej.</w:t>
      </w:r>
      <w:r w:rsidR="000D5C68">
        <w:rPr>
          <w:rFonts w:ascii="Times New Roman" w:hAnsi="Times New Roman" w:cs="Times New Roman"/>
        </w:rPr>
        <w:t xml:space="preserve"> </w:t>
      </w:r>
      <w:r w:rsidR="00973EC6">
        <w:rPr>
          <w:rFonts w:ascii="Times New Roman" w:hAnsi="Times New Roman" w:cs="Times New Roman"/>
        </w:rPr>
        <w:t>S</w:t>
      </w:r>
      <w:r w:rsidR="000D5C68">
        <w:rPr>
          <w:rFonts w:ascii="Times New Roman" w:hAnsi="Times New Roman" w:cs="Times New Roman"/>
        </w:rPr>
        <w:t xml:space="preserve">trop murowany, kolebkowy nad piwnicą, wyżej stropy w konstrukcji drewnianej, belkowej ze </w:t>
      </w:r>
      <w:r w:rsidR="000D5C68">
        <w:rPr>
          <w:rFonts w:ascii="Times New Roman" w:hAnsi="Times New Roman" w:cs="Times New Roman"/>
        </w:rPr>
        <w:lastRenderedPageBreak/>
        <w:t xml:space="preserve">ślepym pułapem. Dach konstrukcji drewnianej, kryty papą na deskowaniu. Schody na klatce schodowej drewniane, pomiędzy poziomem I </w:t>
      </w:r>
      <w:proofErr w:type="spellStart"/>
      <w:r w:rsidR="000D5C68">
        <w:rPr>
          <w:rFonts w:ascii="Times New Roman" w:hAnsi="Times New Roman" w:cs="Times New Roman"/>
        </w:rPr>
        <w:t>i</w:t>
      </w:r>
      <w:proofErr w:type="spellEnd"/>
      <w:r w:rsidR="000D5C68">
        <w:rPr>
          <w:rFonts w:ascii="Times New Roman" w:hAnsi="Times New Roman" w:cs="Times New Roman"/>
        </w:rPr>
        <w:t xml:space="preserve"> II piętra – metalowe ażurowe. Stolarka okienna drewniana, stolarka drzwiowa drewniana, płytowa. </w:t>
      </w:r>
      <w:r w:rsidR="008127B1">
        <w:rPr>
          <w:rFonts w:ascii="Times New Roman" w:hAnsi="Times New Roman" w:cs="Times New Roman"/>
        </w:rPr>
        <w:t xml:space="preserve"> Podłogi z desek drewnianych i ceramiczne. W lokalach wykończone okładzinami różnego typu (wykładziny PCV, panele podłogowe, płytki). </w:t>
      </w:r>
      <w:r w:rsidR="000D5C68">
        <w:rPr>
          <w:rFonts w:ascii="Times New Roman" w:hAnsi="Times New Roman" w:cs="Times New Roman"/>
        </w:rPr>
        <w:t>Budynek posiada ograniczone możliwości adaptacji z uwagi na dostęp wyłącznie przez korytarz budynku głównego</w:t>
      </w:r>
      <w:r w:rsidR="00E22AC2">
        <w:rPr>
          <w:rFonts w:ascii="Times New Roman" w:hAnsi="Times New Roman" w:cs="Times New Roman"/>
        </w:rPr>
        <w:t xml:space="preserve"> usytuowanego przy ul. Łaziennej 24</w:t>
      </w:r>
      <w:r w:rsidR="000D5C68">
        <w:rPr>
          <w:rFonts w:ascii="Times New Roman" w:hAnsi="Times New Roman" w:cs="Times New Roman"/>
        </w:rPr>
        <w:t>. Podwórze ut</w:t>
      </w:r>
      <w:r w:rsidR="00803E6E">
        <w:rPr>
          <w:rFonts w:ascii="Times New Roman" w:hAnsi="Times New Roman" w:cs="Times New Roman"/>
        </w:rPr>
        <w:t>wardzone, nawierzchnia betonowa</w:t>
      </w:r>
      <w:r w:rsidR="00D376EF">
        <w:rPr>
          <w:rFonts w:ascii="Times New Roman" w:hAnsi="Times New Roman" w:cs="Times New Roman"/>
        </w:rPr>
        <w:t xml:space="preserve"> w złym stanie</w:t>
      </w:r>
      <w:r w:rsidR="00B47B18">
        <w:rPr>
          <w:rFonts w:ascii="Times New Roman" w:hAnsi="Times New Roman" w:cs="Times New Roman"/>
        </w:rPr>
        <w:t>.</w:t>
      </w:r>
    </w:p>
    <w:p w:rsidR="00BF0A2B" w:rsidRDefault="00BF0A2B" w:rsidP="00FE6497">
      <w:pPr>
        <w:pStyle w:val="Tekstpodstawowywcity2"/>
        <w:tabs>
          <w:tab w:val="decimal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zgody wyrażonej przez dyrektora Zakładu Gospodarki Mieszkaniowej – </w:t>
      </w:r>
      <w:r w:rsidR="00520601">
        <w:rPr>
          <w:rFonts w:ascii="Times New Roman" w:hAnsi="Times New Roman" w:cs="Times New Roman"/>
        </w:rPr>
        <w:t>jednostki organizacyjnej Gminy Miasta Toruń</w:t>
      </w:r>
      <w:r>
        <w:rPr>
          <w:rFonts w:ascii="Times New Roman" w:hAnsi="Times New Roman" w:cs="Times New Roman"/>
        </w:rPr>
        <w:t xml:space="preserve">  w piśmie z dnia 30 czerwca 2011r. właściciel nieruchomości sąsiedniej położonej przy</w:t>
      </w:r>
      <w:r w:rsidR="005206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ul. Łaziennej 26, wykonał w ścianie bocznej budynku wybicie otworu drzwiowego, umożliwiającego wyjście na teren podwórka nieruchomości przy ul. Łaziennej 24</w:t>
      </w:r>
      <w:r w:rsidR="00B10A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A. Zgoda została wydana na podstawie opinii Komendanta Miejskiej Straży Pożarnej, jest to droga ewakuacyjna, która może być </w:t>
      </w:r>
      <w:r w:rsidR="00B642EC">
        <w:rPr>
          <w:rFonts w:ascii="Times New Roman" w:hAnsi="Times New Roman" w:cs="Times New Roman"/>
        </w:rPr>
        <w:t>użytkowana</w:t>
      </w:r>
      <w:r>
        <w:rPr>
          <w:rFonts w:ascii="Times New Roman" w:hAnsi="Times New Roman" w:cs="Times New Roman"/>
        </w:rPr>
        <w:t xml:space="preserve"> tylko w </w:t>
      </w:r>
      <w:r w:rsidR="00B642EC">
        <w:rPr>
          <w:rFonts w:ascii="Times New Roman" w:hAnsi="Times New Roman" w:cs="Times New Roman"/>
        </w:rPr>
        <w:t>sytuacjach</w:t>
      </w:r>
      <w:r>
        <w:rPr>
          <w:rFonts w:ascii="Times New Roman" w:hAnsi="Times New Roman" w:cs="Times New Roman"/>
        </w:rPr>
        <w:t xml:space="preserve"> stwarzających zagrożenie dla </w:t>
      </w:r>
      <w:r w:rsidR="00B642EC">
        <w:rPr>
          <w:rFonts w:ascii="Times New Roman" w:hAnsi="Times New Roman" w:cs="Times New Roman"/>
        </w:rPr>
        <w:t>życia</w:t>
      </w:r>
      <w:r>
        <w:rPr>
          <w:rFonts w:ascii="Times New Roman" w:hAnsi="Times New Roman" w:cs="Times New Roman"/>
        </w:rPr>
        <w:t xml:space="preserve"> i zdrowia przebywających w lokalu osób. </w:t>
      </w:r>
    </w:p>
    <w:p w:rsidR="00B642EC" w:rsidRDefault="00B642EC" w:rsidP="00FE6497">
      <w:pPr>
        <w:pStyle w:val="Tekstpodstawowywcity2"/>
        <w:tabs>
          <w:tab w:val="decimal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</w:t>
      </w:r>
      <w:r w:rsidR="000057F0">
        <w:rPr>
          <w:rFonts w:ascii="Times New Roman" w:hAnsi="Times New Roman" w:cs="Times New Roman"/>
        </w:rPr>
        <w:t xml:space="preserve">tylnej </w:t>
      </w:r>
      <w:r>
        <w:rPr>
          <w:rFonts w:ascii="Times New Roman" w:hAnsi="Times New Roman" w:cs="Times New Roman"/>
        </w:rPr>
        <w:t>ścianie budynku frontowego położonego przy ul. Łaziennej 24 od strony podwórza nieruchomości przy ul. Łaziennej 24</w:t>
      </w:r>
      <w:r w:rsidR="00B10AB4">
        <w:rPr>
          <w:rFonts w:ascii="Times New Roman" w:hAnsi="Times New Roman" w:cs="Times New Roman"/>
        </w:rPr>
        <w:t xml:space="preserve"> </w:t>
      </w:r>
      <w:r w:rsidR="00BC2F6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zostały zamontowane urządzenia wentylacyjno-klimatyzacyjne</w:t>
      </w:r>
      <w:r w:rsidR="00520601">
        <w:rPr>
          <w:rFonts w:ascii="Times New Roman" w:hAnsi="Times New Roman" w:cs="Times New Roman"/>
        </w:rPr>
        <w:t xml:space="preserve">, zaś na terenie </w:t>
      </w:r>
      <w:r w:rsidR="00FE6497">
        <w:rPr>
          <w:rFonts w:ascii="Times New Roman" w:hAnsi="Times New Roman" w:cs="Times New Roman"/>
        </w:rPr>
        <w:t>działki</w:t>
      </w:r>
      <w:r w:rsidR="00520601">
        <w:rPr>
          <w:rFonts w:ascii="Times New Roman" w:hAnsi="Times New Roman" w:cs="Times New Roman"/>
        </w:rPr>
        <w:t xml:space="preserve"> zbywanej nr 37/2 przy </w:t>
      </w:r>
      <w:r w:rsidR="000057F0">
        <w:rPr>
          <w:rFonts w:ascii="Times New Roman" w:hAnsi="Times New Roman" w:cs="Times New Roman"/>
        </w:rPr>
        <w:t xml:space="preserve">tylnej </w:t>
      </w:r>
      <w:r w:rsidR="00520601">
        <w:rPr>
          <w:rFonts w:ascii="Times New Roman" w:hAnsi="Times New Roman" w:cs="Times New Roman"/>
        </w:rPr>
        <w:t xml:space="preserve">ścianie budynku </w:t>
      </w:r>
      <w:r w:rsidR="00FE6497">
        <w:rPr>
          <w:rFonts w:ascii="Times New Roman" w:hAnsi="Times New Roman" w:cs="Times New Roman"/>
        </w:rPr>
        <w:t>frontowego</w:t>
      </w:r>
      <w:r w:rsidR="00520601">
        <w:rPr>
          <w:rFonts w:ascii="Times New Roman" w:hAnsi="Times New Roman" w:cs="Times New Roman"/>
        </w:rPr>
        <w:t xml:space="preserve"> znajduje się </w:t>
      </w:r>
      <w:r w:rsidR="00FE6497">
        <w:rPr>
          <w:rFonts w:ascii="Times New Roman" w:hAnsi="Times New Roman" w:cs="Times New Roman"/>
        </w:rPr>
        <w:t>świetlik</w:t>
      </w:r>
      <w:r w:rsidR="00520601">
        <w:rPr>
          <w:rFonts w:ascii="Times New Roman" w:hAnsi="Times New Roman" w:cs="Times New Roman"/>
        </w:rPr>
        <w:t xml:space="preserve"> piwniczny zabudowany luksferami oraz </w:t>
      </w:r>
      <w:r w:rsidR="00FE6497">
        <w:rPr>
          <w:rFonts w:ascii="Times New Roman" w:hAnsi="Times New Roman" w:cs="Times New Roman"/>
        </w:rPr>
        <w:t>wentylacja</w:t>
      </w:r>
      <w:r w:rsidR="00520601">
        <w:rPr>
          <w:rFonts w:ascii="Times New Roman" w:hAnsi="Times New Roman" w:cs="Times New Roman"/>
        </w:rPr>
        <w:t xml:space="preserve"> z </w:t>
      </w:r>
      <w:r w:rsidR="00FE6497">
        <w:rPr>
          <w:rFonts w:ascii="Times New Roman" w:hAnsi="Times New Roman" w:cs="Times New Roman"/>
        </w:rPr>
        <w:t>pomieszczeń</w:t>
      </w:r>
      <w:r w:rsidR="00520601">
        <w:rPr>
          <w:rFonts w:ascii="Times New Roman" w:hAnsi="Times New Roman" w:cs="Times New Roman"/>
        </w:rPr>
        <w:t xml:space="preserve"> piwnicznych. Ww. urządzenia zostały </w:t>
      </w:r>
      <w:r w:rsidR="00FE6497">
        <w:rPr>
          <w:rFonts w:ascii="Times New Roman" w:hAnsi="Times New Roman" w:cs="Times New Roman"/>
        </w:rPr>
        <w:t>zamontowane</w:t>
      </w:r>
      <w:r w:rsidR="00520601">
        <w:rPr>
          <w:rFonts w:ascii="Times New Roman" w:hAnsi="Times New Roman" w:cs="Times New Roman"/>
        </w:rPr>
        <w:t xml:space="preserve"> przez właściciela nieruchomości przy ul. </w:t>
      </w:r>
      <w:r w:rsidR="00FE6497">
        <w:rPr>
          <w:rFonts w:ascii="Times New Roman" w:hAnsi="Times New Roman" w:cs="Times New Roman"/>
        </w:rPr>
        <w:t>Łaziennej 24 bez zgody Gminy Miasta Toruń</w:t>
      </w:r>
      <w:r w:rsidR="00520601">
        <w:rPr>
          <w:rFonts w:ascii="Times New Roman" w:hAnsi="Times New Roman" w:cs="Times New Roman"/>
        </w:rPr>
        <w:t>.</w:t>
      </w:r>
      <w:r w:rsidR="000057F0">
        <w:rPr>
          <w:rFonts w:ascii="Times New Roman" w:hAnsi="Times New Roman" w:cs="Times New Roman"/>
        </w:rPr>
        <w:t xml:space="preserve"> Właściciel nieruchomości został wezwany do usunięcia tych urządzeń.</w:t>
      </w:r>
    </w:p>
    <w:p w:rsidR="00C62A38" w:rsidRDefault="00877509" w:rsidP="00FE64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F5A5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5517F9">
        <w:rPr>
          <w:rFonts w:ascii="Times New Roman" w:hAnsi="Times New Roman" w:cs="Times New Roman"/>
        </w:rPr>
        <w:t xml:space="preserve">Budynek </w:t>
      </w:r>
      <w:r w:rsidR="00B47B18">
        <w:rPr>
          <w:rFonts w:ascii="Times New Roman" w:hAnsi="Times New Roman" w:cs="Times New Roman"/>
        </w:rPr>
        <w:t xml:space="preserve">jest </w:t>
      </w:r>
      <w:r w:rsidR="005517F9">
        <w:rPr>
          <w:rFonts w:ascii="Times New Roman" w:hAnsi="Times New Roman" w:cs="Times New Roman"/>
        </w:rPr>
        <w:t>wyposażony w instalacje: elektryczną, wodno-kanalizacyjną, gazową</w:t>
      </w:r>
      <w:r w:rsidR="005517F9">
        <w:rPr>
          <w:rFonts w:ascii="Times New Roman" w:hAnsi="Times New Roman" w:cs="Times New Roman"/>
        </w:rPr>
        <w:br/>
        <w:t>i telekomunikacyjną. Ogrzewanie indywidualne w lokalach, piecowe, co etażowe, elektryczne. W ulicy Łaziennej przebiega sieć ciepłownicza. Wodomierz główny rejestrujący pobór wody w nieruchomości przy ul. Łaziennej 24</w:t>
      </w:r>
      <w:r w:rsidR="00B10AB4">
        <w:rPr>
          <w:rFonts w:ascii="Times New Roman" w:hAnsi="Times New Roman" w:cs="Times New Roman"/>
        </w:rPr>
        <w:t xml:space="preserve"> </w:t>
      </w:r>
      <w:r w:rsidR="005517F9">
        <w:rPr>
          <w:rFonts w:ascii="Times New Roman" w:hAnsi="Times New Roman" w:cs="Times New Roman"/>
        </w:rPr>
        <w:t>A, znajdujący się w pomieszczeniu węzła cieplnego PGE Toruń SA w budynku głównym przy ul. Łaziennej 24 został zdemontowany przez Toruńskie Wodociągi Sp. z o.o. w dniu 4 czerwca 2020r., a przyłącze zostało zakorkowane, w ulicy nie ma zamontowanej zasuwy domowej. W dniu 3 grudnia 2021r. został przeprowadzony przez Toruńskie Wodociągi przegląd kanalizacji sanitarnej na terenie podwórka nieruchomości przy ul. Łaziennej 24</w:t>
      </w:r>
      <w:r w:rsidR="00B10AB4">
        <w:rPr>
          <w:rFonts w:ascii="Times New Roman" w:hAnsi="Times New Roman" w:cs="Times New Roman"/>
        </w:rPr>
        <w:t xml:space="preserve"> </w:t>
      </w:r>
      <w:r w:rsidR="005517F9">
        <w:rPr>
          <w:rFonts w:ascii="Times New Roman" w:hAnsi="Times New Roman" w:cs="Times New Roman"/>
        </w:rPr>
        <w:t xml:space="preserve">A i nie stwierdzono, żeby instalacją kanalizacyjną płynęły ścieki z innych nieruchomości, budynek oficyny posiada dwa piony kanalizacyjne oraz odpływ z dachu, dodatkowo na podwórku znajduje się wpust odwadniający teren między kamienicami.  </w:t>
      </w:r>
      <w:r w:rsidR="0003597B">
        <w:rPr>
          <w:rFonts w:ascii="Times New Roman" w:hAnsi="Times New Roman" w:cs="Times New Roman"/>
        </w:rPr>
        <w:t xml:space="preserve">Szafka z przyłączem gazowym znajduje się na zewnętrznej ścianie budynku głównego. Liczniki gazowe oraz liczniki energii </w:t>
      </w:r>
      <w:r w:rsidR="004941D9">
        <w:rPr>
          <w:rFonts w:ascii="Times New Roman" w:hAnsi="Times New Roman" w:cs="Times New Roman"/>
        </w:rPr>
        <w:t xml:space="preserve">elektrycznej </w:t>
      </w:r>
      <w:r w:rsidR="00B47B18">
        <w:rPr>
          <w:rFonts w:ascii="Times New Roman" w:hAnsi="Times New Roman" w:cs="Times New Roman"/>
        </w:rPr>
        <w:t>były zlokalizowane w budynku oficyny odrębnie dla każdego lokalu mieszkalnego.</w:t>
      </w:r>
    </w:p>
    <w:p w:rsidR="00B92AC1" w:rsidRDefault="000F5A50" w:rsidP="00FE649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62A38">
        <w:rPr>
          <w:rFonts w:ascii="Times New Roman" w:hAnsi="Times New Roman" w:cs="Times New Roman"/>
        </w:rPr>
        <w:t xml:space="preserve">. </w:t>
      </w:r>
      <w:r w:rsidR="00CA5DEE">
        <w:rPr>
          <w:rFonts w:ascii="Times New Roman" w:hAnsi="Times New Roman" w:cs="Times New Roman"/>
        </w:rPr>
        <w:t xml:space="preserve">Działka nr 37/2 zabudowana budynkiem oficyny powstała na skutek </w:t>
      </w:r>
      <w:r w:rsidR="004941D9">
        <w:rPr>
          <w:rFonts w:ascii="Times New Roman" w:hAnsi="Times New Roman" w:cs="Times New Roman"/>
        </w:rPr>
        <w:t>dokonanego</w:t>
      </w:r>
      <w:r w:rsidR="004941D9">
        <w:rPr>
          <w:rFonts w:ascii="Times New Roman" w:hAnsi="Times New Roman" w:cs="Times New Roman"/>
        </w:rPr>
        <w:br/>
      </w:r>
      <w:r w:rsidR="00CA5DEE">
        <w:rPr>
          <w:rFonts w:ascii="Times New Roman" w:hAnsi="Times New Roman" w:cs="Times New Roman"/>
        </w:rPr>
        <w:t xml:space="preserve">w dniu 31 sierpnia 1998 </w:t>
      </w:r>
      <w:r w:rsidR="004941D9">
        <w:rPr>
          <w:rFonts w:ascii="Times New Roman" w:hAnsi="Times New Roman" w:cs="Times New Roman"/>
        </w:rPr>
        <w:t>r. podziału działki geod. nr 37</w:t>
      </w:r>
      <w:r w:rsidR="00CA5DEE">
        <w:rPr>
          <w:rFonts w:ascii="Times New Roman" w:hAnsi="Times New Roman" w:cs="Times New Roman"/>
        </w:rPr>
        <w:t>, z której wydzielono działkę 37/1</w:t>
      </w:r>
      <w:r w:rsidR="004941D9">
        <w:rPr>
          <w:rFonts w:ascii="Times New Roman" w:hAnsi="Times New Roman" w:cs="Times New Roman"/>
        </w:rPr>
        <w:br/>
      </w:r>
      <w:r w:rsidR="00CA5DEE">
        <w:rPr>
          <w:rFonts w:ascii="Times New Roman" w:hAnsi="Times New Roman" w:cs="Times New Roman"/>
        </w:rPr>
        <w:t>o powierzchni 0,0202 ha, zabudowaną budynkiem frontowym</w:t>
      </w:r>
      <w:r w:rsidR="004941D9">
        <w:rPr>
          <w:rFonts w:ascii="Times New Roman" w:hAnsi="Times New Roman" w:cs="Times New Roman"/>
        </w:rPr>
        <w:t>, który wraz  działką jest wpisany do rejestru zabytków Województwa Kujawsko Pomorskiego pod nr A/115 – dec</w:t>
      </w:r>
      <w:r w:rsidR="00FE6497">
        <w:rPr>
          <w:rFonts w:ascii="Times New Roman" w:hAnsi="Times New Roman" w:cs="Times New Roman"/>
        </w:rPr>
        <w:t>yzja</w:t>
      </w:r>
      <w:r w:rsidR="004941D9">
        <w:rPr>
          <w:rFonts w:ascii="Times New Roman" w:hAnsi="Times New Roman" w:cs="Times New Roman"/>
        </w:rPr>
        <w:t xml:space="preserve"> z dnia</w:t>
      </w:r>
      <w:r w:rsidR="00FE6497">
        <w:rPr>
          <w:rFonts w:ascii="Times New Roman" w:hAnsi="Times New Roman" w:cs="Times New Roman"/>
        </w:rPr>
        <w:br/>
      </w:r>
      <w:r w:rsidR="004941D9">
        <w:rPr>
          <w:rFonts w:ascii="Times New Roman" w:hAnsi="Times New Roman" w:cs="Times New Roman"/>
        </w:rPr>
        <w:t xml:space="preserve">29 września 2003r. i stanowi własność prywatną oraz działkę 37/2 o powierzchni 0,0218 ha, będącą przedmiotem sprzedaży. Powyższe oznacza, że przed podziałem nieruchomość stanowiła funkcjonalną i architektoniczną całość zatem </w:t>
      </w:r>
      <w:r w:rsidR="00FE6497">
        <w:rPr>
          <w:rFonts w:ascii="Times New Roman" w:hAnsi="Times New Roman" w:cs="Times New Roman"/>
        </w:rPr>
        <w:t xml:space="preserve">sieci </w:t>
      </w:r>
      <w:r w:rsidR="004941D9">
        <w:rPr>
          <w:rFonts w:ascii="Times New Roman" w:hAnsi="Times New Roman" w:cs="Times New Roman"/>
        </w:rPr>
        <w:t>infrastruktur</w:t>
      </w:r>
      <w:r w:rsidR="00FE6497">
        <w:rPr>
          <w:rFonts w:ascii="Times New Roman" w:hAnsi="Times New Roman" w:cs="Times New Roman"/>
        </w:rPr>
        <w:t>y</w:t>
      </w:r>
      <w:r w:rsidR="004941D9">
        <w:rPr>
          <w:rFonts w:ascii="Times New Roman" w:hAnsi="Times New Roman" w:cs="Times New Roman"/>
        </w:rPr>
        <w:t xml:space="preserve"> techniczn</w:t>
      </w:r>
      <w:r w:rsidR="00FE6497">
        <w:rPr>
          <w:rFonts w:ascii="Times New Roman" w:hAnsi="Times New Roman" w:cs="Times New Roman"/>
        </w:rPr>
        <w:t>ej</w:t>
      </w:r>
      <w:r w:rsidR="004941D9">
        <w:rPr>
          <w:rFonts w:ascii="Times New Roman" w:hAnsi="Times New Roman" w:cs="Times New Roman"/>
        </w:rPr>
        <w:t xml:space="preserve"> (przyłącza) obsługując</w:t>
      </w:r>
      <w:r w:rsidR="00FE6497">
        <w:rPr>
          <w:rFonts w:ascii="Times New Roman" w:hAnsi="Times New Roman" w:cs="Times New Roman"/>
        </w:rPr>
        <w:t>e</w:t>
      </w:r>
      <w:r w:rsidR="004941D9">
        <w:rPr>
          <w:rFonts w:ascii="Times New Roman" w:hAnsi="Times New Roman" w:cs="Times New Roman"/>
        </w:rPr>
        <w:t xml:space="preserve"> budynek  będący przedmiotem sprzedaży </w:t>
      </w:r>
      <w:r w:rsidR="00FE6497">
        <w:rPr>
          <w:rFonts w:ascii="Times New Roman" w:hAnsi="Times New Roman" w:cs="Times New Roman"/>
        </w:rPr>
        <w:t xml:space="preserve">są </w:t>
      </w:r>
      <w:r w:rsidR="004941D9">
        <w:rPr>
          <w:rFonts w:ascii="Times New Roman" w:hAnsi="Times New Roman" w:cs="Times New Roman"/>
        </w:rPr>
        <w:t>powiązan</w:t>
      </w:r>
      <w:r w:rsidR="00FE6497">
        <w:rPr>
          <w:rFonts w:ascii="Times New Roman" w:hAnsi="Times New Roman" w:cs="Times New Roman"/>
        </w:rPr>
        <w:t>e</w:t>
      </w:r>
      <w:r w:rsidR="004941D9">
        <w:rPr>
          <w:rFonts w:ascii="Times New Roman" w:hAnsi="Times New Roman" w:cs="Times New Roman"/>
        </w:rPr>
        <w:t xml:space="preserve"> z budynkiem frontowym i </w:t>
      </w:r>
      <w:r w:rsidR="009B5DC9">
        <w:rPr>
          <w:rFonts w:ascii="Times New Roman" w:hAnsi="Times New Roman" w:cs="Times New Roman"/>
        </w:rPr>
        <w:t>uzgodnienia</w:t>
      </w:r>
      <w:r w:rsidR="004941D9">
        <w:rPr>
          <w:rFonts w:ascii="Times New Roman" w:hAnsi="Times New Roman" w:cs="Times New Roman"/>
        </w:rPr>
        <w:t xml:space="preserve"> w zakresie korzystania z istniejącej infrastruktury czy też wykonania nowych przyłączy wymagają </w:t>
      </w:r>
      <w:r w:rsidR="009B5DC9">
        <w:rPr>
          <w:rFonts w:ascii="Times New Roman" w:hAnsi="Times New Roman" w:cs="Times New Roman"/>
        </w:rPr>
        <w:t>uzgodnień</w:t>
      </w:r>
      <w:r w:rsidR="004941D9">
        <w:rPr>
          <w:rFonts w:ascii="Times New Roman" w:hAnsi="Times New Roman" w:cs="Times New Roman"/>
        </w:rPr>
        <w:t xml:space="preserve">  z właścicielem nieruchomości przy ul. </w:t>
      </w:r>
      <w:r w:rsidR="009B5DC9">
        <w:rPr>
          <w:rFonts w:ascii="Times New Roman" w:hAnsi="Times New Roman" w:cs="Times New Roman"/>
        </w:rPr>
        <w:t>Łaziennej</w:t>
      </w:r>
      <w:r w:rsidR="004941D9">
        <w:rPr>
          <w:rFonts w:ascii="Times New Roman" w:hAnsi="Times New Roman" w:cs="Times New Roman"/>
        </w:rPr>
        <w:t xml:space="preserve"> 24. </w:t>
      </w:r>
    </w:p>
    <w:p w:rsidR="00877509" w:rsidRDefault="000F5A50" w:rsidP="00FE649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92AC1">
        <w:rPr>
          <w:rFonts w:ascii="Times New Roman" w:hAnsi="Times New Roman" w:cs="Times New Roman"/>
        </w:rPr>
        <w:t xml:space="preserve">. </w:t>
      </w:r>
      <w:r w:rsidR="00877509">
        <w:rPr>
          <w:rFonts w:ascii="Times New Roman" w:hAnsi="Times New Roman" w:cs="Times New Roman"/>
        </w:rPr>
        <w:t xml:space="preserve">Nabywca </w:t>
      </w:r>
      <w:r w:rsidR="002E5B37">
        <w:rPr>
          <w:rFonts w:ascii="Times New Roman" w:hAnsi="Times New Roman" w:cs="Times New Roman"/>
        </w:rPr>
        <w:t xml:space="preserve">nieruchomości </w:t>
      </w:r>
      <w:r w:rsidR="00877509">
        <w:rPr>
          <w:rFonts w:ascii="Times New Roman" w:hAnsi="Times New Roman" w:cs="Times New Roman"/>
        </w:rPr>
        <w:t xml:space="preserve"> przyjmuje do wiadomości, że dla budynku znajdującego się na nieruchomości przy </w:t>
      </w:r>
      <w:r w:rsidR="009B5DC9">
        <w:rPr>
          <w:rFonts w:ascii="Times New Roman" w:hAnsi="Times New Roman" w:cs="Times New Roman"/>
        </w:rPr>
        <w:t>ul. Łaziennej 24</w:t>
      </w:r>
      <w:r w:rsidR="00B10AB4">
        <w:rPr>
          <w:rFonts w:ascii="Times New Roman" w:hAnsi="Times New Roman" w:cs="Times New Roman"/>
        </w:rPr>
        <w:t xml:space="preserve"> </w:t>
      </w:r>
      <w:r w:rsidR="009B5DC9">
        <w:rPr>
          <w:rFonts w:ascii="Times New Roman" w:hAnsi="Times New Roman" w:cs="Times New Roman"/>
        </w:rPr>
        <w:t>A</w:t>
      </w:r>
      <w:r w:rsidR="00DF6531">
        <w:rPr>
          <w:rFonts w:ascii="Times New Roman" w:hAnsi="Times New Roman" w:cs="Times New Roman"/>
        </w:rPr>
        <w:t xml:space="preserve"> </w:t>
      </w:r>
      <w:r w:rsidR="00877509">
        <w:rPr>
          <w:rFonts w:ascii="Times New Roman" w:hAnsi="Times New Roman" w:cs="Times New Roman"/>
        </w:rPr>
        <w:t>nie sporządzono świadectwa charakterystyki energetycznej.</w:t>
      </w:r>
    </w:p>
    <w:p w:rsidR="00783176" w:rsidRDefault="00C62A38" w:rsidP="000057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F5A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0F5A50">
        <w:rPr>
          <w:rFonts w:ascii="Times New Roman" w:hAnsi="Times New Roman" w:cs="Times New Roman"/>
        </w:rPr>
        <w:t>7</w:t>
      </w:r>
      <w:r w:rsidR="00B92AC1">
        <w:rPr>
          <w:rFonts w:ascii="Times New Roman" w:hAnsi="Times New Roman" w:cs="Times New Roman"/>
        </w:rPr>
        <w:t xml:space="preserve">. Przed przystąpieniem do przetargu jego uczestnik winien we własnym zakresie ustalić możliwość realizacji na nieruchomości planowanego przedsięwzięcia oraz jego </w:t>
      </w:r>
      <w:r w:rsidR="00B92AC1">
        <w:rPr>
          <w:rFonts w:ascii="Times New Roman" w:hAnsi="Times New Roman" w:cs="Times New Roman"/>
        </w:rPr>
        <w:lastRenderedPageBreak/>
        <w:t>zgodność z przepisami odrębnymi.</w:t>
      </w:r>
    </w:p>
    <w:p w:rsidR="000057F0" w:rsidRPr="00783176" w:rsidRDefault="000057F0" w:rsidP="000057F0">
      <w:pPr>
        <w:pStyle w:val="Tekstpodstawowywcity2"/>
        <w:tabs>
          <w:tab w:val="decimal" w:pos="0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8. </w:t>
      </w:r>
      <w:r w:rsidRPr="00783176">
        <w:rPr>
          <w:rFonts w:ascii="Times New Roman" w:hAnsi="Times New Roman" w:cs="Times New Roman"/>
        </w:rPr>
        <w:t xml:space="preserve"> W księdze wieczystej KW Nr TO1T/</w:t>
      </w:r>
      <w:r>
        <w:rPr>
          <w:rFonts w:ascii="Times New Roman" w:hAnsi="Times New Roman" w:cs="Times New Roman"/>
        </w:rPr>
        <w:t>00049012/2</w:t>
      </w:r>
      <w:r w:rsidRPr="00783176">
        <w:rPr>
          <w:rFonts w:ascii="Times New Roman" w:hAnsi="Times New Roman" w:cs="Times New Roman"/>
        </w:rPr>
        <w:t xml:space="preserve"> w „Dziale </w:t>
      </w:r>
      <w:r>
        <w:rPr>
          <w:rFonts w:ascii="Times New Roman" w:hAnsi="Times New Roman" w:cs="Times New Roman"/>
        </w:rPr>
        <w:t>I</w:t>
      </w:r>
      <w:r w:rsidRPr="00783176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spis spraw związanych z własnością</w:t>
      </w:r>
      <w:r w:rsidRPr="00783176">
        <w:rPr>
          <w:rFonts w:ascii="Times New Roman" w:hAnsi="Times New Roman" w:cs="Times New Roman"/>
        </w:rPr>
        <w:t>, znajduj</w:t>
      </w:r>
      <w:r>
        <w:rPr>
          <w:rFonts w:ascii="Times New Roman" w:hAnsi="Times New Roman" w:cs="Times New Roman"/>
        </w:rPr>
        <w:t>e</w:t>
      </w:r>
      <w:r w:rsidRPr="00783176">
        <w:rPr>
          <w:rFonts w:ascii="Times New Roman" w:hAnsi="Times New Roman" w:cs="Times New Roman"/>
        </w:rPr>
        <w:t xml:space="preserve"> się wpis o treści: „</w:t>
      </w:r>
      <w:r>
        <w:rPr>
          <w:rFonts w:ascii="Times New Roman" w:hAnsi="Times New Roman" w:cs="Times New Roman"/>
        </w:rPr>
        <w:t xml:space="preserve">na rzecz każdoczesnego właściciela niniejszej nieruchomości, oznaczonej jako działka numer 37/2, przysługuje nieodpłatna nieoznaczona czasowo służebność gruntowa, która </w:t>
      </w:r>
      <w:r w:rsidR="00375F53">
        <w:rPr>
          <w:rFonts w:ascii="Times New Roman" w:hAnsi="Times New Roman" w:cs="Times New Roman"/>
        </w:rPr>
        <w:t>polegać</w:t>
      </w:r>
      <w:r>
        <w:rPr>
          <w:rFonts w:ascii="Times New Roman" w:hAnsi="Times New Roman" w:cs="Times New Roman"/>
        </w:rPr>
        <w:t xml:space="preserve"> będzie na prawie przechodu korytarzem o powierzchni 24 m</w:t>
      </w:r>
      <w:r w:rsidRPr="00D21A0F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 zgodnie z załącznikiem mapowym</w:t>
      </w:r>
      <w:r w:rsidR="00D94931">
        <w:rPr>
          <w:rFonts w:ascii="Times New Roman" w:hAnsi="Times New Roman" w:cs="Times New Roman"/>
        </w:rPr>
        <w:t>, w sposób jak najmniej utrudniający korzystanie z nieruchomości obciążonej, z obowiązkiem wykonywania</w:t>
      </w:r>
      <w:r w:rsidR="00D21A0F">
        <w:rPr>
          <w:rFonts w:ascii="Times New Roman" w:hAnsi="Times New Roman" w:cs="Times New Roman"/>
        </w:rPr>
        <w:br/>
      </w:r>
      <w:r w:rsidR="00D376EF">
        <w:rPr>
          <w:rFonts w:ascii="Times New Roman" w:hAnsi="Times New Roman" w:cs="Times New Roman"/>
        </w:rPr>
        <w:t xml:space="preserve"> związanych z wykonywaniem służebności. W przypadku niewywiązywania się z utrzymywania urządzeń związanych z wykonywaniem służebności, właściciel nieruchomości  obciążonej może obciążyć właściciela nieruchomości władnącej  kosztami utrzymywania  urządzeń  związanych z wykonywaniem służebności, ograniczając jej wykonywanie do nieruchomości objętej KW Nr TO1T/47963/9</w:t>
      </w:r>
    </w:p>
    <w:p w:rsidR="009B5DC9" w:rsidRPr="004F0FB0" w:rsidRDefault="009B5DC9" w:rsidP="00D376EF">
      <w:pPr>
        <w:pStyle w:val="Tekstpodstawowywcity2"/>
        <w:tabs>
          <w:tab w:val="decimal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77509">
        <w:rPr>
          <w:rFonts w:ascii="Times New Roman" w:hAnsi="Times New Roman" w:cs="Times New Roman"/>
        </w:rPr>
        <w:t xml:space="preserve">§4.1. </w:t>
      </w:r>
      <w:r w:rsidRPr="004F0FB0">
        <w:rPr>
          <w:rFonts w:ascii="Times New Roman" w:hAnsi="Times New Roman" w:cs="Times New Roman"/>
          <w:szCs w:val="24"/>
        </w:rPr>
        <w:t>Nieruchomość przy ul. Łaziennej 24</w:t>
      </w:r>
      <w:r w:rsidR="00B10AB4">
        <w:rPr>
          <w:rFonts w:ascii="Times New Roman" w:hAnsi="Times New Roman" w:cs="Times New Roman"/>
          <w:szCs w:val="24"/>
        </w:rPr>
        <w:t xml:space="preserve"> </w:t>
      </w:r>
      <w:r w:rsidRPr="004F0FB0">
        <w:rPr>
          <w:rFonts w:ascii="Times New Roman" w:hAnsi="Times New Roman" w:cs="Times New Roman"/>
          <w:szCs w:val="24"/>
        </w:rPr>
        <w:t>A jest położona w obrębie średniowiecznego zespołu miejskiego</w:t>
      </w:r>
      <w:r w:rsidR="0072407B">
        <w:rPr>
          <w:rFonts w:ascii="Times New Roman" w:hAnsi="Times New Roman" w:cs="Times New Roman"/>
          <w:szCs w:val="24"/>
        </w:rPr>
        <w:t xml:space="preserve"> Torunia</w:t>
      </w:r>
      <w:r w:rsidRPr="004F0FB0">
        <w:rPr>
          <w:rFonts w:ascii="Times New Roman" w:hAnsi="Times New Roman" w:cs="Times New Roman"/>
          <w:szCs w:val="24"/>
        </w:rPr>
        <w:t xml:space="preserve">, wpisanego w dniu </w:t>
      </w:r>
      <w:r w:rsidR="00F31AD4">
        <w:rPr>
          <w:rFonts w:ascii="Times New Roman" w:hAnsi="Times New Roman" w:cs="Times New Roman"/>
          <w:szCs w:val="24"/>
        </w:rPr>
        <w:t>6</w:t>
      </w:r>
      <w:r w:rsidRPr="004F0FB0">
        <w:rPr>
          <w:rFonts w:ascii="Times New Roman" w:hAnsi="Times New Roman" w:cs="Times New Roman"/>
          <w:szCs w:val="24"/>
        </w:rPr>
        <w:t xml:space="preserve"> grudnia 1997 r. na listę Światowego Dziedzictwa Kulturowego i Naturalnego  UNESCO oraz do rejestru zabytków Stare i Nowe Miasto decyzją nr A/1372 z  dnia 29 grudnia 1952 r. Przed remontem budynek oficyny należy poddać badaniom konser</w:t>
      </w:r>
      <w:r>
        <w:rPr>
          <w:rFonts w:ascii="Times New Roman" w:hAnsi="Times New Roman" w:cs="Times New Roman"/>
          <w:szCs w:val="24"/>
        </w:rPr>
        <w:t xml:space="preserve">watorskim i architektonicznym. </w:t>
      </w:r>
      <w:r w:rsidRPr="004F0FB0">
        <w:rPr>
          <w:rFonts w:ascii="Times New Roman" w:hAnsi="Times New Roman" w:cs="Times New Roman"/>
          <w:szCs w:val="24"/>
        </w:rPr>
        <w:t xml:space="preserve">Obecnie w budynku </w:t>
      </w:r>
      <w:r>
        <w:rPr>
          <w:rFonts w:ascii="Times New Roman" w:hAnsi="Times New Roman" w:cs="Times New Roman"/>
          <w:szCs w:val="24"/>
        </w:rPr>
        <w:t xml:space="preserve">oficyny </w:t>
      </w:r>
      <w:r w:rsidRPr="004F0FB0">
        <w:rPr>
          <w:rFonts w:ascii="Times New Roman" w:hAnsi="Times New Roman" w:cs="Times New Roman"/>
          <w:szCs w:val="24"/>
        </w:rPr>
        <w:t>istnieje dużo wtórnych podziałów, które zacierają pierwotny układ przestrzenny. Należy liczyć się</w:t>
      </w:r>
      <w:r>
        <w:rPr>
          <w:rFonts w:ascii="Times New Roman" w:hAnsi="Times New Roman" w:cs="Times New Roman"/>
          <w:szCs w:val="24"/>
        </w:rPr>
        <w:br/>
      </w:r>
      <w:r w:rsidRPr="004F0FB0">
        <w:rPr>
          <w:rFonts w:ascii="Times New Roman" w:hAnsi="Times New Roman" w:cs="Times New Roman"/>
          <w:szCs w:val="24"/>
        </w:rPr>
        <w:t>z koniecznością uczytelnienia pierwotnego układu. Zakres prac remontowo - kons</w:t>
      </w:r>
      <w:r>
        <w:rPr>
          <w:rFonts w:ascii="Times New Roman" w:hAnsi="Times New Roman" w:cs="Times New Roman"/>
          <w:szCs w:val="24"/>
        </w:rPr>
        <w:t xml:space="preserve">erwatorskich będzie uzależniony </w:t>
      </w:r>
      <w:r w:rsidRPr="004F0FB0">
        <w:rPr>
          <w:rFonts w:ascii="Times New Roman" w:hAnsi="Times New Roman" w:cs="Times New Roman"/>
          <w:szCs w:val="24"/>
        </w:rPr>
        <w:t>od wyników badań oraz od zakresu planowanych prac moderniz</w:t>
      </w:r>
      <w:r>
        <w:rPr>
          <w:rFonts w:ascii="Times New Roman" w:hAnsi="Times New Roman" w:cs="Times New Roman"/>
          <w:szCs w:val="24"/>
        </w:rPr>
        <w:t xml:space="preserve">acyjnych </w:t>
      </w:r>
      <w:r>
        <w:rPr>
          <w:rFonts w:ascii="Times New Roman" w:hAnsi="Times New Roman" w:cs="Times New Roman"/>
          <w:szCs w:val="24"/>
        </w:rPr>
        <w:br/>
        <w:t xml:space="preserve">i adaptacyjnych </w:t>
      </w:r>
      <w:r w:rsidRPr="004F0FB0">
        <w:rPr>
          <w:rFonts w:ascii="Times New Roman" w:hAnsi="Times New Roman" w:cs="Times New Roman"/>
          <w:szCs w:val="24"/>
        </w:rPr>
        <w:t>w budynku. Prace remontowo - konserwatorskie planowane do wykonania</w:t>
      </w:r>
      <w:r w:rsidR="00D376EF">
        <w:rPr>
          <w:rFonts w:ascii="Times New Roman" w:hAnsi="Times New Roman" w:cs="Times New Roman"/>
          <w:szCs w:val="24"/>
        </w:rPr>
        <w:br/>
      </w:r>
      <w:r w:rsidRPr="004F0FB0">
        <w:rPr>
          <w:rFonts w:ascii="Times New Roman" w:hAnsi="Times New Roman" w:cs="Times New Roman"/>
          <w:szCs w:val="24"/>
        </w:rPr>
        <w:t>w budynku podlegają uzgodnieniu z Miejskim Konserwatorem Zabytków.</w:t>
      </w:r>
    </w:p>
    <w:p w:rsidR="009B5DC9" w:rsidRDefault="009B5DC9" w:rsidP="00D376EF">
      <w:pPr>
        <w:pStyle w:val="Tekstpodstawowywcity2"/>
        <w:tabs>
          <w:tab w:val="decimal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4F0FB0">
        <w:rPr>
          <w:rFonts w:ascii="Times New Roman" w:hAnsi="Times New Roman" w:cs="Times New Roman"/>
          <w:szCs w:val="24"/>
        </w:rPr>
        <w:tab/>
      </w:r>
      <w:r w:rsidR="0072407B">
        <w:rPr>
          <w:rFonts w:ascii="Times New Roman" w:hAnsi="Times New Roman" w:cs="Times New Roman"/>
          <w:szCs w:val="24"/>
        </w:rPr>
        <w:t xml:space="preserve">2. </w:t>
      </w:r>
      <w:r w:rsidRPr="004F0FB0">
        <w:rPr>
          <w:rFonts w:ascii="Times New Roman" w:hAnsi="Times New Roman" w:cs="Times New Roman"/>
          <w:szCs w:val="24"/>
        </w:rPr>
        <w:t xml:space="preserve"> Nieruchomość jest  położona na terenie, dla którego nie obowiązuje miejscowy plan zagospodarowania przestrzennego. Zgodnie ze studium uwarunkowań i kierunków zagospodarowania przestrzennego miasta, zatwierdzonym uchwałą Rady Miasta Torunia  Nr  805/18 z dnia 25 stycznia 2018 r., nieruchomość znajduje się w granicach jednostki VI </w:t>
      </w:r>
      <w:r>
        <w:rPr>
          <w:rFonts w:ascii="Times New Roman" w:hAnsi="Times New Roman" w:cs="Times New Roman"/>
          <w:szCs w:val="24"/>
        </w:rPr>
        <w:t>S</w:t>
      </w:r>
      <w:r w:rsidRPr="004F0FB0">
        <w:rPr>
          <w:rFonts w:ascii="Times New Roman" w:hAnsi="Times New Roman" w:cs="Times New Roman"/>
          <w:szCs w:val="24"/>
        </w:rPr>
        <w:t>tare Miasto, w strefie C, w podstrefie C.1, na obszarze funkcjonalnym oznaczonym jako „obszary wielofunkcyjne”</w:t>
      </w:r>
      <w:r w:rsidR="00D376EF">
        <w:rPr>
          <w:rFonts w:ascii="Times New Roman" w:hAnsi="Times New Roman" w:cs="Times New Roman"/>
          <w:szCs w:val="24"/>
        </w:rPr>
        <w:t>.</w:t>
      </w:r>
    </w:p>
    <w:p w:rsidR="00D376EF" w:rsidRPr="004F0FB0" w:rsidRDefault="00D376EF" w:rsidP="00D376EF">
      <w:pPr>
        <w:pStyle w:val="Tekstpodstawowywcity2"/>
        <w:tabs>
          <w:tab w:val="decimal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877509" w:rsidRDefault="00E6332C" w:rsidP="00521787">
      <w:pPr>
        <w:pStyle w:val="Tekstpodstawowywcity2"/>
        <w:spacing w:line="320" w:lineRule="exact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877509">
        <w:rPr>
          <w:rFonts w:ascii="Times New Roman" w:hAnsi="Times New Roman" w:cs="Times New Roman"/>
        </w:rPr>
        <w:t>§5.</w:t>
      </w:r>
      <w:r w:rsidR="00FA54EB">
        <w:rPr>
          <w:rFonts w:ascii="Times New Roman" w:hAnsi="Times New Roman" w:cs="Times New Roman"/>
        </w:rPr>
        <w:t>1</w:t>
      </w:r>
      <w:r w:rsidR="00877509">
        <w:rPr>
          <w:rFonts w:ascii="Times New Roman" w:hAnsi="Times New Roman" w:cs="Times New Roman"/>
        </w:rPr>
        <w:t xml:space="preserve"> </w:t>
      </w:r>
      <w:r w:rsidR="00877509">
        <w:rPr>
          <w:rFonts w:ascii="Times New Roman" w:eastAsia="Times New Roman" w:hAnsi="Times New Roman" w:cs="Times New Roman"/>
        </w:rPr>
        <w:t>Ustala się następujące warunki przetargu: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4"/>
        <w:gridCol w:w="4536"/>
      </w:tblGrid>
      <w:tr w:rsidR="00FA54EB" w:rsidTr="007E44ED">
        <w:trPr>
          <w:trHeight w:val="36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FA54EB" w:rsidRDefault="00FA54EB" w:rsidP="001F002E">
            <w:pPr>
              <w:pStyle w:val="TableContents"/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wywoławcza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FA54EB" w:rsidRDefault="00FA54EB" w:rsidP="001F002E">
            <w:pPr>
              <w:pStyle w:val="TableContents"/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wadium</w:t>
            </w:r>
          </w:p>
        </w:tc>
      </w:tr>
      <w:tr w:rsidR="00FA54EB" w:rsidTr="00F64D6B">
        <w:trPr>
          <w:trHeight w:val="30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83176" w:rsidRDefault="0072407B" w:rsidP="0072407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FA54EB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="00521787">
              <w:rPr>
                <w:rFonts w:ascii="Times New Roman" w:hAnsi="Times New Roman" w:cs="Times New Roman"/>
                <w:lang w:eastAsia="en-US"/>
              </w:rPr>
              <w:t>00</w:t>
            </w:r>
            <w:r w:rsidR="00FA54EB">
              <w:rPr>
                <w:rFonts w:ascii="Times New Roman" w:hAnsi="Times New Roman" w:cs="Times New Roman"/>
                <w:lang w:eastAsia="en-US"/>
              </w:rPr>
              <w:t>.000,-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FA54EB" w:rsidRDefault="0072407B" w:rsidP="001F002E">
            <w:pPr>
              <w:pStyle w:val="Zawartotabeli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</w:t>
            </w:r>
            <w:r w:rsidR="00FA54EB">
              <w:rPr>
                <w:szCs w:val="24"/>
                <w:lang w:eastAsia="en-US"/>
              </w:rPr>
              <w:t>.000,-</w:t>
            </w:r>
          </w:p>
        </w:tc>
      </w:tr>
    </w:tbl>
    <w:p w:rsidR="00F64D6B" w:rsidRDefault="000E19B9" w:rsidP="00C62A3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F64D6B">
        <w:rPr>
          <w:rFonts w:ascii="Times New Roman" w:hAnsi="Times New Roman" w:cs="Times New Roman"/>
        </w:rPr>
        <w:t xml:space="preserve"> </w:t>
      </w:r>
      <w:r w:rsidR="00F64D6B" w:rsidRPr="004E2178">
        <w:rPr>
          <w:rFonts w:ascii="Times New Roman" w:hAnsi="Times New Roman" w:cs="Times New Roman"/>
        </w:rPr>
        <w:t xml:space="preserve">Sprzedaż </w:t>
      </w:r>
      <w:r w:rsidR="00521787">
        <w:rPr>
          <w:rFonts w:ascii="Times New Roman" w:hAnsi="Times New Roman" w:cs="Times New Roman"/>
        </w:rPr>
        <w:t>podlega</w:t>
      </w:r>
      <w:r w:rsidR="00F64D6B" w:rsidRPr="004E2178">
        <w:rPr>
          <w:rFonts w:ascii="Times New Roman" w:hAnsi="Times New Roman" w:cs="Times New Roman"/>
        </w:rPr>
        <w:t xml:space="preserve"> zwolni</w:t>
      </w:r>
      <w:r w:rsidR="00521787">
        <w:rPr>
          <w:rFonts w:ascii="Times New Roman" w:hAnsi="Times New Roman" w:cs="Times New Roman"/>
        </w:rPr>
        <w:t>eniu</w:t>
      </w:r>
      <w:r w:rsidR="00F64D6B" w:rsidRPr="004E2178">
        <w:rPr>
          <w:rFonts w:ascii="Times New Roman" w:hAnsi="Times New Roman" w:cs="Times New Roman"/>
        </w:rPr>
        <w:t xml:space="preserve"> z podatku VAT jako</w:t>
      </w:r>
      <w:r w:rsidR="00F64D6B">
        <w:rPr>
          <w:rFonts w:ascii="Times New Roman" w:hAnsi="Times New Roman" w:cs="Times New Roman"/>
        </w:rPr>
        <w:t>,</w:t>
      </w:r>
      <w:r w:rsidR="00F64D6B" w:rsidRPr="004E2178">
        <w:rPr>
          <w:rFonts w:ascii="Times New Roman" w:hAnsi="Times New Roman" w:cs="Times New Roman"/>
        </w:rPr>
        <w:t xml:space="preserve"> że dostawa </w:t>
      </w:r>
      <w:r w:rsidR="00F64D6B">
        <w:rPr>
          <w:rFonts w:ascii="Times New Roman" w:hAnsi="Times New Roman" w:cs="Times New Roman"/>
        </w:rPr>
        <w:t>nieruchomości</w:t>
      </w:r>
      <w:r w:rsidR="00F64D6B" w:rsidRPr="004E2178">
        <w:rPr>
          <w:rFonts w:ascii="Times New Roman" w:hAnsi="Times New Roman" w:cs="Times New Roman"/>
        </w:rPr>
        <w:t xml:space="preserve"> spełnia przesłanki do zastosowania zwolnienia od podatku od towarów i usług - na podstawie art. 43 ust. 1 pkt. 10 ustawy o podatku od towarów i usług. </w:t>
      </w:r>
      <w:r w:rsidR="00F64D6B">
        <w:rPr>
          <w:rFonts w:ascii="Times New Roman" w:hAnsi="Times New Roman" w:cs="Times New Roman"/>
        </w:rPr>
        <w:t>Nieruchomość</w:t>
      </w:r>
      <w:r w:rsidR="00F64D6B" w:rsidRPr="004E2178">
        <w:rPr>
          <w:rFonts w:ascii="Times New Roman" w:hAnsi="Times New Roman" w:cs="Times New Roman"/>
        </w:rPr>
        <w:t xml:space="preserve"> przesz</w:t>
      </w:r>
      <w:r w:rsidR="00F64D6B">
        <w:rPr>
          <w:rFonts w:ascii="Times New Roman" w:hAnsi="Times New Roman" w:cs="Times New Roman"/>
        </w:rPr>
        <w:t>ła</w:t>
      </w:r>
      <w:r w:rsidR="00F64D6B" w:rsidRPr="004E2178">
        <w:rPr>
          <w:rFonts w:ascii="Times New Roman" w:hAnsi="Times New Roman" w:cs="Times New Roman"/>
        </w:rPr>
        <w:t xml:space="preserve"> przez proces „pierwszego zasiedlenia”, a je</w:t>
      </w:r>
      <w:r w:rsidR="00F64D6B">
        <w:rPr>
          <w:rFonts w:ascii="Times New Roman" w:hAnsi="Times New Roman" w:cs="Times New Roman"/>
        </w:rPr>
        <w:t>j</w:t>
      </w:r>
      <w:r w:rsidR="00F64D6B" w:rsidRPr="004E2178">
        <w:rPr>
          <w:rFonts w:ascii="Times New Roman" w:hAnsi="Times New Roman" w:cs="Times New Roman"/>
        </w:rPr>
        <w:t xml:space="preserve"> dostawa nastąpi po upływie dwóch lat od </w:t>
      </w:r>
      <w:r w:rsidR="00F64D6B">
        <w:rPr>
          <w:rFonts w:ascii="Times New Roman" w:hAnsi="Times New Roman" w:cs="Times New Roman"/>
        </w:rPr>
        <w:t>tego zdarzenia</w:t>
      </w:r>
      <w:r w:rsidR="00F64D6B" w:rsidRPr="004E2178">
        <w:rPr>
          <w:rFonts w:ascii="Times New Roman" w:hAnsi="Times New Roman" w:cs="Times New Roman"/>
        </w:rPr>
        <w:t xml:space="preserve">. </w:t>
      </w:r>
    </w:p>
    <w:p w:rsidR="000E19B9" w:rsidRPr="004E2178" w:rsidRDefault="000E19B9" w:rsidP="00C62A38">
      <w:pPr>
        <w:ind w:firstLine="708"/>
        <w:jc w:val="both"/>
        <w:rPr>
          <w:rFonts w:ascii="Times New Roman" w:hAnsi="Times New Roman" w:cs="Times New Roman"/>
        </w:rPr>
      </w:pPr>
    </w:p>
    <w:p w:rsidR="008A13CE" w:rsidRDefault="008A13CE" w:rsidP="00A4346E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§6.1 </w:t>
      </w:r>
      <w:r w:rsidRPr="00F64D6B">
        <w:rPr>
          <w:rFonts w:ascii="Times New Roman" w:hAnsi="Times New Roman" w:cs="Times New Roman"/>
        </w:rPr>
        <w:t>W umowie sprzedaży nieruchomości</w:t>
      </w:r>
      <w:r w:rsidR="00E93FBF">
        <w:rPr>
          <w:rFonts w:ascii="Times New Roman" w:hAnsi="Times New Roman" w:cs="Times New Roman"/>
        </w:rPr>
        <w:t xml:space="preserve"> </w:t>
      </w:r>
      <w:r w:rsidRPr="00F64D6B">
        <w:rPr>
          <w:rFonts w:ascii="Times New Roman" w:hAnsi="Times New Roman" w:cs="Times New Roman"/>
        </w:rPr>
        <w:t xml:space="preserve">nabywca zobowiązany zostanie do rozpoczęcia prac remontowych </w:t>
      </w:r>
      <w:r w:rsidR="0072407B">
        <w:rPr>
          <w:rFonts w:ascii="Times New Roman" w:hAnsi="Times New Roman" w:cs="Times New Roman"/>
        </w:rPr>
        <w:t>budynku</w:t>
      </w:r>
      <w:r w:rsidR="00E93FBF">
        <w:rPr>
          <w:rFonts w:ascii="Times New Roman" w:hAnsi="Times New Roman" w:cs="Times New Roman"/>
        </w:rPr>
        <w:t>, położone</w:t>
      </w:r>
      <w:r w:rsidR="0072407B">
        <w:rPr>
          <w:rFonts w:ascii="Times New Roman" w:hAnsi="Times New Roman" w:cs="Times New Roman"/>
        </w:rPr>
        <w:t>go przy ul. Łaziennej 24</w:t>
      </w:r>
      <w:r w:rsidR="00B10AB4">
        <w:rPr>
          <w:rFonts w:ascii="Times New Roman" w:hAnsi="Times New Roman" w:cs="Times New Roman"/>
        </w:rPr>
        <w:t xml:space="preserve"> </w:t>
      </w:r>
      <w:r w:rsidR="0072407B">
        <w:rPr>
          <w:rFonts w:ascii="Times New Roman" w:hAnsi="Times New Roman" w:cs="Times New Roman"/>
        </w:rPr>
        <w:t>A</w:t>
      </w:r>
      <w:r w:rsidR="00E93FBF">
        <w:rPr>
          <w:rFonts w:ascii="Times New Roman" w:hAnsi="Times New Roman" w:cs="Times New Roman"/>
        </w:rPr>
        <w:t xml:space="preserve"> </w:t>
      </w:r>
      <w:r w:rsidRPr="00F64D6B">
        <w:rPr>
          <w:rFonts w:ascii="Times New Roman" w:hAnsi="Times New Roman" w:cs="Times New Roman"/>
        </w:rPr>
        <w:t xml:space="preserve">w ciągu </w:t>
      </w:r>
      <w:r w:rsidR="00F022FB">
        <w:rPr>
          <w:rFonts w:ascii="Times New Roman" w:hAnsi="Times New Roman" w:cs="Times New Roman"/>
        </w:rPr>
        <w:t>2</w:t>
      </w:r>
      <w:r w:rsidRPr="00F64D6B">
        <w:rPr>
          <w:rFonts w:ascii="Times New Roman" w:hAnsi="Times New Roman" w:cs="Times New Roman"/>
        </w:rPr>
        <w:t>-ch lat  od dnia je</w:t>
      </w:r>
      <w:r w:rsidR="0072407B">
        <w:rPr>
          <w:rFonts w:ascii="Times New Roman" w:hAnsi="Times New Roman" w:cs="Times New Roman"/>
        </w:rPr>
        <w:t>go</w:t>
      </w:r>
      <w:r w:rsidRPr="00F64D6B">
        <w:rPr>
          <w:rFonts w:ascii="Times New Roman" w:hAnsi="Times New Roman" w:cs="Times New Roman"/>
        </w:rPr>
        <w:t xml:space="preserve"> nabycia i zakończenia tychże prac</w:t>
      </w:r>
      <w:r w:rsidR="00E93FBF">
        <w:rPr>
          <w:rFonts w:ascii="Times New Roman" w:hAnsi="Times New Roman" w:cs="Times New Roman"/>
        </w:rPr>
        <w:t xml:space="preserve"> </w:t>
      </w:r>
      <w:r w:rsidRPr="00F64D6B">
        <w:rPr>
          <w:rFonts w:ascii="Times New Roman" w:hAnsi="Times New Roman" w:cs="Times New Roman"/>
        </w:rPr>
        <w:t xml:space="preserve">w terminie </w:t>
      </w:r>
      <w:r w:rsidR="00F022FB">
        <w:rPr>
          <w:rFonts w:ascii="Times New Roman" w:hAnsi="Times New Roman" w:cs="Times New Roman"/>
        </w:rPr>
        <w:t>4</w:t>
      </w:r>
      <w:r w:rsidRPr="00F64D6B">
        <w:rPr>
          <w:rFonts w:ascii="Times New Roman" w:hAnsi="Times New Roman" w:cs="Times New Roman"/>
        </w:rPr>
        <w:t xml:space="preserve"> lat, licząc od daty nabycia</w:t>
      </w:r>
      <w:r w:rsidR="0072407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Z uzasadnionych przyczyn Prezydent Miasta może te termin</w:t>
      </w:r>
      <w:r w:rsidR="004E7845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przesunąć. </w:t>
      </w:r>
    </w:p>
    <w:p w:rsidR="008A13CE" w:rsidRPr="00F64D6B" w:rsidRDefault="008A13CE" w:rsidP="00A4346E">
      <w:pPr>
        <w:tabs>
          <w:tab w:val="left" w:pos="968"/>
        </w:tabs>
        <w:jc w:val="both"/>
        <w:rPr>
          <w:rFonts w:ascii="Times New Roman" w:hAnsi="Times New Roman" w:cs="Times New Roman"/>
        </w:rPr>
      </w:pPr>
      <w:r w:rsidRPr="00F64D6B">
        <w:rPr>
          <w:rFonts w:ascii="Times New Roman" w:hAnsi="Times New Roman" w:cs="Times New Roman"/>
        </w:rPr>
        <w:t xml:space="preserve">              2. Za termin rozpoczęcia prac remontowych uznaje się pierwszy wpis w dzienniku budowy o rozpoczęciu robót. Za termin zakończenia prac uznaje się uzyskanie przez inwestora decyzji pozwolenie na użytkowanie, a jeśli nie jest to wymagane przyjęcie zgłoszenia do użytkowania.</w:t>
      </w:r>
    </w:p>
    <w:p w:rsidR="008A13CE" w:rsidRPr="00F64D6B" w:rsidRDefault="008A13CE" w:rsidP="00A4346E">
      <w:pPr>
        <w:jc w:val="both"/>
        <w:rPr>
          <w:rFonts w:ascii="Times New Roman" w:eastAsia="Liberation Serif" w:hAnsi="Times New Roman" w:cs="Times New Roman"/>
        </w:rPr>
      </w:pPr>
      <w:r w:rsidRPr="00F64D6B">
        <w:rPr>
          <w:rFonts w:ascii="Times New Roman" w:hAnsi="Times New Roman" w:cs="Times New Roman"/>
        </w:rPr>
        <w:tab/>
        <w:t xml:space="preserve">   3. Dotrzymanie przez nabywcę terminów, określonych w ust. 1 zabezpieczone zostanie karą umowną, wynoszącą </w:t>
      </w:r>
      <w:r>
        <w:rPr>
          <w:rFonts w:ascii="Times New Roman" w:hAnsi="Times New Roman" w:cs="Times New Roman"/>
        </w:rPr>
        <w:t>5</w:t>
      </w:r>
      <w:r w:rsidRPr="00F64D6B">
        <w:rPr>
          <w:rFonts w:ascii="Times New Roman" w:hAnsi="Times New Roman" w:cs="Times New Roman"/>
        </w:rPr>
        <w:t xml:space="preserve">.000,- zł, za każdy pełny miesiąc zwłoki, w przypadku nie rozpoczęcia </w:t>
      </w:r>
      <w:r w:rsidR="007E44ED">
        <w:rPr>
          <w:rFonts w:ascii="Times New Roman" w:hAnsi="Times New Roman" w:cs="Times New Roman"/>
        </w:rPr>
        <w:t>lub</w:t>
      </w:r>
      <w:r w:rsidRPr="00F64D6B">
        <w:rPr>
          <w:rFonts w:ascii="Times New Roman" w:hAnsi="Times New Roman" w:cs="Times New Roman"/>
        </w:rPr>
        <w:t xml:space="preserve"> nie zakończenia prac remontowych w terminach. </w:t>
      </w:r>
    </w:p>
    <w:p w:rsidR="008A13CE" w:rsidRDefault="008A13CE" w:rsidP="00A4346E">
      <w:pPr>
        <w:jc w:val="both"/>
        <w:rPr>
          <w:rFonts w:ascii="Times New Roman" w:hAnsi="Times New Roman" w:cs="Times New Roman"/>
        </w:rPr>
      </w:pPr>
      <w:r w:rsidRPr="00F64D6B">
        <w:rPr>
          <w:rFonts w:ascii="Times New Roman" w:eastAsia="Liberation Serif" w:hAnsi="Times New Roman" w:cs="Times New Roman"/>
        </w:rPr>
        <w:lastRenderedPageBreak/>
        <w:t xml:space="preserve">              </w:t>
      </w:r>
      <w:r w:rsidRPr="00F64D6B">
        <w:rPr>
          <w:rFonts w:ascii="Times New Roman" w:hAnsi="Times New Roman" w:cs="Times New Roman"/>
        </w:rPr>
        <w:t xml:space="preserve">4. Zapłata kary zostanie poddana rygorowi egzekucji na zasadach określonych w art. 777 </w:t>
      </w:r>
      <w:proofErr w:type="spellStart"/>
      <w:r w:rsidRPr="00F64D6B">
        <w:rPr>
          <w:rFonts w:ascii="Times New Roman" w:hAnsi="Times New Roman" w:cs="Times New Roman"/>
        </w:rPr>
        <w:t>Kpc</w:t>
      </w:r>
      <w:proofErr w:type="spellEnd"/>
      <w:r w:rsidRPr="00F64D6B">
        <w:rPr>
          <w:rFonts w:ascii="Times New Roman" w:hAnsi="Times New Roman" w:cs="Times New Roman"/>
        </w:rPr>
        <w:t>.</w:t>
      </w:r>
    </w:p>
    <w:p w:rsidR="00E6332C" w:rsidRDefault="004E7845" w:rsidP="00C62A38">
      <w:pPr>
        <w:jc w:val="both"/>
        <w:rPr>
          <w:rFonts w:ascii="Times New Roman" w:hAnsi="Times New Roman" w:cs="Times New Roman"/>
        </w:rPr>
      </w:pPr>
      <w:r w:rsidRPr="00B8080F">
        <w:rPr>
          <w:rFonts w:ascii="Times New Roman" w:hAnsi="Times New Roman" w:cs="Times New Roman"/>
        </w:rPr>
        <w:t xml:space="preserve">           </w:t>
      </w:r>
      <w:r w:rsidR="00EC4A9D" w:rsidRPr="00B8080F">
        <w:rPr>
          <w:rFonts w:ascii="Times New Roman" w:hAnsi="Times New Roman" w:cs="Times New Roman"/>
        </w:rPr>
        <w:t xml:space="preserve">   5. </w:t>
      </w:r>
      <w:r w:rsidR="00B8080F" w:rsidRPr="00B8080F">
        <w:rPr>
          <w:rFonts w:ascii="Times New Roman" w:hAnsi="Times New Roman" w:cs="Times New Roman"/>
        </w:rPr>
        <w:t>W</w:t>
      </w:r>
      <w:r w:rsidR="00EC4A9D" w:rsidRPr="00B8080F">
        <w:rPr>
          <w:rFonts w:ascii="Times New Roman" w:hAnsi="Times New Roman" w:cs="Times New Roman"/>
        </w:rPr>
        <w:t xml:space="preserve"> przypadku zbycia przez nabywcę nieruchomości</w:t>
      </w:r>
      <w:r w:rsidR="00B8080F" w:rsidRPr="00B8080F">
        <w:rPr>
          <w:rFonts w:ascii="Times New Roman" w:hAnsi="Times New Roman" w:cs="Times New Roman"/>
        </w:rPr>
        <w:t xml:space="preserve"> opisanej w § 3 ust. 1 niniejszego regulaminu</w:t>
      </w:r>
      <w:r w:rsidR="00783176">
        <w:rPr>
          <w:rFonts w:ascii="Times New Roman" w:hAnsi="Times New Roman" w:cs="Times New Roman"/>
        </w:rPr>
        <w:t xml:space="preserve"> przed zrealizowaniem zobowiązań, o </w:t>
      </w:r>
      <w:r w:rsidR="00521787">
        <w:rPr>
          <w:rFonts w:ascii="Times New Roman" w:hAnsi="Times New Roman" w:cs="Times New Roman"/>
        </w:rPr>
        <w:t>których mowa w ust. 1, 2 i</w:t>
      </w:r>
      <w:r w:rsidR="00783176">
        <w:rPr>
          <w:rFonts w:ascii="Times New Roman" w:hAnsi="Times New Roman" w:cs="Times New Roman"/>
        </w:rPr>
        <w:t xml:space="preserve"> </w:t>
      </w:r>
      <w:r w:rsidR="00521787">
        <w:rPr>
          <w:rFonts w:ascii="Times New Roman" w:hAnsi="Times New Roman" w:cs="Times New Roman"/>
        </w:rPr>
        <w:t>3</w:t>
      </w:r>
      <w:r w:rsidR="00783176">
        <w:rPr>
          <w:rFonts w:ascii="Times New Roman" w:hAnsi="Times New Roman" w:cs="Times New Roman"/>
        </w:rPr>
        <w:t xml:space="preserve"> </w:t>
      </w:r>
      <w:r w:rsidR="00B8080F" w:rsidRPr="00B8080F">
        <w:rPr>
          <w:rFonts w:ascii="Times New Roman" w:hAnsi="Times New Roman" w:cs="Times New Roman"/>
        </w:rPr>
        <w:t xml:space="preserve"> jej nowy właściciel przejmie zobowiązania, wynikające z nałożonych przez Gminę terminów </w:t>
      </w:r>
      <w:r w:rsidR="00B8080F">
        <w:rPr>
          <w:rFonts w:ascii="Times New Roman" w:hAnsi="Times New Roman" w:cs="Times New Roman"/>
        </w:rPr>
        <w:t xml:space="preserve">rozpoczęcia i </w:t>
      </w:r>
      <w:r w:rsidR="00B8080F" w:rsidRPr="00B8080F">
        <w:rPr>
          <w:rFonts w:ascii="Times New Roman" w:hAnsi="Times New Roman" w:cs="Times New Roman"/>
        </w:rPr>
        <w:t>zakończenia remontu kamienicy</w:t>
      </w:r>
      <w:r w:rsidR="00783176">
        <w:rPr>
          <w:rFonts w:ascii="Times New Roman" w:hAnsi="Times New Roman" w:cs="Times New Roman"/>
        </w:rPr>
        <w:t>,</w:t>
      </w:r>
      <w:r w:rsidR="00B8080F" w:rsidRPr="00B8080F">
        <w:rPr>
          <w:rFonts w:ascii="Times New Roman" w:hAnsi="Times New Roman" w:cs="Times New Roman"/>
        </w:rPr>
        <w:t xml:space="preserve"> o których mowa powyżej w ust. </w:t>
      </w:r>
      <w:r w:rsidR="00783176">
        <w:rPr>
          <w:rFonts w:ascii="Times New Roman" w:hAnsi="Times New Roman" w:cs="Times New Roman"/>
        </w:rPr>
        <w:t>1-</w:t>
      </w:r>
      <w:r w:rsidR="00B8080F" w:rsidRPr="00B8080F">
        <w:rPr>
          <w:rFonts w:ascii="Times New Roman" w:hAnsi="Times New Roman" w:cs="Times New Roman"/>
        </w:rPr>
        <w:t>4, a co za tym podda się obowiązkowi zapłaty kar zastrzeżonych na wypadek niedotrzymania termin</w:t>
      </w:r>
      <w:r w:rsidR="00984B4D">
        <w:rPr>
          <w:rFonts w:ascii="Times New Roman" w:hAnsi="Times New Roman" w:cs="Times New Roman"/>
        </w:rPr>
        <w:t>ów</w:t>
      </w:r>
      <w:r w:rsidR="00B8080F" w:rsidRPr="00B8080F">
        <w:rPr>
          <w:rFonts w:ascii="Times New Roman" w:hAnsi="Times New Roman" w:cs="Times New Roman"/>
        </w:rPr>
        <w:t xml:space="preserve"> wykonania prac</w:t>
      </w:r>
      <w:r w:rsidR="00B8080F">
        <w:rPr>
          <w:rFonts w:ascii="Times New Roman" w:hAnsi="Times New Roman" w:cs="Times New Roman"/>
        </w:rPr>
        <w:t xml:space="preserve">, </w:t>
      </w:r>
      <w:r w:rsidR="00B8080F" w:rsidRPr="00B8080F">
        <w:rPr>
          <w:rFonts w:ascii="Times New Roman" w:hAnsi="Times New Roman" w:cs="Times New Roman"/>
        </w:rPr>
        <w:t>należnych od pierwotn</w:t>
      </w:r>
      <w:r w:rsidR="00783176">
        <w:rPr>
          <w:rFonts w:ascii="Times New Roman" w:hAnsi="Times New Roman" w:cs="Times New Roman"/>
        </w:rPr>
        <w:t>ych</w:t>
      </w:r>
      <w:r w:rsidR="00B8080F" w:rsidRPr="00B8080F">
        <w:rPr>
          <w:rFonts w:ascii="Times New Roman" w:hAnsi="Times New Roman" w:cs="Times New Roman"/>
        </w:rPr>
        <w:t xml:space="preserve"> termin</w:t>
      </w:r>
      <w:r w:rsidR="00783176">
        <w:rPr>
          <w:rFonts w:ascii="Times New Roman" w:hAnsi="Times New Roman" w:cs="Times New Roman"/>
        </w:rPr>
        <w:t>ów</w:t>
      </w:r>
      <w:r w:rsidR="00B8080F" w:rsidRPr="00B8080F">
        <w:rPr>
          <w:rFonts w:ascii="Times New Roman" w:hAnsi="Times New Roman" w:cs="Times New Roman"/>
        </w:rPr>
        <w:t xml:space="preserve"> wynikając</w:t>
      </w:r>
      <w:r w:rsidR="00783176">
        <w:rPr>
          <w:rFonts w:ascii="Times New Roman" w:hAnsi="Times New Roman" w:cs="Times New Roman"/>
        </w:rPr>
        <w:t>ych</w:t>
      </w:r>
      <w:r w:rsidR="00B8080F" w:rsidRPr="00B8080F">
        <w:rPr>
          <w:rFonts w:ascii="Times New Roman" w:hAnsi="Times New Roman" w:cs="Times New Roman"/>
        </w:rPr>
        <w:t xml:space="preserve"> </w:t>
      </w:r>
      <w:r w:rsidR="00783176">
        <w:rPr>
          <w:rFonts w:ascii="Times New Roman" w:hAnsi="Times New Roman" w:cs="Times New Roman"/>
        </w:rPr>
        <w:t>z</w:t>
      </w:r>
      <w:r w:rsidR="00B8080F" w:rsidRPr="00B8080F">
        <w:rPr>
          <w:rFonts w:ascii="Times New Roman" w:hAnsi="Times New Roman" w:cs="Times New Roman"/>
        </w:rPr>
        <w:t xml:space="preserve"> umowy sprzedaży</w:t>
      </w:r>
      <w:r w:rsidR="00783176">
        <w:rPr>
          <w:rFonts w:ascii="Times New Roman" w:hAnsi="Times New Roman" w:cs="Times New Roman"/>
        </w:rPr>
        <w:t>.</w:t>
      </w:r>
    </w:p>
    <w:p w:rsidR="00783176" w:rsidRPr="004E7845" w:rsidRDefault="00783176" w:rsidP="00C62A38">
      <w:pPr>
        <w:jc w:val="both"/>
        <w:rPr>
          <w:rFonts w:ascii="Times New Roman" w:eastAsia="Liberation Serif" w:hAnsi="Times New Roman" w:cs="Times New Roman"/>
        </w:rPr>
      </w:pPr>
    </w:p>
    <w:p w:rsidR="00877509" w:rsidRDefault="00877509" w:rsidP="00C62A38">
      <w:pPr>
        <w:pStyle w:val="Tekstpodstawowy"/>
        <w:tabs>
          <w:tab w:val="left" w:pos="42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</w:t>
      </w:r>
      <w:r w:rsidR="008A13C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.1. W przetargu mogą wziąć udział podmioty, które wpłacą wadium w pieniądzu przelewem na konto Urzędu Miasta Torunia - BANK MILLENNIUM S.A. O/Toruń nr 62 1160  2202  0000  0003  3943  1400 w terminie </w:t>
      </w:r>
      <w:r>
        <w:rPr>
          <w:rFonts w:ascii="Times New Roman" w:hAnsi="Times New Roman" w:cs="Times New Roman"/>
          <w:b/>
        </w:rPr>
        <w:t xml:space="preserve">do dnia </w:t>
      </w:r>
      <w:r w:rsidR="00783176">
        <w:rPr>
          <w:rFonts w:ascii="Times New Roman" w:hAnsi="Times New Roman" w:cs="Times New Roman"/>
          <w:b/>
        </w:rPr>
        <w:t xml:space="preserve"> </w:t>
      </w:r>
      <w:r w:rsidR="00EE683B">
        <w:rPr>
          <w:rFonts w:ascii="Times New Roman" w:hAnsi="Times New Roman" w:cs="Times New Roman"/>
          <w:b/>
        </w:rPr>
        <w:t xml:space="preserve">15 </w:t>
      </w:r>
      <w:r w:rsidR="0072407B">
        <w:rPr>
          <w:rFonts w:ascii="Times New Roman" w:hAnsi="Times New Roman" w:cs="Times New Roman"/>
          <w:b/>
        </w:rPr>
        <w:t>czerwca</w:t>
      </w:r>
      <w:r w:rsidR="00783176">
        <w:rPr>
          <w:rFonts w:ascii="Times New Roman" w:hAnsi="Times New Roman" w:cs="Times New Roman"/>
          <w:b/>
        </w:rPr>
        <w:t xml:space="preserve"> 202</w:t>
      </w:r>
      <w:r w:rsidR="00C62A38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r., włącznie.</w:t>
      </w:r>
      <w:r>
        <w:rPr>
          <w:rFonts w:ascii="Times New Roman" w:hAnsi="Times New Roman" w:cs="Times New Roman"/>
        </w:rPr>
        <w:t xml:space="preserve"> Za datę wpłaty wadium uznaje się dzień wpływu środków pieniężnych na konto Gminy.</w:t>
      </w:r>
      <w:r>
        <w:rPr>
          <w:rFonts w:ascii="Times New Roman" w:eastAsia="Times New Roman" w:hAnsi="Times New Roman" w:cs="Times New Roman"/>
        </w:rPr>
        <w:t xml:space="preserve"> Na dowodzie wpłaty należy umieścić dopisek wskazujący oznaczenie </w:t>
      </w:r>
      <w:r w:rsidR="00C62A38">
        <w:rPr>
          <w:rFonts w:ascii="Times New Roman" w:eastAsia="Times New Roman" w:hAnsi="Times New Roman" w:cs="Times New Roman"/>
        </w:rPr>
        <w:t>nieruchomości</w:t>
      </w:r>
      <w:r>
        <w:rPr>
          <w:rFonts w:ascii="Times New Roman" w:eastAsia="Times New Roman" w:hAnsi="Times New Roman" w:cs="Times New Roman"/>
        </w:rPr>
        <w:t>, do licytacji które</w:t>
      </w:r>
      <w:r w:rsidR="00C62A38"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</w:rPr>
        <w:t xml:space="preserve"> uczestnik zamierza przystąpić. Wpłacone wadium uprawnia do uczestnictwa wyłącznie w przetargu, którego dotyczy.</w:t>
      </w:r>
    </w:p>
    <w:p w:rsidR="00877509" w:rsidRDefault="00877509" w:rsidP="00C62A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Podmioty, które wpłacą wadium w sposób niezgodny z postanowieniami ust. 1,</w:t>
      </w:r>
      <w:r>
        <w:rPr>
          <w:rFonts w:ascii="Times New Roman" w:hAnsi="Times New Roman" w:cs="Times New Roman"/>
        </w:rPr>
        <w:br/>
        <w:t>w szczególności gdy wadium zostanie wpłacone w gotówce w kasie Urzędu Miasta Torunia, nie zostaną dopuszczone do udziału w przetargu.</w:t>
      </w:r>
      <w:r>
        <w:rPr>
          <w:rFonts w:ascii="Times New Roman" w:hAnsi="Times New Roman" w:cs="Times New Roman"/>
          <w:b/>
        </w:rPr>
        <w:t xml:space="preserve"> </w:t>
      </w:r>
    </w:p>
    <w:p w:rsidR="00877509" w:rsidRDefault="00877509" w:rsidP="00C62A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 Komisja przetargowa w dniu</w:t>
      </w:r>
      <w:r w:rsidR="00783176">
        <w:rPr>
          <w:rFonts w:ascii="Times New Roman" w:hAnsi="Times New Roman" w:cs="Times New Roman"/>
        </w:rPr>
        <w:t xml:space="preserve"> </w:t>
      </w:r>
      <w:r w:rsidR="00EE683B">
        <w:rPr>
          <w:rFonts w:ascii="Times New Roman" w:hAnsi="Times New Roman" w:cs="Times New Roman"/>
        </w:rPr>
        <w:t>17</w:t>
      </w:r>
      <w:r w:rsidR="00783176">
        <w:rPr>
          <w:rFonts w:ascii="Times New Roman" w:hAnsi="Times New Roman" w:cs="Times New Roman"/>
        </w:rPr>
        <w:t xml:space="preserve"> </w:t>
      </w:r>
      <w:r w:rsidR="0072407B">
        <w:rPr>
          <w:rFonts w:ascii="Times New Roman" w:hAnsi="Times New Roman" w:cs="Times New Roman"/>
        </w:rPr>
        <w:t>czerwca</w:t>
      </w:r>
      <w:r w:rsidR="00783176">
        <w:rPr>
          <w:rFonts w:ascii="Times New Roman" w:hAnsi="Times New Roman" w:cs="Times New Roman"/>
        </w:rPr>
        <w:t xml:space="preserve"> 202</w:t>
      </w:r>
      <w:r w:rsidR="00C62A38">
        <w:rPr>
          <w:rFonts w:ascii="Times New Roman" w:hAnsi="Times New Roman" w:cs="Times New Roman"/>
        </w:rPr>
        <w:t>2</w:t>
      </w:r>
      <w:r w:rsidR="00783176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stwierdzi dokonanie wpłaty wadium na podstawie wyciągu bankowego z wskazanego konta i sporządzi wykaz osób, które spełniły ten warunek.</w:t>
      </w:r>
    </w:p>
    <w:p w:rsidR="00877509" w:rsidRDefault="00877509" w:rsidP="00C62A38">
      <w:pPr>
        <w:jc w:val="both"/>
        <w:rPr>
          <w:rFonts w:ascii="Times New Roman" w:hAnsi="Times New Roman" w:cs="Times New Roman"/>
        </w:rPr>
      </w:pPr>
    </w:p>
    <w:p w:rsidR="00877509" w:rsidRDefault="00877509" w:rsidP="00C62A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</w:t>
      </w:r>
      <w:r w:rsidR="008A13CE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.1. Uczestnicy przetargu i osoby działające w ich imieniu winni przed przystąpieniem do licytacji przedstawić Komisji Przetargowej:</w:t>
      </w:r>
    </w:p>
    <w:p w:rsidR="00877509" w:rsidRDefault="00877509" w:rsidP="00C62A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wszyscy: dokument potwierdzający tożsamość tj. dowód osobisty lub paszport;</w:t>
      </w:r>
    </w:p>
    <w:p w:rsidR="00877509" w:rsidRDefault="00877509" w:rsidP="00C62A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osoby prawne i jednostki organizacyjne nie będące osobami prawnymi, którym ustawa przyznała zdolność prawną: aktualny wypis z właściwego rejestru oraz upoważnienie organu uprawnionego do reprezentowania podmiotu;</w:t>
      </w:r>
    </w:p>
    <w:p w:rsidR="00877509" w:rsidRDefault="00877509" w:rsidP="00A434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pełnomocnicy - pełnomocnictwo do uczestnictwa w przetargu (w formie pisemnej) lub pełnomocnictwo do nabycia nieruchomości (w formie aktu notarialnego);</w:t>
      </w:r>
    </w:p>
    <w:p w:rsidR="00A4346E" w:rsidRPr="00EA6105" w:rsidRDefault="00877509" w:rsidP="00A434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małżonek zamierzający samodzielnie licytować nieruchomość nabywaną do majątku wspólnego – pisemną zgodę współmałżonka</w:t>
      </w:r>
      <w:r w:rsidR="00A4346E">
        <w:rPr>
          <w:rFonts w:ascii="Times New Roman" w:hAnsi="Times New Roman" w:cs="Times New Roman"/>
        </w:rPr>
        <w:t>,</w:t>
      </w:r>
      <w:r w:rsidR="00A4346E" w:rsidRPr="00A4346E">
        <w:rPr>
          <w:rFonts w:ascii="Times New Roman" w:hAnsi="Times New Roman" w:cs="Times New Roman"/>
        </w:rPr>
        <w:t xml:space="preserve"> </w:t>
      </w:r>
      <w:r w:rsidR="00A4346E">
        <w:rPr>
          <w:rFonts w:ascii="Times New Roman" w:hAnsi="Times New Roman" w:cs="Times New Roman"/>
        </w:rPr>
        <w:t>ze wskazaniem ograniczenia co do wysokości ceny lub bez ograniczenia kwotowego.</w:t>
      </w:r>
    </w:p>
    <w:p w:rsidR="00877509" w:rsidRDefault="00877509" w:rsidP="00C62A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Nie przedłożenie wymaganych dokumentów wymienionych w ust. 1 skutkować będzie nie dopuszczeniem do uczestnictwa w przetargu.</w:t>
      </w:r>
    </w:p>
    <w:p w:rsidR="00877509" w:rsidRDefault="00877509" w:rsidP="00C62A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 W przetargu nie mogą uczestniczyć osoby wchodzące w skład Komisji Przetargowej, osoby im bliskie, lub pozostające w takim stosunku prawnym lub faktycznym, że może budzić to uzasadnione wątpliwości co do bezstronności Komisji Przetargowej.</w:t>
      </w:r>
    </w:p>
    <w:p w:rsidR="00877509" w:rsidRDefault="00877509" w:rsidP="00877509">
      <w:pPr>
        <w:spacing w:line="276" w:lineRule="auto"/>
        <w:jc w:val="both"/>
        <w:rPr>
          <w:rFonts w:ascii="Times New Roman" w:hAnsi="Times New Roman" w:cs="Times New Roman"/>
        </w:rPr>
      </w:pPr>
    </w:p>
    <w:p w:rsidR="00877509" w:rsidRDefault="00877509" w:rsidP="00C62A38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§</w:t>
      </w:r>
      <w:r w:rsidR="008A13C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.1. Licytacja odbywa się przez podniesienie ręki osoby biorącej udział w przetargu oraz głośne podanie oferowanej ceny, będącej powiększeniem ceny wywoławczej o kolejne postąpienia.</w:t>
      </w:r>
    </w:p>
    <w:p w:rsidR="00877509" w:rsidRDefault="00877509" w:rsidP="00C62A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Uczestnicy przetargu zgłaszają kolejne postąpienie w wysokości nie niższej jak 1 % ceny wywoławczej, z zaokrągleniem w górę do pełnych dziesiątek złotych.</w:t>
      </w:r>
    </w:p>
    <w:p w:rsidR="00877509" w:rsidRDefault="00877509" w:rsidP="00C62A38">
      <w:pPr>
        <w:jc w:val="both"/>
        <w:rPr>
          <w:rFonts w:ascii="Times New Roman" w:hAnsi="Times New Roman" w:cs="Times New Roman"/>
        </w:rPr>
      </w:pPr>
    </w:p>
    <w:p w:rsidR="00877509" w:rsidRDefault="00877509" w:rsidP="00C62A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</w:t>
      </w:r>
      <w:r w:rsidR="008A13CE">
        <w:rPr>
          <w:rFonts w:ascii="Times New Roman" w:hAnsi="Times New Roman" w:cs="Times New Roman"/>
        </w:rPr>
        <w:t xml:space="preserve"> 10</w:t>
      </w:r>
      <w:r>
        <w:rPr>
          <w:rFonts w:ascii="Times New Roman" w:hAnsi="Times New Roman" w:cs="Times New Roman"/>
        </w:rPr>
        <w:t>.1. O rozstrzygnięciu licytacji decyduje wielkość i kolejność zaoferowanej ceny.</w:t>
      </w:r>
    </w:p>
    <w:p w:rsidR="00877509" w:rsidRDefault="00877509" w:rsidP="00C62A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Po trzecim wywołaniu najwyższej zaoferowanej ceny dalsze postąpienia nie zostaną przyjęte.</w:t>
      </w:r>
    </w:p>
    <w:p w:rsidR="00877509" w:rsidRDefault="008A13CE" w:rsidP="00C62A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77509">
        <w:rPr>
          <w:rFonts w:ascii="Times New Roman" w:hAnsi="Times New Roman" w:cs="Times New Roman"/>
        </w:rPr>
        <w:t>§1</w:t>
      </w:r>
      <w:r>
        <w:rPr>
          <w:rFonts w:ascii="Times New Roman" w:hAnsi="Times New Roman" w:cs="Times New Roman"/>
        </w:rPr>
        <w:t>1</w:t>
      </w:r>
      <w:r w:rsidR="00877509">
        <w:rPr>
          <w:rFonts w:ascii="Times New Roman" w:hAnsi="Times New Roman" w:cs="Times New Roman"/>
        </w:rPr>
        <w:t xml:space="preserve">. Przetarg jest ważny bez względu na liczbę uczestników przetargu, jeżeli </w:t>
      </w:r>
      <w:r w:rsidR="00877509">
        <w:rPr>
          <w:rFonts w:ascii="Times New Roman" w:hAnsi="Times New Roman" w:cs="Times New Roman"/>
        </w:rPr>
        <w:lastRenderedPageBreak/>
        <w:t>przynajmniej jeden uczestnik zaoferuje co najmniej jedno postąpienie powyżej ceny wywoławczej.</w:t>
      </w:r>
    </w:p>
    <w:p w:rsidR="00BC2F64" w:rsidRDefault="00BC2F64" w:rsidP="00C62A38">
      <w:pPr>
        <w:jc w:val="both"/>
        <w:rPr>
          <w:rFonts w:ascii="Times New Roman" w:hAnsi="Times New Roman" w:cs="Times New Roman"/>
        </w:rPr>
      </w:pPr>
    </w:p>
    <w:p w:rsidR="00877509" w:rsidRDefault="00877509" w:rsidP="00C62A3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§1</w:t>
      </w:r>
      <w:r w:rsidR="008A13C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Wadium wpłacone przez uczestnika, który przetarg wygrał zalicza się na poczet ceny sprzedaży z chwilą zawarcia umowy sprzedaży w formie aktu notarialnego. Wadium ulega przepadkowi w wypadku uchylenia się od zawarcia aktu notarialnego przez uczestnika, który przetarg wygrał. </w:t>
      </w:r>
    </w:p>
    <w:p w:rsidR="00F64D6B" w:rsidRDefault="00F64D6B" w:rsidP="00C62A38">
      <w:pPr>
        <w:jc w:val="both"/>
        <w:rPr>
          <w:rFonts w:ascii="Times New Roman" w:hAnsi="Times New Roman" w:cs="Times New Roman"/>
        </w:rPr>
      </w:pPr>
    </w:p>
    <w:p w:rsidR="00877509" w:rsidRDefault="00877509" w:rsidP="00C62A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§1</w:t>
      </w:r>
      <w:r w:rsidR="008A13C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Pozostałym uczestnikom przetargu wadium zostanie niezwłocznie, nie później niż przed upływem 3 dni od dnia odwołania, unieważnienia lub rozstrzygnięcia przetargu, zwrócone przelewem  - w wysokości nominalnej, na wskazane przez nich na piśmie konto.</w:t>
      </w:r>
      <w:r>
        <w:rPr>
          <w:rFonts w:ascii="Times New Roman" w:hAnsi="Times New Roman" w:cs="Times New Roman"/>
        </w:rPr>
        <w:br/>
        <w:t>W przypadku braku pisemnego wskazania - najpóźniej w dniu przetargu - rachunku bankowego, na które ma być dokonany zwrot wadium zostanie zwrócone na konto, z którego wpłynęło, o ile przelew został dokonany z konta bankowego.</w:t>
      </w:r>
    </w:p>
    <w:p w:rsidR="00877509" w:rsidRDefault="00877509" w:rsidP="00C62A38">
      <w:pPr>
        <w:jc w:val="both"/>
        <w:rPr>
          <w:rFonts w:ascii="Times New Roman" w:hAnsi="Times New Roman" w:cs="Times New Roman"/>
        </w:rPr>
      </w:pPr>
    </w:p>
    <w:p w:rsidR="00877509" w:rsidRDefault="00877509" w:rsidP="00C62A3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§1</w:t>
      </w:r>
      <w:r w:rsidR="008A13C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1. Protokół przetargu sporządza się  w 3 jednobrzmiących egzemplarzach. </w:t>
      </w:r>
    </w:p>
    <w:p w:rsidR="00877509" w:rsidRDefault="00877509" w:rsidP="00C62A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A13C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2. Protokół stanowi podstawę zawarcia aktu notarialnego.</w:t>
      </w:r>
    </w:p>
    <w:p w:rsidR="00877509" w:rsidRDefault="00877509" w:rsidP="00C62A38">
      <w:pPr>
        <w:jc w:val="both"/>
        <w:rPr>
          <w:rFonts w:ascii="Times New Roman" w:hAnsi="Times New Roman" w:cs="Times New Roman"/>
        </w:rPr>
      </w:pPr>
    </w:p>
    <w:p w:rsidR="00783176" w:rsidRDefault="00877509" w:rsidP="00C62A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83176">
        <w:rPr>
          <w:rFonts w:ascii="Times New Roman" w:hAnsi="Times New Roman" w:cs="Times New Roman"/>
        </w:rPr>
        <w:t xml:space="preserve">§15.1. </w:t>
      </w:r>
      <w:r w:rsidR="00783176">
        <w:rPr>
          <w:rStyle w:val="alb"/>
          <w:rFonts w:ascii="Times New Roman" w:hAnsi="Times New Roman" w:cs="Times New Roman"/>
        </w:rPr>
        <w:t xml:space="preserve">Prezydent Miasta Torunia </w:t>
      </w:r>
      <w:r w:rsidR="00783176">
        <w:rPr>
          <w:rFonts w:ascii="Times New Roman" w:hAnsi="Times New Roman" w:cs="Times New Roman"/>
        </w:rPr>
        <w:t>zawiadomi osobę ustaloną jako nabywca nieruchomości o miejscu i terminie zawarcia umowy sprzedaży  nieruchomości, najpóźniej</w:t>
      </w:r>
      <w:r w:rsidR="00783176">
        <w:rPr>
          <w:rFonts w:ascii="Times New Roman" w:hAnsi="Times New Roman" w:cs="Times New Roman"/>
        </w:rPr>
        <w:br/>
        <w:t>w ciągu 21 dni od dnia rozstrzygnięcia przetargu. Wyznaczony termin nie może być krótszy niż 7 dni od dnia doręczenia zawiadomienia.</w:t>
      </w:r>
    </w:p>
    <w:p w:rsidR="00783176" w:rsidRDefault="00783176" w:rsidP="00C62A38">
      <w:pPr>
        <w:jc w:val="both"/>
        <w:rPr>
          <w:rStyle w:val="alb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2. Umowa sprzedaży nieruchomości, w formie aktu notarialnego, winna zostać zawarta najpóźniej w terminie dwóch miesięcy od dnia rozstrzygnięcia przetargu. W przypadku wystąpienia wyjątkowych  okoliczności, których osoba ustalona jako nabywca nieruchomości nie mogła przewidzieć w dniu przetargu, Prezydent Miasta Torunia może zadecydować</w:t>
      </w:r>
      <w:r w:rsidR="000F5A5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o przesunięciu  terminu zawarcia umowy. </w:t>
      </w:r>
    </w:p>
    <w:p w:rsidR="00783176" w:rsidRDefault="00783176" w:rsidP="00C62A38">
      <w:pPr>
        <w:jc w:val="both"/>
        <w:rPr>
          <w:rFonts w:ascii="Times New Roman" w:hAnsi="Times New Roman" w:cs="Times New Roman"/>
        </w:rPr>
      </w:pPr>
      <w:r>
        <w:rPr>
          <w:rStyle w:val="alb"/>
          <w:rFonts w:ascii="Times New Roman" w:hAnsi="Times New Roman" w:cs="Times New Roman"/>
        </w:rPr>
        <w:t xml:space="preserve">                3. </w:t>
      </w:r>
      <w:r>
        <w:rPr>
          <w:rFonts w:ascii="Times New Roman" w:hAnsi="Times New Roman" w:cs="Times New Roman"/>
        </w:rPr>
        <w:t>Jeżeli osoba ustalona jako nabywca nieruchomości nie przystąpi bez usprawiedliwienia do zawarcia umowy w miejscu i w terminie podanych w zawiadomieniu,</w:t>
      </w:r>
      <w:r>
        <w:rPr>
          <w:rFonts w:ascii="Times New Roman" w:hAnsi="Times New Roman" w:cs="Times New Roman"/>
        </w:rPr>
        <w:br/>
        <w:t xml:space="preserve">o którym mowa w ust. 1, z zastrzeżeniem ust. 2, Prezydent Miasta Torunia może odstąpić od zawarcia umowy, a wpłacone wadium nie podlega zwrotowi. </w:t>
      </w:r>
    </w:p>
    <w:p w:rsidR="00783176" w:rsidRDefault="00783176" w:rsidP="00C62A38">
      <w:pPr>
        <w:ind w:left="15"/>
        <w:jc w:val="both"/>
        <w:rPr>
          <w:rFonts w:ascii="Times New Roman" w:hAnsi="Times New Roman" w:cs="Times New Roman"/>
        </w:rPr>
      </w:pPr>
    </w:p>
    <w:p w:rsidR="000F5A50" w:rsidRDefault="00783176" w:rsidP="00E91F4B">
      <w:pPr>
        <w:pStyle w:val="Textbody"/>
        <w:spacing w:after="0" w:line="240" w:lineRule="auto"/>
        <w:ind w:firstLine="420"/>
        <w:jc w:val="both"/>
        <w:rPr>
          <w:color w:val="000000"/>
          <w:sz w:val="24"/>
          <w:szCs w:val="24"/>
        </w:rPr>
      </w:pPr>
      <w:r>
        <w:tab/>
      </w:r>
      <w:r w:rsidR="000F5A50" w:rsidRPr="00B955D3">
        <w:rPr>
          <w:color w:val="000000"/>
          <w:sz w:val="24"/>
          <w:szCs w:val="24"/>
        </w:rPr>
        <w:t>§16.  Zwycięzca prze</w:t>
      </w:r>
      <w:r w:rsidR="00E91F4B">
        <w:rPr>
          <w:color w:val="000000"/>
          <w:sz w:val="24"/>
          <w:szCs w:val="24"/>
        </w:rPr>
        <w:t xml:space="preserve">targu zobowiązany jest zapłacić </w:t>
      </w:r>
      <w:r w:rsidR="000F5A50" w:rsidRPr="00B955D3">
        <w:rPr>
          <w:color w:val="000000"/>
          <w:sz w:val="24"/>
          <w:szCs w:val="24"/>
        </w:rPr>
        <w:t>ustaloną w przetargu cenę sprzedaży nieruchomości pomniejszoną o wpłacone wadium, przelewem na rachunek bankowy Urzędu Miasta Torunia - BANK MILLENNIUM S.A. O/Toruń nr 95 11602202 0000 0000 6171 9127,</w:t>
      </w:r>
      <w:r w:rsidR="00E91F4B">
        <w:rPr>
          <w:color w:val="000000"/>
          <w:sz w:val="24"/>
          <w:szCs w:val="24"/>
        </w:rPr>
        <w:t xml:space="preserve"> </w:t>
      </w:r>
      <w:r w:rsidR="000F5A50" w:rsidRPr="00B955D3">
        <w:rPr>
          <w:color w:val="000000"/>
          <w:sz w:val="24"/>
          <w:szCs w:val="24"/>
        </w:rPr>
        <w:t>przed zawarciem aktu notarialnego przenoszącego wł</w:t>
      </w:r>
      <w:r w:rsidR="00E91F4B">
        <w:rPr>
          <w:color w:val="000000"/>
          <w:sz w:val="24"/>
          <w:szCs w:val="24"/>
        </w:rPr>
        <w:t xml:space="preserve">asność nieruchomości w terminie </w:t>
      </w:r>
      <w:r w:rsidR="000F5A50" w:rsidRPr="00B955D3">
        <w:rPr>
          <w:color w:val="000000"/>
          <w:sz w:val="24"/>
          <w:szCs w:val="24"/>
        </w:rPr>
        <w:t>i w sposób umożliwiający potwierdzenie wpływu środków pieniężnych na wyżej wskazane konta.</w:t>
      </w:r>
    </w:p>
    <w:p w:rsidR="00E91F4B" w:rsidRPr="00B955D3" w:rsidRDefault="00E91F4B" w:rsidP="00E91F4B">
      <w:pPr>
        <w:pStyle w:val="Textbody"/>
        <w:spacing w:after="0" w:line="240" w:lineRule="auto"/>
        <w:ind w:firstLine="420"/>
        <w:jc w:val="both"/>
        <w:rPr>
          <w:color w:val="000000"/>
          <w:sz w:val="24"/>
          <w:szCs w:val="24"/>
        </w:rPr>
      </w:pPr>
    </w:p>
    <w:p w:rsidR="00783176" w:rsidRDefault="00783176" w:rsidP="000F5A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§17. Nabycie nieruchomości przez cudzoziemca następuje z uwzględnieniem przepisów ustawy z dnia 24 marca 1920 roku o nabywaniu nieruchomości przez cudzoziemców. </w:t>
      </w:r>
    </w:p>
    <w:p w:rsidR="00783176" w:rsidRDefault="00783176" w:rsidP="000F5A50">
      <w:pPr>
        <w:jc w:val="both"/>
        <w:rPr>
          <w:rFonts w:ascii="Times New Roman" w:hAnsi="Times New Roman" w:cs="Times New Roman"/>
        </w:rPr>
      </w:pPr>
    </w:p>
    <w:p w:rsidR="00783176" w:rsidRDefault="00783176" w:rsidP="000F5A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§18.  Koszty nabycia nieruchomości ponosi nabywający.</w:t>
      </w:r>
    </w:p>
    <w:p w:rsidR="00576868" w:rsidRDefault="00576868" w:rsidP="000F5A50">
      <w:pPr>
        <w:jc w:val="both"/>
        <w:rPr>
          <w:rFonts w:ascii="Times New Roman" w:hAnsi="Times New Roman" w:cs="Times New Roman"/>
        </w:rPr>
      </w:pPr>
    </w:p>
    <w:p w:rsidR="00783176" w:rsidRDefault="00783176" w:rsidP="000F5A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§19. Geodezyjne dane nieruchomości zostały podane na podstawie informacji </w:t>
      </w:r>
      <w:r>
        <w:rPr>
          <w:rFonts w:ascii="Times New Roman" w:hAnsi="Times New Roman" w:cs="Times New Roman"/>
        </w:rPr>
        <w:br/>
        <w:t>z ewidencji gruntów i budynków.</w:t>
      </w:r>
    </w:p>
    <w:p w:rsidR="00783176" w:rsidRDefault="00783176" w:rsidP="000F5A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Okazanie przez geodetę granic nieruchomości, z której wyodrębniony zostanie lokal odbyć się może na koszt i wniosek nabywcy.</w:t>
      </w:r>
    </w:p>
    <w:p w:rsidR="00576868" w:rsidRDefault="00576868" w:rsidP="000F5A50">
      <w:pPr>
        <w:jc w:val="both"/>
        <w:rPr>
          <w:rFonts w:ascii="Times New Roman" w:hAnsi="Times New Roman" w:cs="Times New Roman"/>
        </w:rPr>
      </w:pPr>
    </w:p>
    <w:p w:rsidR="00783176" w:rsidRDefault="00783176" w:rsidP="000F5A5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§20. Prezydent Miasta Torunia może z ważnych powodów odwołać przetarg.</w:t>
      </w:r>
    </w:p>
    <w:p w:rsidR="00576868" w:rsidRDefault="00576868" w:rsidP="000F5A50">
      <w:pPr>
        <w:ind w:firstLine="708"/>
        <w:jc w:val="both"/>
        <w:rPr>
          <w:rFonts w:ascii="Times New Roman" w:hAnsi="Times New Roman" w:cs="Times New Roman"/>
        </w:rPr>
      </w:pPr>
    </w:p>
    <w:p w:rsidR="00783176" w:rsidRDefault="00783176" w:rsidP="000F5A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§21. Uczestnik przetargu może zaskarżyć czynności związane z przeprowadzeniem przetargu do Prezydenta Miasta Torunia. Skarga winna być wniesiona w terminie 7 dni od dnia ogłoszenia wyniku przetargu. </w:t>
      </w:r>
    </w:p>
    <w:p w:rsidR="00576868" w:rsidRDefault="00576868" w:rsidP="000F5A50">
      <w:pPr>
        <w:jc w:val="both"/>
        <w:rPr>
          <w:rFonts w:ascii="Times New Roman" w:hAnsi="Times New Roman" w:cs="Times New Roman"/>
        </w:rPr>
      </w:pPr>
    </w:p>
    <w:p w:rsidR="00783176" w:rsidRDefault="00783176" w:rsidP="000F5A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§22. Prezydent Miasta Torunia rozpatrzy skargę w terminie 7 dni od dnia jej otrzymania. </w:t>
      </w:r>
    </w:p>
    <w:p w:rsidR="00576868" w:rsidRDefault="00576868" w:rsidP="000F5A50">
      <w:pPr>
        <w:jc w:val="both"/>
        <w:rPr>
          <w:rFonts w:ascii="Times New Roman" w:hAnsi="Times New Roman" w:cs="Times New Roman"/>
        </w:rPr>
      </w:pPr>
    </w:p>
    <w:p w:rsidR="00783176" w:rsidRDefault="00783176" w:rsidP="000F5A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§23. Do czasu rozpatrzenia skargi wstrzymane zostają czynności związane ze zbyciem. </w:t>
      </w:r>
    </w:p>
    <w:p w:rsidR="00576868" w:rsidRDefault="00576868" w:rsidP="000F5A50">
      <w:pPr>
        <w:jc w:val="both"/>
        <w:rPr>
          <w:rFonts w:ascii="Times New Roman" w:hAnsi="Times New Roman" w:cs="Times New Roman"/>
        </w:rPr>
      </w:pPr>
    </w:p>
    <w:p w:rsidR="00576868" w:rsidRDefault="00576868" w:rsidP="000F5A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IW</w:t>
      </w:r>
    </w:p>
    <w:p w:rsidR="00CB5D9F" w:rsidRPr="00D8239D" w:rsidRDefault="00CB5D9F" w:rsidP="000F5A50">
      <w:pPr>
        <w:jc w:val="both"/>
        <w:rPr>
          <w:rFonts w:ascii="Times New Roman" w:hAnsi="Times New Roman" w:cs="Times New Roman"/>
        </w:rPr>
      </w:pPr>
    </w:p>
    <w:sectPr w:rsidR="00CB5D9F" w:rsidRPr="00D82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)"/>
      <w:lvlJc w:val="left"/>
      <w:pPr>
        <w:tabs>
          <w:tab w:val="num" w:pos="-426"/>
        </w:tabs>
        <w:ind w:left="360" w:hanging="360"/>
      </w:pPr>
      <w:rPr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-426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120" w:hanging="180"/>
      </w:pPr>
    </w:lvl>
  </w:abstractNum>
  <w:abstractNum w:abstractNumId="1" w15:restartNumberingAfterBreak="0">
    <w:nsid w:val="36AB7D96"/>
    <w:multiLevelType w:val="hybridMultilevel"/>
    <w:tmpl w:val="CD5E2B36"/>
    <w:lvl w:ilvl="0" w:tplc="7C6A71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1273D0"/>
    <w:multiLevelType w:val="hybridMultilevel"/>
    <w:tmpl w:val="5A920202"/>
    <w:lvl w:ilvl="0" w:tplc="BD669F44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122"/>
    <w:rsid w:val="00001558"/>
    <w:rsid w:val="000057F0"/>
    <w:rsid w:val="00011337"/>
    <w:rsid w:val="00012911"/>
    <w:rsid w:val="0003597B"/>
    <w:rsid w:val="00054BD5"/>
    <w:rsid w:val="00083EFC"/>
    <w:rsid w:val="000B26C1"/>
    <w:rsid w:val="000C0933"/>
    <w:rsid w:val="000D5C68"/>
    <w:rsid w:val="000E19B9"/>
    <w:rsid w:val="000F5A50"/>
    <w:rsid w:val="00132B09"/>
    <w:rsid w:val="00157B66"/>
    <w:rsid w:val="001A37FA"/>
    <w:rsid w:val="001B23CA"/>
    <w:rsid w:val="002141CD"/>
    <w:rsid w:val="00286A92"/>
    <w:rsid w:val="002A1A14"/>
    <w:rsid w:val="002B080C"/>
    <w:rsid w:val="002E5B37"/>
    <w:rsid w:val="003254AD"/>
    <w:rsid w:val="00330FC5"/>
    <w:rsid w:val="00334BDE"/>
    <w:rsid w:val="0033501E"/>
    <w:rsid w:val="00365F1D"/>
    <w:rsid w:val="00370CDF"/>
    <w:rsid w:val="00375F53"/>
    <w:rsid w:val="00411783"/>
    <w:rsid w:val="004119D4"/>
    <w:rsid w:val="00412D18"/>
    <w:rsid w:val="0044787E"/>
    <w:rsid w:val="004941D9"/>
    <w:rsid w:val="004D17E6"/>
    <w:rsid w:val="004E7845"/>
    <w:rsid w:val="004F31F5"/>
    <w:rsid w:val="00500C5D"/>
    <w:rsid w:val="00520601"/>
    <w:rsid w:val="00521787"/>
    <w:rsid w:val="00531EB9"/>
    <w:rsid w:val="00533FCA"/>
    <w:rsid w:val="005517F9"/>
    <w:rsid w:val="00576868"/>
    <w:rsid w:val="005E7260"/>
    <w:rsid w:val="00685CDB"/>
    <w:rsid w:val="006A3F8B"/>
    <w:rsid w:val="006F7263"/>
    <w:rsid w:val="007156A0"/>
    <w:rsid w:val="0072407B"/>
    <w:rsid w:val="0073779F"/>
    <w:rsid w:val="00755D69"/>
    <w:rsid w:val="00764838"/>
    <w:rsid w:val="00783176"/>
    <w:rsid w:val="007A27CC"/>
    <w:rsid w:val="007B069E"/>
    <w:rsid w:val="007B0B5E"/>
    <w:rsid w:val="007E05D9"/>
    <w:rsid w:val="007E44ED"/>
    <w:rsid w:val="007E7727"/>
    <w:rsid w:val="00803E6E"/>
    <w:rsid w:val="008127B1"/>
    <w:rsid w:val="00830122"/>
    <w:rsid w:val="00864DCC"/>
    <w:rsid w:val="00877509"/>
    <w:rsid w:val="00890DFC"/>
    <w:rsid w:val="00895453"/>
    <w:rsid w:val="008A00F9"/>
    <w:rsid w:val="008A13CE"/>
    <w:rsid w:val="008B6C28"/>
    <w:rsid w:val="008B7E34"/>
    <w:rsid w:val="008D56D8"/>
    <w:rsid w:val="009262BA"/>
    <w:rsid w:val="00967263"/>
    <w:rsid w:val="00973EC6"/>
    <w:rsid w:val="00984093"/>
    <w:rsid w:val="00984B4D"/>
    <w:rsid w:val="009B5DC9"/>
    <w:rsid w:val="009C0758"/>
    <w:rsid w:val="009C1D49"/>
    <w:rsid w:val="009C774F"/>
    <w:rsid w:val="00A16376"/>
    <w:rsid w:val="00A4346E"/>
    <w:rsid w:val="00A633BF"/>
    <w:rsid w:val="00A6479B"/>
    <w:rsid w:val="00A65BC2"/>
    <w:rsid w:val="00A72FF9"/>
    <w:rsid w:val="00AE7A08"/>
    <w:rsid w:val="00AF2488"/>
    <w:rsid w:val="00AF6202"/>
    <w:rsid w:val="00B10AB4"/>
    <w:rsid w:val="00B1625C"/>
    <w:rsid w:val="00B47B18"/>
    <w:rsid w:val="00B642EC"/>
    <w:rsid w:val="00B8080F"/>
    <w:rsid w:val="00B92AC1"/>
    <w:rsid w:val="00B9454E"/>
    <w:rsid w:val="00BC1C30"/>
    <w:rsid w:val="00BC2F64"/>
    <w:rsid w:val="00BE645F"/>
    <w:rsid w:val="00BF0A2B"/>
    <w:rsid w:val="00C556B4"/>
    <w:rsid w:val="00C62A38"/>
    <w:rsid w:val="00C71BE1"/>
    <w:rsid w:val="00CA5DEE"/>
    <w:rsid w:val="00CB5D9F"/>
    <w:rsid w:val="00CC5884"/>
    <w:rsid w:val="00D21A0F"/>
    <w:rsid w:val="00D376EF"/>
    <w:rsid w:val="00D50F46"/>
    <w:rsid w:val="00D71038"/>
    <w:rsid w:val="00D733B1"/>
    <w:rsid w:val="00D73F4E"/>
    <w:rsid w:val="00D8239D"/>
    <w:rsid w:val="00D94931"/>
    <w:rsid w:val="00DF6531"/>
    <w:rsid w:val="00DF729C"/>
    <w:rsid w:val="00E22AC2"/>
    <w:rsid w:val="00E41A70"/>
    <w:rsid w:val="00E6332C"/>
    <w:rsid w:val="00E828B6"/>
    <w:rsid w:val="00E91F4B"/>
    <w:rsid w:val="00E93FBF"/>
    <w:rsid w:val="00E94628"/>
    <w:rsid w:val="00EC4A9D"/>
    <w:rsid w:val="00EE3614"/>
    <w:rsid w:val="00EE683B"/>
    <w:rsid w:val="00F022FB"/>
    <w:rsid w:val="00F230E8"/>
    <w:rsid w:val="00F31AD4"/>
    <w:rsid w:val="00F47890"/>
    <w:rsid w:val="00F64D6B"/>
    <w:rsid w:val="00FA1710"/>
    <w:rsid w:val="00FA54EB"/>
    <w:rsid w:val="00FA7012"/>
    <w:rsid w:val="00FD7055"/>
    <w:rsid w:val="00FE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53BD"/>
  <w15:chartTrackingRefBased/>
  <w15:docId w15:val="{E5E0A15C-28FC-43DB-BC09-B95039F1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50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77509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qFormat/>
    <w:rsid w:val="00877509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77509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77509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877509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western">
    <w:name w:val="western"/>
    <w:basedOn w:val="Normalny"/>
    <w:rsid w:val="00877509"/>
    <w:pPr>
      <w:spacing w:before="280" w:after="280"/>
    </w:pPr>
    <w:rPr>
      <w:color w:val="000000"/>
    </w:rPr>
  </w:style>
  <w:style w:type="paragraph" w:customStyle="1" w:styleId="Tretekstu">
    <w:name w:val="Treść tekstu"/>
    <w:basedOn w:val="Normalny"/>
    <w:rsid w:val="00877509"/>
    <w:pPr>
      <w:widowControl/>
      <w:suppressAutoHyphens w:val="0"/>
      <w:jc w:val="both"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paragraph" w:customStyle="1" w:styleId="TableContents">
    <w:name w:val="Table Contents"/>
    <w:basedOn w:val="Tekstpodstawowy"/>
    <w:rsid w:val="00877509"/>
    <w:pPr>
      <w:suppressLineNumbers/>
      <w:autoSpaceDN w:val="0"/>
      <w:spacing w:after="120" w:line="240" w:lineRule="auto"/>
    </w:pPr>
    <w:rPr>
      <w:rFonts w:ascii="Times New Roman" w:eastAsia="Lucida Sans Unicode" w:hAnsi="Times New Roman" w:cs="Times New Roman"/>
      <w:kern w:val="3"/>
      <w:lang w:eastAsia="pl-PL" w:bidi="ar-SA"/>
    </w:rPr>
  </w:style>
  <w:style w:type="paragraph" w:customStyle="1" w:styleId="Zawartotabeli">
    <w:name w:val="Zawarto?? tabeli"/>
    <w:basedOn w:val="Normalny"/>
    <w:rsid w:val="00877509"/>
    <w:pPr>
      <w:suppressLineNumbers/>
      <w:overflowPunct w:val="0"/>
      <w:autoSpaceDE w:val="0"/>
      <w:autoSpaceDN w:val="0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39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39D"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customStyle="1" w:styleId="Akapitzlist1">
    <w:name w:val="Akapit z listą1"/>
    <w:basedOn w:val="Normalny"/>
    <w:uiPriority w:val="99"/>
    <w:rsid w:val="00157B66"/>
    <w:pPr>
      <w:widowControl/>
      <w:suppressAutoHyphens w:val="0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pl-PL" w:bidi="ar-SA"/>
    </w:rPr>
  </w:style>
  <w:style w:type="character" w:customStyle="1" w:styleId="alb">
    <w:name w:val="a_lb"/>
    <w:basedOn w:val="Domylnaczcionkaakapitu"/>
    <w:rsid w:val="00783176"/>
  </w:style>
  <w:style w:type="paragraph" w:customStyle="1" w:styleId="Textbody">
    <w:name w:val="Text body"/>
    <w:basedOn w:val="Normalny"/>
    <w:rsid w:val="000F5A50"/>
    <w:pPr>
      <w:widowControl/>
      <w:suppressAutoHyphens w:val="0"/>
      <w:autoSpaceDN w:val="0"/>
      <w:spacing w:after="140" w:line="288" w:lineRule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73DD7-4419-477C-B66B-C4FB27232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2818</Words>
  <Characters>16910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i.wieckowska</dc:creator>
  <cp:keywords/>
  <dc:description/>
  <cp:lastModifiedBy>a.jargilo@umt.local</cp:lastModifiedBy>
  <cp:revision>4</cp:revision>
  <cp:lastPrinted>2022-04-05T07:19:00Z</cp:lastPrinted>
  <dcterms:created xsi:type="dcterms:W3CDTF">2022-04-14T06:17:00Z</dcterms:created>
  <dcterms:modified xsi:type="dcterms:W3CDTF">2022-04-14T12:02:00Z</dcterms:modified>
</cp:coreProperties>
</file>