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3F" w:rsidRPr="006753A4" w:rsidRDefault="00BD643F" w:rsidP="00BD643F">
      <w:pPr>
        <w:pStyle w:val="Bezodstpw"/>
        <w:ind w:right="141" w:firstLine="652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53A4">
        <w:rPr>
          <w:rFonts w:ascii="Times New Roman" w:hAnsi="Times New Roman"/>
          <w:sz w:val="24"/>
          <w:szCs w:val="24"/>
        </w:rPr>
        <w:t>Załącznik</w:t>
      </w:r>
    </w:p>
    <w:p w:rsidR="00BD643F" w:rsidRPr="006753A4" w:rsidRDefault="00BD643F" w:rsidP="00BD643F">
      <w:pPr>
        <w:pStyle w:val="Bezodstpw"/>
        <w:ind w:right="141" w:firstLine="6521"/>
        <w:rPr>
          <w:rFonts w:ascii="Times New Roman" w:hAnsi="Times New Roman"/>
          <w:sz w:val="24"/>
          <w:szCs w:val="24"/>
        </w:rPr>
      </w:pPr>
      <w:r w:rsidRPr="006753A4">
        <w:rPr>
          <w:rFonts w:ascii="Times New Roman" w:hAnsi="Times New Roman"/>
          <w:sz w:val="24"/>
          <w:szCs w:val="24"/>
        </w:rPr>
        <w:t>do uchwały nr 768/21</w:t>
      </w:r>
    </w:p>
    <w:p w:rsidR="00BD643F" w:rsidRPr="006753A4" w:rsidRDefault="00BD643F" w:rsidP="00BD643F">
      <w:pPr>
        <w:pStyle w:val="Bezodstpw"/>
        <w:ind w:right="141" w:firstLine="6521"/>
        <w:rPr>
          <w:rFonts w:ascii="Times New Roman" w:hAnsi="Times New Roman"/>
          <w:sz w:val="24"/>
          <w:szCs w:val="24"/>
        </w:rPr>
      </w:pPr>
      <w:r w:rsidRPr="006753A4">
        <w:rPr>
          <w:rFonts w:ascii="Times New Roman" w:hAnsi="Times New Roman"/>
          <w:sz w:val="24"/>
          <w:szCs w:val="24"/>
        </w:rPr>
        <w:t>Rady Miasta Torunia</w:t>
      </w:r>
    </w:p>
    <w:p w:rsidR="00BD643F" w:rsidRPr="006753A4" w:rsidRDefault="00BD643F" w:rsidP="00BD643F">
      <w:pPr>
        <w:pStyle w:val="Bezodstpw"/>
        <w:ind w:right="141" w:firstLine="6521"/>
        <w:rPr>
          <w:rFonts w:ascii="Times New Roman" w:hAnsi="Times New Roman"/>
          <w:sz w:val="24"/>
          <w:szCs w:val="24"/>
        </w:rPr>
      </w:pPr>
      <w:r w:rsidRPr="006753A4">
        <w:rPr>
          <w:rFonts w:ascii="Times New Roman" w:hAnsi="Times New Roman"/>
          <w:sz w:val="24"/>
          <w:szCs w:val="24"/>
        </w:rPr>
        <w:t>z dnia 16 grudnia 2021r.</w:t>
      </w:r>
    </w:p>
    <w:p w:rsidR="00BD643F" w:rsidRPr="006753A4" w:rsidRDefault="00BD643F" w:rsidP="00BD643F">
      <w:pPr>
        <w:pStyle w:val="Bezodstpw"/>
        <w:ind w:right="14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right="141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bCs/>
          <w:sz w:val="24"/>
          <w:szCs w:val="24"/>
          <w:lang w:eastAsia="pl-PL"/>
        </w:rPr>
        <w:t>STATUT</w:t>
      </w:r>
    </w:p>
    <w:p w:rsidR="00BD643F" w:rsidRPr="006753A4" w:rsidRDefault="00BD643F" w:rsidP="00BD643F">
      <w:pPr>
        <w:pStyle w:val="Bezodstpw"/>
        <w:ind w:right="141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bCs/>
          <w:sz w:val="24"/>
          <w:szCs w:val="24"/>
          <w:lang w:eastAsia="pl-PL"/>
        </w:rPr>
        <w:t>Toruńskiego Centrum Usług Społecznych</w:t>
      </w:r>
    </w:p>
    <w:p w:rsidR="00BD643F" w:rsidRPr="006753A4" w:rsidRDefault="00BD643F" w:rsidP="00BD643F">
      <w:pPr>
        <w:pStyle w:val="Bezodstpw"/>
        <w:ind w:right="14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right="141"/>
        <w:jc w:val="center"/>
        <w:rPr>
          <w:rFonts w:ascii="Times New Roman" w:hAnsi="Times New Roman"/>
          <w:sz w:val="24"/>
          <w:szCs w:val="24"/>
        </w:rPr>
      </w:pPr>
      <w:r w:rsidRPr="006753A4">
        <w:rPr>
          <w:rFonts w:ascii="Times New Roman" w:hAnsi="Times New Roman"/>
          <w:sz w:val="24"/>
          <w:szCs w:val="24"/>
        </w:rPr>
        <w:t>Rozdział 1</w:t>
      </w:r>
    </w:p>
    <w:p w:rsidR="00BD643F" w:rsidRPr="006753A4" w:rsidRDefault="00BD643F" w:rsidP="00BD643F">
      <w:pPr>
        <w:pStyle w:val="Bezodstpw"/>
        <w:ind w:right="141"/>
        <w:jc w:val="center"/>
        <w:rPr>
          <w:rFonts w:ascii="Times New Roman" w:hAnsi="Times New Roman"/>
          <w:sz w:val="24"/>
          <w:szCs w:val="24"/>
        </w:rPr>
      </w:pPr>
      <w:r w:rsidRPr="006753A4">
        <w:rPr>
          <w:rFonts w:ascii="Times New Roman" w:hAnsi="Times New Roman"/>
          <w:sz w:val="24"/>
          <w:szCs w:val="24"/>
        </w:rPr>
        <w:t>Postanowienia ogólne</w:t>
      </w:r>
    </w:p>
    <w:p w:rsidR="00BD643F" w:rsidRPr="006753A4" w:rsidRDefault="00BD643F" w:rsidP="00BD643F">
      <w:pPr>
        <w:pStyle w:val="Bezodstpw"/>
        <w:ind w:right="14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right="141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bCs/>
          <w:sz w:val="24"/>
          <w:szCs w:val="24"/>
          <w:lang w:eastAsia="pl-PL"/>
        </w:rPr>
        <w:t>§ 1.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 xml:space="preserve"> Toruńskie Centrum Usług Społecznych zwane dalej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Centrum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 xml:space="preserve"> jest jednostką organizacyjną Gminy Miasta Toruń działającą w formie jednostki budżetowej powołaną do zaspokajania potrzeb wspólnoty samorządowej w zakresie usług społecznych oraz indywidualnych jej mieszkańców.</w:t>
      </w:r>
    </w:p>
    <w:p w:rsidR="00BD643F" w:rsidRPr="006753A4" w:rsidRDefault="00BD643F" w:rsidP="00BD643F">
      <w:pPr>
        <w:pStyle w:val="Bezodstpw"/>
        <w:ind w:right="141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right="141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 xml:space="preserve">2. 1. </w:t>
      </w:r>
      <w:r w:rsidRPr="006753A4">
        <w:rPr>
          <w:rFonts w:ascii="Times New Roman" w:hAnsi="Times New Roman"/>
          <w:sz w:val="24"/>
          <w:szCs w:val="24"/>
        </w:rPr>
        <w:t xml:space="preserve">Siedzibą 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</w:t>
      </w:r>
      <w:r w:rsidRPr="006753A4">
        <w:rPr>
          <w:rFonts w:ascii="Times New Roman" w:hAnsi="Times New Roman"/>
          <w:sz w:val="24"/>
          <w:szCs w:val="24"/>
        </w:rPr>
        <w:t xml:space="preserve"> jest Miasto Toruń. </w:t>
      </w:r>
    </w:p>
    <w:p w:rsidR="00BD643F" w:rsidRPr="006753A4" w:rsidRDefault="00BD643F" w:rsidP="00BD643F">
      <w:pPr>
        <w:pStyle w:val="Bezodstpw"/>
        <w:ind w:right="141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Obszarem działania </w:t>
      </w:r>
      <w:r w:rsidRPr="006753A4">
        <w:rPr>
          <w:rFonts w:ascii="Times New Roman" w:hAnsi="Times New Roman"/>
          <w:sz w:val="24"/>
          <w:szCs w:val="24"/>
        </w:rPr>
        <w:t xml:space="preserve">Centrum jest 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Gmina Miasta Toruń.</w:t>
      </w:r>
    </w:p>
    <w:p w:rsidR="00BD643F" w:rsidRPr="006753A4" w:rsidRDefault="00BD643F" w:rsidP="00BD643F">
      <w:pPr>
        <w:pStyle w:val="Bezodstpw"/>
        <w:ind w:right="141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right="141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bCs/>
          <w:sz w:val="24"/>
          <w:szCs w:val="24"/>
          <w:lang w:eastAsia="pl-PL"/>
        </w:rPr>
        <w:t>§ 3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. Centrum działa na podstawie:</w:t>
      </w:r>
    </w:p>
    <w:p w:rsidR="00BD643F" w:rsidRPr="006753A4" w:rsidRDefault="00BD643F" w:rsidP="00BD643F">
      <w:pPr>
        <w:pStyle w:val="Bezodstpw"/>
        <w:numPr>
          <w:ilvl w:val="0"/>
          <w:numId w:val="1"/>
        </w:numPr>
        <w:ind w:left="567" w:right="141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bCs/>
          <w:sz w:val="24"/>
          <w:szCs w:val="24"/>
          <w:lang w:eastAsia="pl-PL"/>
        </w:rPr>
        <w:t>ustawy z dnia 8 marca 1990 r. o samorządzie gminnym (Dz. U. z 2021 r. poz. 1372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 późn. zm.</w:t>
      </w:r>
      <w:r w:rsidRPr="006753A4">
        <w:rPr>
          <w:rFonts w:ascii="Times New Roman" w:eastAsia="Times New Roman" w:hAnsi="Times New Roman"/>
          <w:bCs/>
          <w:sz w:val="24"/>
          <w:szCs w:val="24"/>
          <w:lang w:eastAsia="pl-PL"/>
        </w:rPr>
        <w:t>);</w:t>
      </w:r>
    </w:p>
    <w:p w:rsidR="00BD643F" w:rsidRPr="006753A4" w:rsidRDefault="00BD643F" w:rsidP="00BD643F">
      <w:pPr>
        <w:pStyle w:val="Bezodstpw"/>
        <w:numPr>
          <w:ilvl w:val="0"/>
          <w:numId w:val="1"/>
        </w:numPr>
        <w:ind w:left="567" w:right="141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bCs/>
          <w:sz w:val="24"/>
          <w:szCs w:val="24"/>
          <w:lang w:eastAsia="pl-PL"/>
        </w:rPr>
        <w:t>ustawy z dnia 5 czerwca 1998 r. o samorządzie powiatowym (Dz. U. z 2020 r. poz. 920 z późn. zm.);</w:t>
      </w:r>
    </w:p>
    <w:p w:rsidR="00BD643F" w:rsidRPr="006753A4" w:rsidRDefault="00BD643F" w:rsidP="00BD643F">
      <w:pPr>
        <w:pStyle w:val="Bezodstpw"/>
        <w:numPr>
          <w:ilvl w:val="0"/>
          <w:numId w:val="1"/>
        </w:numPr>
        <w:ind w:left="567" w:right="141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ustawy z dnia 27 sierpnia 2009 r. o finansach publicznych (Dz. U. z 2021 r. poz. 305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 </w:t>
      </w:r>
      <w:r w:rsidRPr="006753A4">
        <w:rPr>
          <w:rFonts w:ascii="Times New Roman" w:eastAsia="Times New Roman" w:hAnsi="Times New Roman"/>
          <w:bCs/>
          <w:sz w:val="24"/>
          <w:szCs w:val="24"/>
          <w:lang w:eastAsia="pl-PL"/>
        </w:rPr>
        <w:t>późn. zm.);</w:t>
      </w:r>
    </w:p>
    <w:p w:rsidR="00BD643F" w:rsidRPr="006753A4" w:rsidRDefault="00BD643F" w:rsidP="00BD643F">
      <w:pPr>
        <w:pStyle w:val="Bezodstpw"/>
        <w:numPr>
          <w:ilvl w:val="0"/>
          <w:numId w:val="1"/>
        </w:numPr>
        <w:ind w:left="567" w:right="141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bCs/>
          <w:sz w:val="24"/>
          <w:szCs w:val="24"/>
          <w:lang w:eastAsia="pl-PL"/>
        </w:rPr>
        <w:t>ustawy z dnia 19 lipca 2019 r. o realizowaniu usług społecznych przez centrum usług społecznych ( Dz. U. z 2019 r. poz. 1818);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hyperlink r:id="rId5" w:anchor="/document/17720793?cm=DOCUMENT" w:history="1">
        <w:r w:rsidRPr="006753A4">
          <w:rPr>
            <w:rStyle w:val="Hipercze"/>
            <w:rFonts w:ascii="Times New Roman" w:hAnsi="Times New Roman"/>
            <w:bCs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bCs/>
          <w:sz w:val="24"/>
          <w:szCs w:val="24"/>
          <w:lang w:eastAsia="pl-PL"/>
        </w:rPr>
        <w:t xml:space="preserve"> z dnia 9 czerwca 2011 r. o wspieraniu rodziny i </w:t>
      </w:r>
      <w:r>
        <w:rPr>
          <w:rFonts w:ascii="Times New Roman" w:hAnsi="Times New Roman"/>
          <w:bCs/>
          <w:sz w:val="24"/>
          <w:szCs w:val="24"/>
          <w:lang w:eastAsia="pl-PL"/>
        </w:rPr>
        <w:t>systemie pieczy zastępczej (Dz. </w:t>
      </w:r>
      <w:r w:rsidRPr="006753A4">
        <w:rPr>
          <w:rFonts w:ascii="Times New Roman" w:hAnsi="Times New Roman"/>
          <w:bCs/>
          <w:sz w:val="24"/>
          <w:szCs w:val="24"/>
          <w:lang w:eastAsia="pl-PL"/>
        </w:rPr>
        <w:t>U. z 2020 r. poz. 821 z późn. zm.);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6" w:anchor="/document/17219697?cm=DOCUMENT" w:history="1">
        <w:r w:rsidRPr="006753A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sz w:val="24"/>
          <w:szCs w:val="24"/>
          <w:lang w:eastAsia="pl-PL"/>
        </w:rPr>
        <w:t xml:space="preserve"> z dnia 29 lipca 2005 r. o przeciwdziałaniu przemocy w rodzinie (</w:t>
      </w:r>
      <w:r>
        <w:rPr>
          <w:rFonts w:ascii="Times New Roman" w:hAnsi="Times New Roman"/>
          <w:sz w:val="24"/>
          <w:szCs w:val="24"/>
          <w:lang w:eastAsia="pl-PL"/>
        </w:rPr>
        <w:t>Dz. U. z 2021 </w:t>
      </w:r>
      <w:r w:rsidRPr="006753A4">
        <w:rPr>
          <w:rFonts w:ascii="Times New Roman" w:hAnsi="Times New Roman"/>
          <w:sz w:val="24"/>
          <w:szCs w:val="24"/>
          <w:lang w:eastAsia="pl-PL"/>
        </w:rPr>
        <w:t>r. poz. 1249);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hyperlink r:id="rId7" w:anchor="/document/17087802?cm=DOCUMENT" w:history="1">
        <w:r w:rsidRPr="006753A4">
          <w:rPr>
            <w:rStyle w:val="Hipercze"/>
            <w:rFonts w:ascii="Times New Roman" w:hAnsi="Times New Roman"/>
            <w:bCs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bCs/>
          <w:sz w:val="24"/>
          <w:szCs w:val="24"/>
          <w:lang w:eastAsia="pl-PL"/>
        </w:rPr>
        <w:t xml:space="preserve"> z dnia 12 marca 2004 r. o pomocy społecznej (Dz. U. z 2020 r. poz. 1876 z późn. zm.);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8" w:anchor="/document/16796239?cm=DOCUMENT" w:history="1">
        <w:r w:rsidRPr="006753A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sz w:val="24"/>
          <w:szCs w:val="24"/>
          <w:lang w:eastAsia="pl-PL"/>
        </w:rPr>
        <w:t xml:space="preserve"> z dnia 19 sierpnia 1994 r. o ochronie zdrowia psychicznego (Dz. U. z 2020 r. poz. 685);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9" w:anchor="/document/18240078?cm=DOCUMENT" w:history="1">
        <w:r w:rsidRPr="006753A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sz w:val="24"/>
          <w:szCs w:val="24"/>
          <w:lang w:eastAsia="pl-PL"/>
        </w:rPr>
        <w:t xml:space="preserve"> z dnia 11 września 2015 r. o zdrowiu publicznym (Dz. U. z 2021 r. poz. 183 </w:t>
      </w:r>
      <w:r>
        <w:rPr>
          <w:rFonts w:ascii="Times New Roman" w:hAnsi="Times New Roman"/>
          <w:sz w:val="24"/>
          <w:szCs w:val="24"/>
          <w:lang w:eastAsia="pl-PL"/>
        </w:rPr>
        <w:t>z </w:t>
      </w:r>
      <w:r w:rsidRPr="006753A4">
        <w:rPr>
          <w:rFonts w:ascii="Times New Roman" w:hAnsi="Times New Roman"/>
          <w:sz w:val="24"/>
          <w:szCs w:val="24"/>
          <w:lang w:eastAsia="pl-PL"/>
        </w:rPr>
        <w:t>późn. zm.);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0" w:anchor="/document/16791032?cm=DOCUMENT" w:history="1">
        <w:r w:rsidRPr="006753A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sz w:val="24"/>
          <w:szCs w:val="24"/>
          <w:lang w:eastAsia="pl-PL"/>
        </w:rPr>
        <w:t xml:space="preserve"> z dnia 26 października 1982 r. o wychowaniu w trzeźwości i przeciwdziałaniu alkoholizmowi (Dz. U. z 2021 r. poz. 1119);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1" w:anchor="/document/17219465?cm=DOCUMENT" w:history="1">
        <w:r w:rsidRPr="006753A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sz w:val="24"/>
          <w:szCs w:val="24"/>
          <w:lang w:eastAsia="pl-PL"/>
        </w:rPr>
        <w:t xml:space="preserve"> z dnia 29 lipca 2005 r. o przeciwdziałaniu narkomanii (</w:t>
      </w:r>
      <w:r>
        <w:rPr>
          <w:rFonts w:ascii="Times New Roman" w:hAnsi="Times New Roman"/>
          <w:sz w:val="24"/>
          <w:szCs w:val="24"/>
          <w:lang w:eastAsia="pl-PL"/>
        </w:rPr>
        <w:t>Dz. U. z 2020 r. poz. </w:t>
      </w:r>
      <w:r w:rsidRPr="006753A4">
        <w:rPr>
          <w:rFonts w:ascii="Times New Roman" w:hAnsi="Times New Roman"/>
          <w:sz w:val="24"/>
          <w:szCs w:val="24"/>
          <w:lang w:eastAsia="pl-PL"/>
        </w:rPr>
        <w:t>2050);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2" w:anchor="/document/16798906?cm=DOCUMENT" w:history="1">
        <w:r w:rsidRPr="006753A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sz w:val="24"/>
          <w:szCs w:val="24"/>
          <w:lang w:eastAsia="pl-PL"/>
        </w:rPr>
        <w:t xml:space="preserve"> z dnia 27 sierpnia 1997 r. o rehabilita</w:t>
      </w:r>
      <w:r>
        <w:rPr>
          <w:rFonts w:ascii="Times New Roman" w:hAnsi="Times New Roman"/>
          <w:sz w:val="24"/>
          <w:szCs w:val="24"/>
          <w:lang w:eastAsia="pl-PL"/>
        </w:rPr>
        <w:t>cji zawodowej i społecznej oraz </w:t>
      </w:r>
      <w:r w:rsidRPr="006753A4">
        <w:rPr>
          <w:rFonts w:ascii="Times New Roman" w:hAnsi="Times New Roman"/>
          <w:sz w:val="24"/>
          <w:szCs w:val="24"/>
          <w:lang w:eastAsia="pl-PL"/>
        </w:rPr>
        <w:t>zatrudnianiu osób niepełnosprawnych (Dz. U. z 2021 r. poz. 573);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3" w:anchor="/document/18558680?cm=DOCUMENT" w:history="1">
        <w:r w:rsidRPr="006753A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sz w:val="24"/>
          <w:szCs w:val="24"/>
          <w:lang w:eastAsia="pl-PL"/>
        </w:rPr>
        <w:t xml:space="preserve"> z dnia 14 grudnia 2016 r. - Prawo oświatowe (Dz. U. z 2021 r. poz. 1082);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4" w:anchor="/document/17091885?cm=DOCUMENT" w:history="1">
        <w:r w:rsidRPr="006753A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sz w:val="24"/>
          <w:szCs w:val="24"/>
          <w:lang w:eastAsia="pl-PL"/>
        </w:rPr>
        <w:t xml:space="preserve"> z dnia 20 kwietnia 2004 r. o promocji zatrudnienia i instytucjach rynku pracy (Dz. U. z 2021 r. poz. 1100 z późn. zm.);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5" w:anchor="/document/17040282?cm=DOCUMENT" w:history="1">
        <w:r w:rsidRPr="006753A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sz w:val="24"/>
          <w:szCs w:val="24"/>
          <w:lang w:eastAsia="pl-PL"/>
        </w:rPr>
        <w:t xml:space="preserve"> z dnia 13 czerwca 2003 r. o zatrudnieniu socjalnym (Dz. U. z 2020 r. poz. 176);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6" w:anchor="/document/16794454?cm=DOCUMENT" w:history="1">
        <w:r w:rsidRPr="006753A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sz w:val="24"/>
          <w:szCs w:val="24"/>
          <w:lang w:eastAsia="pl-PL"/>
        </w:rPr>
        <w:t xml:space="preserve"> z dnia 25 października 1991 r. o organizowaniu i prowadzeniu działalności kulturalnej (Dz. U. z 2020 r. poz.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753A4">
        <w:rPr>
          <w:rFonts w:ascii="Times New Roman" w:hAnsi="Times New Roman"/>
          <w:sz w:val="24"/>
          <w:szCs w:val="24"/>
          <w:lang w:eastAsia="pl-PL"/>
        </w:rPr>
        <w:t>194);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7" w:anchor="/document/17631344?cm=DOCUMENT" w:history="1">
        <w:r w:rsidRPr="006753A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sz w:val="24"/>
          <w:szCs w:val="24"/>
          <w:lang w:eastAsia="pl-PL"/>
        </w:rPr>
        <w:t xml:space="preserve"> z dnia 25 czerwca 2010 r. o sporcie (Dz. U. z 2020 r. poz. 1133);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8" w:anchor="/document/18235253?cm=DOCUMENT" w:history="1">
        <w:r w:rsidRPr="006753A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sz w:val="24"/>
          <w:szCs w:val="24"/>
          <w:lang w:eastAsia="pl-PL"/>
        </w:rPr>
        <w:t xml:space="preserve"> z dnia 9 października 2015 r. o rewitalizacji (Dz. U. z 2021 r. poz. 485);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9" w:anchor="/document/17688988?cm=DOCUMENT" w:history="1">
        <w:r w:rsidRPr="006753A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sz w:val="24"/>
          <w:szCs w:val="24"/>
          <w:lang w:eastAsia="pl-PL"/>
        </w:rPr>
        <w:t xml:space="preserve"> z dnia 4 lutego 2011 r. o opiece nad dziećmi w wieku do lat 3 (Dz. U. z 2021 r. poz. 75 z późn. zm.);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20" w:anchor="/document/18153356?cm=DOCUMENT" w:history="1">
        <w:r w:rsidRPr="006753A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6753A4">
        <w:rPr>
          <w:rFonts w:ascii="Times New Roman" w:hAnsi="Times New Roman"/>
          <w:sz w:val="24"/>
          <w:szCs w:val="24"/>
          <w:lang w:eastAsia="pl-PL"/>
        </w:rPr>
        <w:t xml:space="preserve"> z dnia 5 grudnia 2014 r. o Karcie Dużej Rodziny (Dz. U. z 2020 r. poz. 1348 </w:t>
      </w:r>
      <w:r>
        <w:rPr>
          <w:rFonts w:ascii="Times New Roman" w:hAnsi="Times New Roman"/>
          <w:sz w:val="24"/>
          <w:szCs w:val="24"/>
          <w:lang w:eastAsia="pl-PL"/>
        </w:rPr>
        <w:t>z </w:t>
      </w:r>
      <w:r w:rsidRPr="006753A4">
        <w:rPr>
          <w:rFonts w:ascii="Times New Roman" w:hAnsi="Times New Roman"/>
          <w:sz w:val="24"/>
          <w:szCs w:val="24"/>
          <w:lang w:eastAsia="pl-PL"/>
        </w:rPr>
        <w:t>późn. zm.);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753A4">
        <w:rPr>
          <w:rFonts w:ascii="Times New Roman" w:hAnsi="Times New Roman"/>
          <w:sz w:val="24"/>
          <w:szCs w:val="24"/>
          <w:lang w:eastAsia="pl-PL"/>
        </w:rPr>
        <w:t>ustawy z dnia 4 listopada 2016 r. o wspieraniu kobiet w ciąży i rodzin „Za życiem</w:t>
      </w:r>
      <w:r>
        <w:rPr>
          <w:rFonts w:ascii="Times New Roman" w:hAnsi="Times New Roman"/>
          <w:sz w:val="24"/>
          <w:szCs w:val="24"/>
          <w:lang w:eastAsia="pl-PL"/>
        </w:rPr>
        <w:t>” (Dz. </w:t>
      </w:r>
      <w:r w:rsidRPr="006753A4">
        <w:rPr>
          <w:rFonts w:ascii="Times New Roman" w:hAnsi="Times New Roman"/>
          <w:sz w:val="24"/>
          <w:szCs w:val="24"/>
          <w:lang w:eastAsia="pl-PL"/>
        </w:rPr>
        <w:t>U. z 2020 r. poz. 1329);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753A4">
        <w:rPr>
          <w:rFonts w:ascii="Times New Roman" w:hAnsi="Times New Roman"/>
          <w:sz w:val="24"/>
          <w:szCs w:val="24"/>
        </w:rPr>
        <w:t>ustawy z dnia 23 października 2018 r. o Funduszu Solidarnościowym (Dz. U. z 2020 r. poz. 1787 z późn. zm.);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753A4">
        <w:rPr>
          <w:rFonts w:ascii="Times New Roman" w:hAnsi="Times New Roman"/>
          <w:sz w:val="24"/>
          <w:szCs w:val="24"/>
          <w:lang w:eastAsia="pl-PL"/>
        </w:rPr>
        <w:t>uchwały nr 767/21 Rady Miasta Torunia z dnia 16 grudnia 2021 r. w sprawie utworzenia jednostki budżetowej pod nazwą „Toruńskie Centrum Usług Społecznych”;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753A4">
        <w:rPr>
          <w:rFonts w:ascii="Times New Roman" w:hAnsi="Times New Roman"/>
          <w:sz w:val="24"/>
          <w:szCs w:val="24"/>
          <w:lang w:eastAsia="pl-PL"/>
        </w:rPr>
        <w:t>niniejszego statutu;</w:t>
      </w:r>
    </w:p>
    <w:p w:rsidR="00BD643F" w:rsidRPr="006753A4" w:rsidRDefault="00BD643F" w:rsidP="00BD643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right="14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753A4">
        <w:rPr>
          <w:rFonts w:ascii="Times New Roman" w:hAnsi="Times New Roman"/>
          <w:sz w:val="24"/>
          <w:szCs w:val="24"/>
          <w:lang w:eastAsia="pl-PL"/>
        </w:rPr>
        <w:t>innych obowiązujących aktów prawnych.</w:t>
      </w:r>
    </w:p>
    <w:p w:rsidR="00BD643F" w:rsidRPr="006753A4" w:rsidRDefault="00BD643F" w:rsidP="00BD643F">
      <w:pPr>
        <w:pStyle w:val="Akapitzlist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 xml:space="preserve">§ 4. Centrum realizuje usługi społeczne będące zadaniami gminy i powiatu (własnymi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 z 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zakresu administracji rządowej zleconymi gminie i powiatowi).</w:t>
      </w:r>
    </w:p>
    <w:p w:rsidR="00BD643F" w:rsidRPr="006753A4" w:rsidRDefault="00BD643F" w:rsidP="00BD64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 xml:space="preserve">§ 5. Celem działania Centrum jest podejmowanie działań w celu zaspokajania potrzeb świadczonych na rzecz osób, rodzin, grup społecznych, grup mieszkańców lub ogółu mieszkańców. </w:t>
      </w:r>
    </w:p>
    <w:p w:rsidR="00BD643F" w:rsidRPr="006753A4" w:rsidRDefault="00BD643F" w:rsidP="00BD643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right="14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Rozdział 2</w:t>
      </w:r>
    </w:p>
    <w:p w:rsidR="00BD643F" w:rsidRPr="006753A4" w:rsidRDefault="00BD643F" w:rsidP="00BD643F">
      <w:pPr>
        <w:pStyle w:val="Bezodstpw"/>
        <w:ind w:right="14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Rodzaj i zakres zadań oraz przedmiot działalności Centrum</w:t>
      </w:r>
    </w:p>
    <w:p w:rsidR="00BD643F" w:rsidRPr="006753A4" w:rsidRDefault="00BD643F" w:rsidP="00BD643F">
      <w:pPr>
        <w:pStyle w:val="Bezodstpw"/>
        <w:ind w:right="14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 xml:space="preserve">§ 6. 1. Centrum realizuje zadania: </w:t>
      </w:r>
    </w:p>
    <w:p w:rsidR="00BD643F" w:rsidRPr="006753A4" w:rsidRDefault="00BD643F" w:rsidP="00BD643F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z zakresu: pomocy społecznej, wsparcia osób starszych, niesamodzielnych, prowadzenia lub nadzoru nad prowadzeniem dziennych domów pomocy społecznej, dziennych domów pobytu, klubów seniora, realizacji działań na rzecz seniorów;</w:t>
      </w:r>
    </w:p>
    <w:p w:rsidR="00BD643F" w:rsidRPr="006753A4" w:rsidRDefault="00BD643F" w:rsidP="00BD643F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z zakresu: wspierania rodziny, prowadzenia Toruńskiego Klubu dla Rodzin, poradnictwa specjalistycznego (psychologiczne, psychiatryczne, prawne, logopedyczne, terapeutyczne), warsztatów, grup wsparcia, animacji, koordynowania Programu Rodzina Razem - Toruń dla Pokoleń;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D643F" w:rsidRPr="006753A4" w:rsidRDefault="00BD643F" w:rsidP="00BD643F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z zakresu: pieczy zastępczej, poradnictwa specjalistycznego dla rodzin zastępczych (psychologiczne, psychiatryczne, logopedyczne, pedagogiczne, terapeutyczne), prowadzenia warsztatów dla dzieci przebywających w pieczy zastępczej, grup wsparcia dla rodziców zastępczych, koordynowania działań w ramach Centrum Wspierania Rodzin;</w:t>
      </w:r>
    </w:p>
    <w:p w:rsidR="00BD643F" w:rsidRPr="006753A4" w:rsidRDefault="00BD643F" w:rsidP="00BD643F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z zakresu: wspierania osób niepełnosprawnych, współpracy z organizacjami pozarządowymi działającymi na rzecz osób z niepełnosprawnościami, prowadzenia działań w ramach Programu „Opieka wytchnieniowa” i Programu „Asystent Osobisty Osoby Niepełnosprawnej”;</w:t>
      </w:r>
    </w:p>
    <w:p w:rsidR="00BD643F" w:rsidRPr="006753A4" w:rsidRDefault="00BD643F" w:rsidP="00BD643F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z zakresu: reintegracji społecznej i zawodowej, prowadzenia Klubu Integracji Społecznej, dotowania i nadzór nad prowadzeniem Centrum Integracji Społecznej, konsultacj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i 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 xml:space="preserve">doradztwa, organizowania staży i wymiany doświadczeń, tworzenia sieci wsparcia społecznego, a także tworzenia i udostępniania infrastruktury służącej zapewnianiu dostępu do ww. usług (np. portale, platformy, fora, współdzielone zasoby różnych typów, treningi autoprezentacji). Prowadzenie działań społecznie aktywizujących - inicjatywy sąsiedzkie, międzypokoleniowe, upowszechnianie wolontariatu, akcje i kampanie społeczne, partycypacja – podejmowanie działań służących zwiększeniu otwartości 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społecznej na obywateli, zwiększanie świadomości społecznej na temat roli i znaczenia sektora obywatelskiego oraz potrzeby włączania się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jego wspieranie, koordynacja i 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organizacja Centrów Aktywności Lokalnej.</w:t>
      </w: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2. Przedmiot działalności Centrum obejmuje koordynację oraz zaspokajanie potrzeb wspólnoty samorządowej w zakresie realizacji zadań wymienionych w niniejszym statucie oraz wynikających z obowiązujących przepisów prawa.</w:t>
      </w: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. Centrum opracowuje i realizuje programy i projekty z obszaru swojego działania, wynikające ze strategii rozwiązywania problemów społecznych, z uwzględnieniem pozyskiwania dofinansowania ze środków funduszy europejskich, krajowych i innych oraz realizuje programy rządowe z tego zakresu.</w:t>
      </w: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. W realizacji zadań Centrum współdziała w szczególności z organami administracji rządowej, samorządowej, stowarzyszeniami, fundacjami, kościołami, związkami wyznaniowymi, jednostkami organizacyjnymi wspierania rodziny i systemu pieczy zastępczej oraz innymi podmiotami działającymi w obszarze polityki społecznej, ze szczególnym uwzględnieniem podmiotów ekonomii społecznej.</w:t>
      </w:r>
    </w:p>
    <w:p w:rsidR="00BD643F" w:rsidRPr="006753A4" w:rsidRDefault="00BD643F" w:rsidP="00BD643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Rozdział 3</w:t>
      </w:r>
    </w:p>
    <w:p w:rsidR="00BD643F" w:rsidRPr="006753A4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Zarządzanie Centrum</w:t>
      </w:r>
    </w:p>
    <w:p w:rsidR="00BD643F" w:rsidRPr="006753A4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9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. 1. Dyrektor kieruje Centrum i reprezentuje je na zewnątrz oraz ponosi odpowiedzialność za prawidłowe jego funkcjonowanie.</w:t>
      </w: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2. Dyrektor kieruje Centrum na podstawie pełnomocnictwa udzielonego przez Prezydenta Miasta Torunia i w tym zakresie samodzielnie podejmuje czynności dotyczące Centrum oraz ponosi za nie odpowiedzialność.</w:t>
      </w: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3. Centrum jest pracodawcą w rozumieniu przepisów prawa pracy, a dyrektor Centrum wykonuje czynności z zakresu prawa pracy.</w:t>
      </w:r>
    </w:p>
    <w:p w:rsidR="00BD643F" w:rsidRPr="006753A4" w:rsidRDefault="00BD643F" w:rsidP="00BD643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Rozdział 4</w:t>
      </w:r>
    </w:p>
    <w:p w:rsidR="00BD643F" w:rsidRPr="006753A4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Organizacja wewnętrzna</w:t>
      </w:r>
    </w:p>
    <w:p w:rsidR="00BD643F" w:rsidRPr="006753A4" w:rsidRDefault="00BD643F" w:rsidP="00BD643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firstLine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10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. 1. W ramach struktury Centrum wyodrębnia się następujące zespoły:</w:t>
      </w:r>
    </w:p>
    <w:p w:rsidR="00BD643F" w:rsidRPr="006753A4" w:rsidRDefault="00BD643F" w:rsidP="00BD643F">
      <w:pPr>
        <w:pStyle w:val="Bezodstpw"/>
        <w:numPr>
          <w:ilvl w:val="0"/>
          <w:numId w:val="3"/>
        </w:numPr>
        <w:ind w:left="567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do spraw organizowania usług społecznych;</w:t>
      </w:r>
    </w:p>
    <w:p w:rsidR="00BD643F" w:rsidRPr="006753A4" w:rsidRDefault="00BD643F" w:rsidP="00BD643F">
      <w:pPr>
        <w:pStyle w:val="Bezodstpw"/>
        <w:numPr>
          <w:ilvl w:val="0"/>
          <w:numId w:val="3"/>
        </w:numPr>
        <w:ind w:left="567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do spraw realizacji projektów dla seniorów i rodzin;</w:t>
      </w:r>
    </w:p>
    <w:p w:rsidR="00BD643F" w:rsidRPr="006753A4" w:rsidRDefault="00BD643F" w:rsidP="00BD643F">
      <w:pPr>
        <w:pStyle w:val="Bezodstpw"/>
        <w:numPr>
          <w:ilvl w:val="0"/>
          <w:numId w:val="3"/>
        </w:numPr>
        <w:ind w:left="567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do spraw realizacji projektów aktywizacyjno-integracyjnych;</w:t>
      </w:r>
    </w:p>
    <w:p w:rsidR="00BD643F" w:rsidRPr="006753A4" w:rsidRDefault="00BD643F" w:rsidP="00BD643F">
      <w:pPr>
        <w:pStyle w:val="Bezodstpw"/>
        <w:numPr>
          <w:ilvl w:val="0"/>
          <w:numId w:val="3"/>
        </w:numPr>
        <w:ind w:left="567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do spraw realizacji projektów inwestycyjnych i zadań zleconych;</w:t>
      </w:r>
    </w:p>
    <w:p w:rsidR="00BD643F" w:rsidRPr="006753A4" w:rsidRDefault="00BD643F" w:rsidP="00BD643F">
      <w:pPr>
        <w:pStyle w:val="Bezodstpw"/>
        <w:numPr>
          <w:ilvl w:val="0"/>
          <w:numId w:val="3"/>
        </w:numPr>
        <w:ind w:left="567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do spraw wsparcia osób z niepełnosprawnościami;</w:t>
      </w:r>
    </w:p>
    <w:p w:rsidR="00BD643F" w:rsidRPr="006753A4" w:rsidRDefault="00BD643F" w:rsidP="00BD643F">
      <w:pPr>
        <w:pStyle w:val="Bezodstpw"/>
        <w:numPr>
          <w:ilvl w:val="0"/>
          <w:numId w:val="3"/>
        </w:numPr>
        <w:ind w:left="567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 xml:space="preserve">Klub Integracji Społecznej. </w:t>
      </w:r>
    </w:p>
    <w:p w:rsidR="00BD643F" w:rsidRPr="006753A4" w:rsidRDefault="00BD643F" w:rsidP="00BD643F">
      <w:pPr>
        <w:pStyle w:val="Bezodstpw"/>
        <w:ind w:firstLine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2. W Centrum tworzy się stanowisko organizatora społeczności lokalnej.</w:t>
      </w:r>
    </w:p>
    <w:p w:rsidR="00BD643F" w:rsidRPr="006753A4" w:rsidRDefault="00BD643F" w:rsidP="00BD643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Rozdział 5</w:t>
      </w:r>
    </w:p>
    <w:p w:rsidR="00BD643F" w:rsidRPr="006753A4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Gospodarka finansowa</w:t>
      </w:r>
    </w:p>
    <w:p w:rsidR="00BD643F" w:rsidRPr="006753A4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. 1. Gospodarka finansowa Centrum prowadzona jest na zasadach określonych przez ustawę o finansach publicznych.</w:t>
      </w: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2. Dyrektor odpowiada za gospodarkę finansową Centrum.</w:t>
      </w:r>
    </w:p>
    <w:p w:rsidR="00BD643F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Rozdział 6</w:t>
      </w:r>
    </w:p>
    <w:p w:rsidR="00BD643F" w:rsidRPr="006753A4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Postanowienia końcowe</w:t>
      </w:r>
    </w:p>
    <w:p w:rsidR="00BD643F" w:rsidRPr="006753A4" w:rsidRDefault="00BD643F" w:rsidP="00BD643F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. 1. Dyrektor Centrum ponosi odpowiedzialność za przestrzeganie przepisów prawa i postanowień niniejszego statutu.</w:t>
      </w: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13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. Zmian w statucie dokonuje się w trybie określonym dla jego nadania.</w:t>
      </w:r>
    </w:p>
    <w:p w:rsidR="00BD643F" w:rsidRPr="006753A4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B1B" w:rsidRPr="00BD643F" w:rsidRDefault="00BD643F" w:rsidP="00BD643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14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. W sprawach nieuregulowanych w statucie mają zastosowanie odpowiednie postanowienia ustaw, o których mowa w 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3, przepisy wyk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onawcze do tych ustaw, ustawa z 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dnia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 czerwca 1974r. Kodeks Pracy (</w:t>
      </w:r>
      <w:r w:rsidRPr="006753A4">
        <w:rPr>
          <w:rFonts w:ascii="Times New Roman" w:eastAsia="Times New Roman" w:hAnsi="Times New Roman"/>
          <w:sz w:val="24"/>
          <w:szCs w:val="24"/>
          <w:lang w:eastAsia="pl-PL"/>
        </w:rPr>
        <w:t>Dz. U. z 2020 r. poz. 1320 z póź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n. zm.) oraz inne akty prawne. </w:t>
      </w:r>
    </w:p>
    <w:sectPr w:rsidR="00123B1B" w:rsidRPr="00BD643F" w:rsidSect="00487E0A">
      <w:endnotePr>
        <w:numFmt w:val="decimal"/>
      </w:endnotePr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3B99"/>
    <w:multiLevelType w:val="hybridMultilevel"/>
    <w:tmpl w:val="1C149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84572"/>
    <w:multiLevelType w:val="hybridMultilevel"/>
    <w:tmpl w:val="C0A4C962"/>
    <w:lvl w:ilvl="0" w:tplc="50962250">
      <w:start w:val="1"/>
      <w:numFmt w:val="decimal"/>
      <w:lvlText w:val="%1)"/>
      <w:lvlJc w:val="left"/>
      <w:pPr>
        <w:ind w:left="1387" w:hanging="360"/>
      </w:pPr>
    </w:lvl>
    <w:lvl w:ilvl="1" w:tplc="04150019">
      <w:start w:val="1"/>
      <w:numFmt w:val="lowerLetter"/>
      <w:lvlText w:val="%2."/>
      <w:lvlJc w:val="left"/>
      <w:pPr>
        <w:ind w:left="2107" w:hanging="360"/>
      </w:pPr>
    </w:lvl>
    <w:lvl w:ilvl="2" w:tplc="0415001B">
      <w:start w:val="1"/>
      <w:numFmt w:val="lowerRoman"/>
      <w:lvlText w:val="%3."/>
      <w:lvlJc w:val="right"/>
      <w:pPr>
        <w:ind w:left="2827" w:hanging="180"/>
      </w:pPr>
    </w:lvl>
    <w:lvl w:ilvl="3" w:tplc="0415000F">
      <w:start w:val="1"/>
      <w:numFmt w:val="decimal"/>
      <w:lvlText w:val="%4."/>
      <w:lvlJc w:val="left"/>
      <w:pPr>
        <w:ind w:left="3547" w:hanging="360"/>
      </w:pPr>
    </w:lvl>
    <w:lvl w:ilvl="4" w:tplc="04150019">
      <w:start w:val="1"/>
      <w:numFmt w:val="lowerLetter"/>
      <w:lvlText w:val="%5."/>
      <w:lvlJc w:val="left"/>
      <w:pPr>
        <w:ind w:left="4267" w:hanging="360"/>
      </w:pPr>
    </w:lvl>
    <w:lvl w:ilvl="5" w:tplc="0415001B">
      <w:start w:val="1"/>
      <w:numFmt w:val="lowerRoman"/>
      <w:lvlText w:val="%6."/>
      <w:lvlJc w:val="right"/>
      <w:pPr>
        <w:ind w:left="4987" w:hanging="180"/>
      </w:pPr>
    </w:lvl>
    <w:lvl w:ilvl="6" w:tplc="0415000F">
      <w:start w:val="1"/>
      <w:numFmt w:val="decimal"/>
      <w:lvlText w:val="%7."/>
      <w:lvlJc w:val="left"/>
      <w:pPr>
        <w:ind w:left="5707" w:hanging="360"/>
      </w:pPr>
    </w:lvl>
    <w:lvl w:ilvl="7" w:tplc="04150019">
      <w:start w:val="1"/>
      <w:numFmt w:val="lowerLetter"/>
      <w:lvlText w:val="%8."/>
      <w:lvlJc w:val="left"/>
      <w:pPr>
        <w:ind w:left="6427" w:hanging="360"/>
      </w:pPr>
    </w:lvl>
    <w:lvl w:ilvl="8" w:tplc="0415001B">
      <w:start w:val="1"/>
      <w:numFmt w:val="lowerRoman"/>
      <w:lvlText w:val="%9."/>
      <w:lvlJc w:val="right"/>
      <w:pPr>
        <w:ind w:left="7147" w:hanging="180"/>
      </w:pPr>
    </w:lvl>
  </w:abstractNum>
  <w:abstractNum w:abstractNumId="2" w15:restartNumberingAfterBreak="0">
    <w:nsid w:val="76946420"/>
    <w:multiLevelType w:val="hybridMultilevel"/>
    <w:tmpl w:val="A01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3F"/>
    <w:rsid w:val="00123B1B"/>
    <w:rsid w:val="00B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6FF7"/>
  <w15:chartTrackingRefBased/>
  <w15:docId w15:val="{13A1E095-4219-42DD-A9F0-270DD856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4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43F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BD643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BD6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2021-12-21T09:52:00Z</dcterms:created>
  <dcterms:modified xsi:type="dcterms:W3CDTF">2021-12-21T09:53:00Z</dcterms:modified>
</cp:coreProperties>
</file>