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A1" w:rsidRDefault="006176A1" w:rsidP="006176A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6176A1" w:rsidRDefault="006176A1" w:rsidP="006176A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777/21</w:t>
      </w:r>
    </w:p>
    <w:p w:rsidR="006176A1" w:rsidRDefault="006176A1" w:rsidP="006176A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6176A1" w:rsidRDefault="006176A1" w:rsidP="006176A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 grudnia 2021 r.</w:t>
      </w:r>
    </w:p>
    <w:p w:rsidR="006176A1" w:rsidRDefault="006176A1" w:rsidP="00617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6A1" w:rsidRDefault="006176A1" w:rsidP="006176A1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6176A1" w:rsidRDefault="006176A1" w:rsidP="00617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A1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Forgame sp. z o.o.</w:t>
      </w:r>
      <w:r>
        <w:rPr>
          <w:rFonts w:ascii="Times New Roman" w:hAnsi="Times New Roman" w:cs="Times New Roman"/>
          <w:sz w:val="24"/>
          <w:szCs w:val="24"/>
        </w:rPr>
        <w:t xml:space="preserve"> w Poznaniu zwróciła się z wnioskiem z dnia 4 listopada 2021 r. o wydanie opinii o lokalizacji kasyna gry w Toruniu przy ul. Wola Zamkowa 2-6, który wpłynął do Rady Miasta Torunia 5 listopada 2021 r.</w:t>
      </w:r>
    </w:p>
    <w:p w:rsidR="006176A1" w:rsidRPr="005605BF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Zgodnie z art. 35 ust. 15 ustawy z dnia 19 listopada 2009r.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2021r. poz. 802 i poz. 815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 w:rsidRPr="005605BF">
        <w:rPr>
          <w:rFonts w:ascii="Times New Roman" w:hAnsi="Times New Roman" w:cs="Times New Roman"/>
          <w:sz w:val="24"/>
          <w:szCs w:val="24"/>
        </w:rPr>
        <w:t xml:space="preserve">Na 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6176A1" w:rsidRPr="00400529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6176A1" w:rsidRPr="00B21704" w:rsidRDefault="006176A1" w:rsidP="00617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6A1" w:rsidRPr="00352386" w:rsidRDefault="006176A1" w:rsidP="006176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6176A1" w:rsidRPr="00C2184A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>omorskiego limit dozwolonych koncesji na prowadzenie koncesji wynosi trzy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w 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2022r. wygasa koncesja Ministra Finansów z dnia 5 lipca 2016r.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6A1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6A1" w:rsidRPr="00FF45E7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</w:t>
      </w:r>
      <w:r>
        <w:rPr>
          <w:rFonts w:ascii="Times New Roman" w:hAnsi="Times New Roman" w:cs="Times New Roman"/>
          <w:sz w:val="24"/>
          <w:szCs w:val="24"/>
        </w:rPr>
        <w:t>w sąsiednich, np. </w:t>
      </w:r>
      <w:r w:rsidRPr="00FF45E7">
        <w:rPr>
          <w:rFonts w:ascii="Times New Roman" w:hAnsi="Times New Roman" w:cs="Times New Roman"/>
          <w:sz w:val="24"/>
          <w:szCs w:val="24"/>
        </w:rPr>
        <w:t xml:space="preserve">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6176A1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6A1" w:rsidRPr="00106B08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</w:t>
      </w:r>
      <w:r>
        <w:rPr>
          <w:rFonts w:ascii="Times New Roman" w:hAnsi="Times New Roman" w:cs="Times New Roman"/>
          <w:sz w:val="24"/>
          <w:szCs w:val="24"/>
        </w:rPr>
        <w:t xml:space="preserve"> i poz. 1834</w:t>
      </w:r>
      <w:r w:rsidRPr="00106B08">
        <w:rPr>
          <w:rFonts w:ascii="Times New Roman" w:hAnsi="Times New Roman" w:cs="Times New Roman"/>
          <w:sz w:val="24"/>
          <w:szCs w:val="24"/>
        </w:rPr>
        <w:t>) do wyłącznej właściwości rady gm</w:t>
      </w:r>
      <w:r>
        <w:rPr>
          <w:rFonts w:ascii="Times New Roman" w:hAnsi="Times New Roman" w:cs="Times New Roman"/>
          <w:sz w:val="24"/>
          <w:szCs w:val="24"/>
        </w:rPr>
        <w:t>iny należy m. in. stanowienie w </w:t>
      </w:r>
      <w:r w:rsidRPr="00106B08">
        <w:rPr>
          <w:rFonts w:ascii="Times New Roman" w:hAnsi="Times New Roman" w:cs="Times New Roman"/>
          <w:sz w:val="24"/>
          <w:szCs w:val="24"/>
        </w:rPr>
        <w:t>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B1B" w:rsidRPr="006176A1" w:rsidRDefault="006176A1" w:rsidP="006176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123B1B" w:rsidRPr="0061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1"/>
    <w:rsid w:val="00123B1B"/>
    <w:rsid w:val="006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42AB9"/>
  <w15:chartTrackingRefBased/>
  <w15:docId w15:val="{97DA57B9-F40D-4738-9DFF-446D9B2C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A1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176A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176A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2021-12-21T10:19:00Z</dcterms:created>
  <dcterms:modified xsi:type="dcterms:W3CDTF">2021-12-21T10:20:00Z</dcterms:modified>
</cp:coreProperties>
</file>