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02" w:rsidRPr="008536CF" w:rsidRDefault="00757802" w:rsidP="00757802">
      <w:pPr>
        <w:pStyle w:val="Nagwek5"/>
        <w:spacing w:before="0" w:line="240" w:lineRule="auto"/>
        <w:ind w:firstLine="6237"/>
        <w:jc w:val="both"/>
        <w:rPr>
          <w:b w:val="0"/>
          <w:bCs w:val="0"/>
          <w:sz w:val="22"/>
          <w:szCs w:val="22"/>
        </w:rPr>
      </w:pPr>
      <w:bookmarkStart w:id="0" w:name="_GoBack"/>
      <w:bookmarkEnd w:id="0"/>
      <w:r w:rsidRPr="008536CF">
        <w:rPr>
          <w:b w:val="0"/>
          <w:bCs w:val="0"/>
          <w:sz w:val="22"/>
          <w:szCs w:val="22"/>
        </w:rPr>
        <w:t>Załącznik</w:t>
      </w:r>
    </w:p>
    <w:p w:rsidR="00757802" w:rsidRPr="008536CF" w:rsidRDefault="00757802" w:rsidP="00757802">
      <w:pPr>
        <w:pStyle w:val="Nagwek5"/>
        <w:spacing w:before="0" w:line="240" w:lineRule="auto"/>
        <w:ind w:firstLine="6237"/>
        <w:jc w:val="both"/>
        <w:rPr>
          <w:b w:val="0"/>
          <w:sz w:val="22"/>
          <w:szCs w:val="22"/>
        </w:rPr>
      </w:pPr>
      <w:r w:rsidRPr="008536CF">
        <w:rPr>
          <w:b w:val="0"/>
          <w:sz w:val="22"/>
          <w:szCs w:val="22"/>
        </w:rPr>
        <w:t xml:space="preserve">do uchwały nr </w:t>
      </w:r>
      <w:r>
        <w:rPr>
          <w:b w:val="0"/>
          <w:sz w:val="22"/>
          <w:szCs w:val="22"/>
        </w:rPr>
        <w:t>802/22</w:t>
      </w:r>
    </w:p>
    <w:p w:rsidR="00757802" w:rsidRPr="008536CF" w:rsidRDefault="00757802" w:rsidP="00757802">
      <w:pPr>
        <w:ind w:firstLine="6237"/>
        <w:rPr>
          <w:sz w:val="22"/>
          <w:szCs w:val="22"/>
          <w:lang w:eastAsia="pl-PL"/>
        </w:rPr>
      </w:pPr>
      <w:r w:rsidRPr="008536CF">
        <w:rPr>
          <w:sz w:val="22"/>
          <w:szCs w:val="22"/>
          <w:lang w:eastAsia="pl-PL"/>
        </w:rPr>
        <w:t>Rady Miasta Torunia</w:t>
      </w:r>
    </w:p>
    <w:p w:rsidR="00757802" w:rsidRPr="008536CF" w:rsidRDefault="00757802" w:rsidP="00757802">
      <w:pPr>
        <w:ind w:firstLine="6237"/>
        <w:rPr>
          <w:sz w:val="22"/>
          <w:szCs w:val="22"/>
          <w:lang w:eastAsia="pl-PL"/>
        </w:rPr>
      </w:pPr>
      <w:r w:rsidRPr="008536CF">
        <w:rPr>
          <w:sz w:val="22"/>
          <w:szCs w:val="22"/>
          <w:lang w:eastAsia="pl-PL"/>
        </w:rPr>
        <w:t xml:space="preserve">z dnia </w:t>
      </w:r>
      <w:r>
        <w:rPr>
          <w:sz w:val="22"/>
          <w:szCs w:val="22"/>
          <w:lang w:eastAsia="pl-PL"/>
        </w:rPr>
        <w:t>27 stycznia 2022 r.</w:t>
      </w:r>
    </w:p>
    <w:p w:rsidR="00F3682B" w:rsidRPr="00092C18" w:rsidRDefault="00F3682B" w:rsidP="00F3682B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</w:p>
    <w:p w:rsidR="00F3682B" w:rsidRPr="00092C18" w:rsidRDefault="00F3682B" w:rsidP="00F3682B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092C18">
        <w:rPr>
          <w:b w:val="0"/>
          <w:bCs w:val="0"/>
          <w:sz w:val="24"/>
          <w:szCs w:val="24"/>
        </w:rPr>
        <w:t>UZASADNIENIE</w:t>
      </w:r>
    </w:p>
    <w:p w:rsidR="00F3682B" w:rsidRPr="00092C18" w:rsidRDefault="00F3682B" w:rsidP="00F3682B">
      <w:r w:rsidRPr="00092C18">
        <w:t xml:space="preserve"> </w:t>
      </w:r>
    </w:p>
    <w:p w:rsidR="00F3682B" w:rsidRPr="00092C18" w:rsidRDefault="00F3682B" w:rsidP="00F3682B">
      <w:pPr>
        <w:ind w:firstLine="851"/>
        <w:jc w:val="both"/>
      </w:pPr>
      <w:r>
        <w:t>29</w:t>
      </w:r>
      <w:r w:rsidRPr="00092C18">
        <w:t xml:space="preserve"> </w:t>
      </w:r>
      <w:r>
        <w:t xml:space="preserve">listopada </w:t>
      </w:r>
      <w:r w:rsidRPr="00092C18">
        <w:t>2021</w:t>
      </w:r>
      <w:r>
        <w:t xml:space="preserve"> </w:t>
      </w:r>
      <w:r w:rsidRPr="00092C18">
        <w:t xml:space="preserve">r. </w:t>
      </w:r>
      <w:r>
        <w:t xml:space="preserve">Zastępca Prezydenta Miasta Torunia i 3 grudnia 2021 r. Wojewoda Kujawsko-Pomorski przekazali </w:t>
      </w:r>
      <w:r w:rsidRPr="00092C18">
        <w:t>do Rady Miasta Torunia skarg</w:t>
      </w:r>
      <w:r>
        <w:t>ę</w:t>
      </w:r>
      <w:r w:rsidRPr="00092C18">
        <w:t xml:space="preserve"> </w:t>
      </w:r>
      <w:r>
        <w:t xml:space="preserve">tej samej treści </w:t>
      </w:r>
      <w:r w:rsidR="0081514D">
        <w:t>z </w:t>
      </w:r>
      <w:r>
        <w:t>21</w:t>
      </w:r>
      <w:r w:rsidR="0081514D">
        <w:t> </w:t>
      </w:r>
      <w:r>
        <w:t xml:space="preserve">listopada 2021 r. </w:t>
      </w:r>
      <w:r w:rsidRPr="00092C18">
        <w:t xml:space="preserve">na </w:t>
      </w:r>
      <w:r>
        <w:t>Dyrektora Powiatowego Urzędu Pracy dla Miasta Torunia</w:t>
      </w:r>
      <w:r w:rsidRPr="00092C18">
        <w:t xml:space="preserve">. </w:t>
      </w:r>
    </w:p>
    <w:p w:rsidR="00F3682B" w:rsidRPr="00092C18" w:rsidRDefault="00F3682B" w:rsidP="00F3682B">
      <w:pPr>
        <w:ind w:firstLine="851"/>
        <w:jc w:val="both"/>
      </w:pPr>
      <w:r w:rsidRPr="00092C18">
        <w:t xml:space="preserve">Przewodniczący Rady Miasta Torunia przekazał ją do Komisji </w:t>
      </w:r>
      <w:r w:rsidR="0081514D">
        <w:t>Skarg, Wniosków i </w:t>
      </w:r>
      <w:r w:rsidRPr="00092C18">
        <w:t>Petycji Rady Miasta Torunia celem jej zbadania i przygotowania projektu uchwały Rady rozstrzygającej zasadność skargi.</w:t>
      </w:r>
    </w:p>
    <w:p w:rsidR="00F3682B" w:rsidRPr="00092C18" w:rsidRDefault="00F3682B" w:rsidP="00F3682B">
      <w:pPr>
        <w:tabs>
          <w:tab w:val="num" w:pos="360"/>
        </w:tabs>
        <w:ind w:firstLine="851"/>
        <w:jc w:val="both"/>
      </w:pPr>
      <w:r w:rsidRPr="00092C18">
        <w:t xml:space="preserve">Na podstawie art. 18 ust. 2 pkt 15 ustawy z dnia </w:t>
      </w:r>
      <w:r w:rsidRPr="00092C18">
        <w:rPr>
          <w:rStyle w:val="h2"/>
        </w:rPr>
        <w:t>8 marca 1990</w:t>
      </w:r>
      <w:r>
        <w:rPr>
          <w:rStyle w:val="h2"/>
        </w:rPr>
        <w:t xml:space="preserve"> </w:t>
      </w:r>
      <w:r w:rsidRPr="00092C18">
        <w:rPr>
          <w:rStyle w:val="h2"/>
        </w:rPr>
        <w:t>r.</w:t>
      </w:r>
      <w:r w:rsidRPr="00092C18">
        <w:t xml:space="preserve"> o samorządzie gminnym (</w:t>
      </w:r>
      <w:r w:rsidRPr="00F3682B">
        <w:rPr>
          <w:rStyle w:val="CharStyle15"/>
          <w:i w:val="0"/>
          <w:sz w:val="24"/>
          <w:szCs w:val="24"/>
        </w:rPr>
        <w:t>Dz. U.</w:t>
      </w:r>
      <w:r w:rsidRPr="00092C18">
        <w:rPr>
          <w:rStyle w:val="CharStyle15"/>
          <w:sz w:val="24"/>
          <w:szCs w:val="24"/>
        </w:rPr>
        <w:t xml:space="preserve"> </w:t>
      </w:r>
      <w:r w:rsidRPr="00092C18">
        <w:t>z 2021</w:t>
      </w:r>
      <w:r>
        <w:t xml:space="preserve"> </w:t>
      </w:r>
      <w:r w:rsidRPr="00092C18">
        <w:t>r. poz. 1372 i poz. 1834) oraz art. 227 w</w:t>
      </w:r>
      <w:r w:rsidR="0081514D">
        <w:t xml:space="preserve"> zw. z art. 229 pkt 3 oraz art. </w:t>
      </w:r>
      <w:r w:rsidRPr="00092C18">
        <w:t>238 § 1 ustawy z dnia 14 czerwca 1960</w:t>
      </w:r>
      <w:r>
        <w:t xml:space="preserve"> </w:t>
      </w:r>
      <w:r w:rsidRPr="00092C18">
        <w:t>r. Kodeks postępowania administracyjnego (Dz. U. z 2021</w:t>
      </w:r>
      <w:r>
        <w:t xml:space="preserve"> </w:t>
      </w:r>
      <w:r w:rsidRPr="00092C18">
        <w:t>r. poz. 735, poz. 1491 i poz. 2052) do rozpatrzeni</w:t>
      </w:r>
      <w:r w:rsidR="0081514D">
        <w:t>a skargi na prezydenta miasta i </w:t>
      </w:r>
      <w:r w:rsidRPr="00092C18">
        <w:t>kierowników gminnych jednostek organizacyjnych właściwa jest rada gminy.</w:t>
      </w:r>
    </w:p>
    <w:p w:rsidR="00F3682B" w:rsidRPr="00092C18" w:rsidRDefault="00F3682B" w:rsidP="00F3682B">
      <w:pPr>
        <w:tabs>
          <w:tab w:val="num" w:pos="360"/>
        </w:tabs>
        <w:ind w:firstLine="851"/>
        <w:jc w:val="both"/>
      </w:pPr>
      <w:r w:rsidRPr="00092C18">
        <w:t xml:space="preserve">Przedmiotem skargi jest, zdaniem Skarżącego, </w:t>
      </w:r>
      <w:r>
        <w:t>niewłaściwe funkcjonowanie Powiatowego Urzędu Pracy dla Miasta Torunia, czego doświadczył osobiście</w:t>
      </w:r>
      <w:r w:rsidRPr="00092C18">
        <w:t>.</w:t>
      </w:r>
    </w:p>
    <w:p w:rsidR="00F3682B" w:rsidRDefault="00F3682B" w:rsidP="00F3682B">
      <w:pPr>
        <w:tabs>
          <w:tab w:val="num" w:pos="360"/>
        </w:tabs>
        <w:ind w:firstLine="851"/>
        <w:jc w:val="both"/>
      </w:pPr>
      <w:r w:rsidRPr="00092C18">
        <w:rPr>
          <w:color w:val="000000"/>
        </w:rPr>
        <w:t>Po zapoznaniu się ze skargą</w:t>
      </w:r>
      <w:r>
        <w:rPr>
          <w:color w:val="000000"/>
        </w:rPr>
        <w:t>,</w:t>
      </w:r>
      <w:r w:rsidRPr="00092C18">
        <w:rPr>
          <w:color w:val="000000"/>
        </w:rPr>
        <w:t xml:space="preserve"> wyjaśnieniami złożonymi przez </w:t>
      </w:r>
      <w:r w:rsidRPr="00092C18">
        <w:t xml:space="preserve">Dyrektora </w:t>
      </w:r>
      <w:r>
        <w:t>Powiatowego Urzędu Pracy dla Miasta Torunia</w:t>
      </w:r>
      <w:r w:rsidRPr="00092C18">
        <w:t xml:space="preserve"> z </w:t>
      </w:r>
      <w:r>
        <w:t>7</w:t>
      </w:r>
      <w:r w:rsidRPr="00092C18">
        <w:t xml:space="preserve"> </w:t>
      </w:r>
      <w:r>
        <w:t>grudnia</w:t>
      </w:r>
      <w:r w:rsidRPr="00092C18">
        <w:t xml:space="preserve"> 2021</w:t>
      </w:r>
      <w:r>
        <w:t xml:space="preserve"> </w:t>
      </w:r>
      <w:r w:rsidRPr="00092C18">
        <w:t xml:space="preserve">r. </w:t>
      </w:r>
      <w:r>
        <w:t xml:space="preserve">oraz wyjaśnieniami Zastępcy Prezydenta Miasta Torunia z 10 grudnia 2021 r. </w:t>
      </w:r>
      <w:r w:rsidRPr="00092C18">
        <w:t>Komisja Skarg, Wniosków i Petycji ustaliła na</w:t>
      </w:r>
      <w:r>
        <w:t>,</w:t>
      </w:r>
      <w:r w:rsidRPr="00092C18">
        <w:t xml:space="preserve"> posiedzeniu w dniu </w:t>
      </w:r>
      <w:r>
        <w:t>19</w:t>
      </w:r>
      <w:r w:rsidRPr="00092C18">
        <w:t xml:space="preserve"> </w:t>
      </w:r>
      <w:r>
        <w:t>stycznia</w:t>
      </w:r>
      <w:r w:rsidRPr="00092C18">
        <w:t xml:space="preserve"> 202</w:t>
      </w:r>
      <w:r>
        <w:t xml:space="preserve">2 </w:t>
      </w:r>
      <w:r w:rsidRPr="00092C18">
        <w:t xml:space="preserve">r., iż </w:t>
      </w:r>
      <w:r>
        <w:t>niekompletny wniosek o rejestrację jako osoby bezrobotnej w Powiatowym Urzędzie Pracy dla Miasta Torunia Skarżący, za pośrednictwem portalu praca.gov.pl, złożył 17 sierpnia 2021 r. W związku z trzykrotnie uzupełnianym wnioskiem (1 września 2021 r., 8 września 2021 r. oraz 15 września 2021 r. o godz. 20:03) decyzja o rejestracji wydana została dopiero 17.09.2021 r. z datą złożenia wniosku o rejestrację. Skarżącemu odmówiono prawa do zasiłku dla bezrobotnyc</w:t>
      </w:r>
      <w:r w:rsidR="0081514D">
        <w:t>h z uwagi na to, że w okresie 6 </w:t>
      </w:r>
      <w:r>
        <w:t>miesięcy przed rejestracją Skarżący rozwiązał stosunek pracy na mocy porozumienia stron. Tego dnia został Skarżącemu wyznaczony termin wizyty u doradcy klienta w dniu 8</w:t>
      </w:r>
      <w:r w:rsidR="0081514D">
        <w:t> </w:t>
      </w:r>
      <w:r>
        <w:t>października 2021 r.</w:t>
      </w:r>
    </w:p>
    <w:p w:rsidR="00F3682B" w:rsidRDefault="00F3682B" w:rsidP="00F3682B">
      <w:pPr>
        <w:ind w:firstLine="851"/>
        <w:jc w:val="both"/>
      </w:pPr>
      <w:r>
        <w:t xml:space="preserve">W Powiatowym Urzędzie Pracy dla Miasta Torunia doradcy klienta obsługują klientów zgodnie z podziałem literowym co oznacza, że każdy doradca opiekuje się grupą około 390 klientów. W przypadku nieobecności w pracy danego doradcy klienta, doraźną obsługę przejmuje inny doradca klienta. </w:t>
      </w:r>
    </w:p>
    <w:p w:rsidR="00F3682B" w:rsidRDefault="00F3682B" w:rsidP="00F3682B">
      <w:pPr>
        <w:ind w:firstLine="851"/>
        <w:jc w:val="both"/>
      </w:pPr>
      <w:r>
        <w:t xml:space="preserve">Skarżący stawił się w wyznaczonym terminie jednak ze względu na nieobecność obsługującego Skarżącego doradcy klienta, który zgodnie ze wskazanym podziałem był dedykowany Skarżącemu, został obsłużony przez doradcę klienta zastępującego nieobecnego pracownika. </w:t>
      </w:r>
    </w:p>
    <w:p w:rsidR="00F3682B" w:rsidRDefault="00F3682B" w:rsidP="00F3682B">
      <w:pPr>
        <w:ind w:firstLine="851"/>
        <w:jc w:val="both"/>
      </w:pPr>
      <w:r>
        <w:t>W trakcie obsługi doradca korzysta z danych znajdujących się w systemie komputerowym SYRIUSZ, w którym znajdują się informacje na temat kwalifikacji, umiejętności oraz doświadczenia zawodowego klienta, jeżeli zostały one uzupełnione w trakcie składania wniosku o rejestrację lub w trakcie wizyty u doradcy. W związku z tym</w:t>
      </w:r>
      <w:r w:rsidR="007B2512">
        <w:t>,</w:t>
      </w:r>
      <w:r>
        <w:t xml:space="preserve"> iż kwalifikacje (tj. wykształcenie, uprawnienia, znajomość języków obcych, umiejętności oraz zawody do wykonywania) Skarżącego zostały dokładnie uzupełnione w trakcie rejestracji, doradca klienta dodatkowo Skarżącego nie dopytywał. Skarżący zgłosił, że jest zainteresowany pracą biurową, co determinowało kierunek dalszej rozmowy. </w:t>
      </w:r>
      <w:r w:rsidR="0081514D">
        <w:t>Urząd w tym dniu nie miał w </w:t>
      </w:r>
      <w:r>
        <w:t>dyspozycji ofert pracy biurowej. Podczas wizyty Skarżącego opracowany został Indywidualny Plan Działania, co Skarżący potwierdził własnoręcznym podpisem na karcie rejestracyjnej część D. W ramach planu ustalono kolejny termin wizyty oraz działania do samodzielnej realizacji, w tym samodzielne poszukiwanie pracy.</w:t>
      </w:r>
    </w:p>
    <w:p w:rsidR="00F3682B" w:rsidRDefault="00F3682B" w:rsidP="00F3682B">
      <w:pPr>
        <w:ind w:firstLine="851"/>
        <w:jc w:val="both"/>
      </w:pPr>
      <w:r>
        <w:lastRenderedPageBreak/>
        <w:t xml:space="preserve">Trudno jest odnieść się do zarzutów dotyczących „obrażonej Pani urzędniczki”, ponieważ wszyscy pracownicy obsługują klientów w maseczkach i nie ma możliwości oceny ich mimiki twarzy. Również informacja dotycząca odbywania przez pracowników rozmów prywatnych w czasie pracy nie jest możliwa do zweryfikowania, ponieważ stanowiska pracy znajdują się na otwartej przestrzeni, a ze względu na sytuację epidemiologiczną pracownicy nie przebywają w pokoju socjalnym, tylko w trakcie przerwy śniadaniowej także pozostają na stanowisku pracy. </w:t>
      </w:r>
    </w:p>
    <w:p w:rsidR="00F3682B" w:rsidRDefault="00F3682B" w:rsidP="00F3682B">
      <w:pPr>
        <w:ind w:firstLine="851"/>
        <w:jc w:val="both"/>
      </w:pPr>
      <w:r>
        <w:t>W dniu 22 października 2021 r. wysłano do Skarżącego</w:t>
      </w:r>
      <w:r w:rsidR="0081514D">
        <w:t xml:space="preserve"> mail z informacją o </w:t>
      </w:r>
      <w:r>
        <w:t>możliwości udziału w V Targach Pracy, które umożl</w:t>
      </w:r>
      <w:r w:rsidR="0081514D">
        <w:t>iwiały kontakt z pracodawcami z </w:t>
      </w:r>
      <w:r>
        <w:t>szerokiego zakresu branż, poszukującymi pracowników na różne stanowiska.</w:t>
      </w:r>
    </w:p>
    <w:p w:rsidR="00F3682B" w:rsidRDefault="00F3682B" w:rsidP="00F3682B">
      <w:pPr>
        <w:shd w:val="clear" w:color="auto" w:fill="FFFFFF"/>
        <w:ind w:firstLine="851"/>
        <w:jc w:val="both"/>
        <w:textAlignment w:val="baseline"/>
      </w:pPr>
      <w:r>
        <w:t>Powiatowy Urząd Pracy dla Miasta Torunia real</w:t>
      </w:r>
      <w:r w:rsidR="0081514D">
        <w:t>izuje swoje zadania w oparciu o </w:t>
      </w:r>
      <w:r>
        <w:t>przepisy, które stanowią, że niektóre grupy bezrobotnych znajdują się w szczególnej sytuacji na rynku pracy i są to m.in.: bezrobotni do 30. roku życia, powyżej 50. roku życia, długotrwale bezrobotni oraz osoby niepełnosprawne</w:t>
      </w:r>
      <w:r w:rsidR="000207B2">
        <w:t>j</w:t>
      </w:r>
      <w:r>
        <w:t xml:space="preserve"> (art. 49 ustawy z 20 kwietnia 2004 r. o promocji zatrudnienia i instytucjach rynku pracy – Dz. U. z 2021 r. poz. 1</w:t>
      </w:r>
      <w:r w:rsidR="0081514D">
        <w:t>100, poz. 1162, poz. 1621, poz. </w:t>
      </w:r>
      <w:r>
        <w:t xml:space="preserve">2270, poz. 2317 i poz. 2445). </w:t>
      </w:r>
    </w:p>
    <w:p w:rsidR="00F3682B" w:rsidRDefault="00F3682B" w:rsidP="00F3682B">
      <w:pPr>
        <w:ind w:firstLine="851"/>
        <w:jc w:val="both"/>
      </w:pPr>
      <w:r>
        <w:t>Skarżący podniósł, że „na 21 listopada Urząd opublikował tylko 4 wiadomości”</w:t>
      </w:r>
      <w:r w:rsidR="0081514D">
        <w:t>, w </w:t>
      </w:r>
      <w:r>
        <w:t>aktualnościach od 1 do 21 listopada 2021 r. rzeczywiście zamieszczone zostały 4 informacje, natomiast w innych zakładkach było ich znacznie więcej</w:t>
      </w:r>
      <w:r w:rsidR="007B2512">
        <w:t>,</w:t>
      </w:r>
      <w:r>
        <w:t xml:space="preserve"> np. w zakładce lokalne oferty pracy pojawiły się 122 nowe oferty. Na urzędowym koncie na facebooku, na którym prezentowane są bieżące treści o charakterze informacyjnym, w okresie od 1 do 21 listopada upowszechniono 21 nowości, dotyczących głównie ofert pracy, stażu, informacji o pracy za granicą, czy realizowanych projektów.</w:t>
      </w:r>
    </w:p>
    <w:p w:rsidR="00F3682B" w:rsidRDefault="00F3682B" w:rsidP="00F3682B">
      <w:pPr>
        <w:ind w:firstLine="851"/>
        <w:jc w:val="both"/>
      </w:pPr>
      <w:r>
        <w:t>W Powiatowym Urzędzie Pracy dla Miasta Torunia znajdują się jedynie oferty pracy, które są zgodne z ustawową definicją odpowiedniej pracy (art. 2, ust. 1 pkt 16 powołanej ustawy o promocji zatrudnienia i instytucjach rynku pracy) i stanowią zatrudnienie lub inną pracę zarobkową, które podlegają ubezpieczeniom społecznym, za wykonywanie których osiąga się miesięczne wynagrodzenie brutto, w wysokości co najmniej minimalnego wynagrodzenia za pracę w przeliczeniu na pełny wymiar czasu pracy.</w:t>
      </w:r>
    </w:p>
    <w:p w:rsidR="00F3682B" w:rsidRPr="00092C18" w:rsidRDefault="00F3682B" w:rsidP="00F3682B">
      <w:pPr>
        <w:pStyle w:val="Tekstpodstawowy2"/>
        <w:spacing w:before="0" w:line="240" w:lineRule="auto"/>
        <w:ind w:firstLine="851"/>
        <w:rPr>
          <w:sz w:val="24"/>
          <w:szCs w:val="24"/>
        </w:rPr>
      </w:pPr>
      <w:r w:rsidRPr="00092C18">
        <w:rPr>
          <w:sz w:val="24"/>
          <w:szCs w:val="24"/>
        </w:rPr>
        <w:t xml:space="preserve">W związku z powyższym skargę z dnia </w:t>
      </w:r>
      <w:r w:rsidRPr="009841B1">
        <w:rPr>
          <w:sz w:val="24"/>
          <w:szCs w:val="24"/>
        </w:rPr>
        <w:t xml:space="preserve">21 listopada 2021 r. na Dyrektora Powiatowego Urzędu Pracy dla Miasta Torunia </w:t>
      </w:r>
      <w:r w:rsidRPr="00092C18">
        <w:rPr>
          <w:sz w:val="24"/>
          <w:szCs w:val="24"/>
        </w:rPr>
        <w:t xml:space="preserve">Rada Miasta Torunia uznaje za bezzasadną. </w:t>
      </w:r>
    </w:p>
    <w:p w:rsidR="00F3682B" w:rsidRPr="00092C18" w:rsidRDefault="00F3682B" w:rsidP="00F3682B">
      <w:pPr>
        <w:pStyle w:val="Tekstpodstawowy2"/>
        <w:spacing w:before="0" w:line="240" w:lineRule="auto"/>
        <w:ind w:firstLine="851"/>
        <w:rPr>
          <w:sz w:val="24"/>
          <w:szCs w:val="24"/>
        </w:rPr>
      </w:pPr>
      <w:r w:rsidRPr="00092C18">
        <w:rPr>
          <w:sz w:val="24"/>
          <w:szCs w:val="24"/>
        </w:rPr>
        <w:t>Jednocześnie z uwagi na to, iż skarga nie została uzna</w:t>
      </w:r>
      <w:r w:rsidR="0081514D">
        <w:rPr>
          <w:sz w:val="24"/>
          <w:szCs w:val="24"/>
        </w:rPr>
        <w:t>na za zasadną, ponowienie jej w </w:t>
      </w:r>
      <w:r w:rsidRPr="00092C18">
        <w:rPr>
          <w:sz w:val="24"/>
          <w:szCs w:val="24"/>
        </w:rPr>
        <w:t>tej części bez wskazania nowych okoliczności spowoduje, zgodnie z art. 239 § 1 kodeksu postępowania administracyjnego, iż Rada Miasta Torun</w:t>
      </w:r>
      <w:r w:rsidR="0081514D">
        <w:rPr>
          <w:sz w:val="24"/>
          <w:szCs w:val="24"/>
        </w:rPr>
        <w:t>ia podtrzyma swoje stanowisko z </w:t>
      </w:r>
      <w:r w:rsidRPr="00092C18">
        <w:rPr>
          <w:sz w:val="24"/>
          <w:szCs w:val="24"/>
        </w:rPr>
        <w:t>odpowiednią adnotacją w aktach sprawy - bez zawiadamiania Skarżących.</w:t>
      </w:r>
    </w:p>
    <w:p w:rsidR="00F3682B" w:rsidRPr="00092C18" w:rsidRDefault="00F3682B" w:rsidP="00F3682B">
      <w:pPr>
        <w:ind w:firstLine="851"/>
        <w:jc w:val="both"/>
        <w:rPr>
          <w:iCs/>
          <w:snapToGrid w:val="0"/>
        </w:rPr>
      </w:pPr>
      <w:r w:rsidRPr="00092C18">
        <w:t>Dodatkowo Rada Miasta Torunia wskazuje, iż n</w:t>
      </w:r>
      <w:r w:rsidRPr="00092C18">
        <w:rPr>
          <w:iCs/>
        </w:rPr>
        <w:t xml:space="preserve">a podstawie przepisu art. 229 pkt 3 cytowanej ustawy Kodeks postępowania administracyjnego skargi m. in. </w:t>
      </w:r>
      <w:r w:rsidRPr="00092C18">
        <w:t>na kierowników gminnych jednostek organizacyjnych</w:t>
      </w:r>
      <w:r w:rsidRPr="00092C18">
        <w:rPr>
          <w:iCs/>
          <w:snapToGrid w:val="0"/>
        </w:rPr>
        <w:t xml:space="preserve"> dotyczące ich zadań lub działalności, rozpatruje rada gminy, </w:t>
      </w:r>
      <w:r w:rsidRPr="00092C18">
        <w:rPr>
          <w:iCs/>
          <w:snapToGrid w:val="0"/>
          <w:u w:val="single"/>
        </w:rPr>
        <w:t>jeżeli przepisy szczególne nie określają innych organów właściwych do rozpatrywania skarg.</w:t>
      </w:r>
      <w:r w:rsidRPr="00092C18">
        <w:rPr>
          <w:iCs/>
          <w:snapToGrid w:val="0"/>
        </w:rPr>
        <w:t xml:space="preserve"> </w:t>
      </w:r>
    </w:p>
    <w:p w:rsidR="00F3682B" w:rsidRPr="00092C18" w:rsidRDefault="00F3682B" w:rsidP="00F3682B">
      <w:pPr>
        <w:tabs>
          <w:tab w:val="num" w:pos="360"/>
        </w:tabs>
        <w:ind w:firstLine="851"/>
        <w:jc w:val="both"/>
      </w:pPr>
      <w:r w:rsidRPr="00092C18">
        <w:t>Skarga dotycząca zadań lub działalności organów uruchamia jednoinstancyjne, samodzielne postępowanie administracyjne o charakterze uproszczonym, kończące się czynnością materialno-techniczną - zawiadomieniem. Jest ona odformalizowanym środkiem obrony i ochrony różnych interesów jednostki, które nie dają podstaw do żądania wszczęcia postępowania administracyjnego, albo też nie mogą stanowić podstawy powództwa lub wniosku zmierzającego do wszczęcia postępowania. Skargi są wnoszone w związku z już podjętym działaniem organu, ewentualnie w związku z brakiem takiego działania i mają na celu zwrócenie uwagi właściwym organom na wszelkie nieprawidłowości powstałe w wyniku takiego działania lub zaniechania (por. postanowienie NSA z dnia 19 lipca 2013 r., sygn. akt I OSK1472/13, CBOIS).</w:t>
      </w:r>
    </w:p>
    <w:p w:rsidR="00C32FD2" w:rsidRDefault="00F3682B" w:rsidP="00F3682B">
      <w:pPr>
        <w:tabs>
          <w:tab w:val="num" w:pos="360"/>
        </w:tabs>
        <w:ind w:firstLine="851"/>
        <w:jc w:val="both"/>
      </w:pPr>
      <w:r w:rsidRPr="00092C18">
        <w:t>Oznacza to, że postępowanie skargowe w tym trybie jest postępowaniem jednoinstancyjnym i od niniejszej uchwały nie służy skarga do sądu administracyjnego.</w:t>
      </w:r>
    </w:p>
    <w:sectPr w:rsidR="00C32FD2" w:rsidSect="00AE31A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9C" w:rsidRDefault="001A2F9C" w:rsidP="000F1AAC">
      <w:r>
        <w:separator/>
      </w:r>
    </w:p>
  </w:endnote>
  <w:endnote w:type="continuationSeparator" w:id="0">
    <w:p w:rsidR="001A2F9C" w:rsidRDefault="001A2F9C" w:rsidP="000F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9C" w:rsidRDefault="001A2F9C" w:rsidP="000F1AAC">
      <w:r>
        <w:separator/>
      </w:r>
    </w:p>
  </w:footnote>
  <w:footnote w:type="continuationSeparator" w:id="0">
    <w:p w:rsidR="001A2F9C" w:rsidRDefault="001A2F9C" w:rsidP="000F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AC"/>
    <w:rsid w:val="000207B2"/>
    <w:rsid w:val="000F1AAC"/>
    <w:rsid w:val="00111A3F"/>
    <w:rsid w:val="001A2F9C"/>
    <w:rsid w:val="00224B50"/>
    <w:rsid w:val="00313EC9"/>
    <w:rsid w:val="003A399A"/>
    <w:rsid w:val="0043005C"/>
    <w:rsid w:val="00496C63"/>
    <w:rsid w:val="005512C4"/>
    <w:rsid w:val="0056752E"/>
    <w:rsid w:val="00757802"/>
    <w:rsid w:val="007B2512"/>
    <w:rsid w:val="0081514D"/>
    <w:rsid w:val="00C32FD2"/>
    <w:rsid w:val="00D85077"/>
    <w:rsid w:val="00F3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B7121-57BC-490E-9864-700D764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0F1AAC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0F1AA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A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AA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1AA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F3682B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682B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F3682B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F3682B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h2">
    <w:name w:val="h2"/>
    <w:basedOn w:val="Domylnaczcionkaakapitu"/>
    <w:rsid w:val="00F3682B"/>
  </w:style>
  <w:style w:type="paragraph" w:styleId="Tekstdymka">
    <w:name w:val="Balloon Text"/>
    <w:basedOn w:val="Normalny"/>
    <w:link w:val="TekstdymkaZnak"/>
    <w:uiPriority w:val="99"/>
    <w:semiHidden/>
    <w:unhideWhenUsed/>
    <w:rsid w:val="007B2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2022-01-19T12:33:00Z</cp:lastPrinted>
  <dcterms:created xsi:type="dcterms:W3CDTF">2022-02-01T09:21:00Z</dcterms:created>
  <dcterms:modified xsi:type="dcterms:W3CDTF">2022-02-01T09:21:00Z</dcterms:modified>
</cp:coreProperties>
</file>