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1" w:rsidRDefault="00A16681" w:rsidP="00A16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</w:t>
      </w:r>
    </w:p>
    <w:p w:rsidR="00A16681" w:rsidRDefault="00A16681" w:rsidP="00A16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744/21</w:t>
      </w:r>
    </w:p>
    <w:p w:rsidR="00A16681" w:rsidRDefault="00A16681" w:rsidP="00A16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Miasta Torunia </w:t>
      </w:r>
    </w:p>
    <w:p w:rsidR="00A16681" w:rsidRDefault="00A16681" w:rsidP="00A166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października 2021 r.</w:t>
      </w:r>
    </w:p>
    <w:p w:rsidR="00A16681" w:rsidRDefault="00A16681" w:rsidP="00A16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681" w:rsidRDefault="00A16681" w:rsidP="00A16681">
      <w:pPr>
        <w:pStyle w:val="Nagwek5"/>
        <w:spacing w:before="0" w:line="240" w:lineRule="auto"/>
        <w:ind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UZASADNIENIE</w:t>
      </w:r>
    </w:p>
    <w:p w:rsidR="00A16681" w:rsidRDefault="00A16681" w:rsidP="00A16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681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Medella SA</w:t>
      </w:r>
      <w:r>
        <w:rPr>
          <w:rFonts w:ascii="Times New Roman" w:hAnsi="Times New Roman" w:cs="Times New Roman"/>
          <w:sz w:val="24"/>
          <w:szCs w:val="24"/>
        </w:rPr>
        <w:t xml:space="preserve"> w Warszawie zwróciła się z wnioskiem z dnia 1 października 2021 r. o wydanie opinii o lokalizacji kasyna gry w Toruniu przy ul. Bulwar Filadelfijski 11, który wpłynął do Rady Miasta Torunia 7 października 2021 r.</w:t>
      </w:r>
    </w:p>
    <w:p w:rsidR="00A16681" w:rsidRPr="005605BF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Zgodnie z art. 35 ust. 15 ustawy z dnia 19 listopada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o grach hazardowych </w:t>
      </w:r>
      <w:r>
        <w:rPr>
          <w:rFonts w:ascii="Times New Roman" w:hAnsi="Times New Roman" w:cs="Times New Roman"/>
          <w:sz w:val="24"/>
          <w:szCs w:val="24"/>
        </w:rPr>
        <w:t>(Dz. </w:t>
      </w:r>
      <w:r w:rsidRPr="007A5B29">
        <w:rPr>
          <w:rFonts w:ascii="Times New Roman" w:hAnsi="Times New Roman" w:cs="Times New Roman"/>
          <w:sz w:val="24"/>
          <w:szCs w:val="24"/>
        </w:rPr>
        <w:t>U. z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A5B29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2094 oraz z 2021 r. poz. 802</w:t>
      </w:r>
      <w:r w:rsidRPr="003C060E">
        <w:rPr>
          <w:rFonts w:ascii="Times New Roman" w:hAnsi="Times New Roman" w:cs="Times New Roman"/>
          <w:sz w:val="24"/>
          <w:szCs w:val="24"/>
        </w:rPr>
        <w:t xml:space="preserve">) wniosek strony o udzielenie zezwolenia na prowadzenie działalności w zakresie prowadzenia kasyna gry powinien zawierać opinię rady gminy o lokalizacji ośrodka gier. Opinię rada gminy wydaje na wniosek zainteresowanego. </w:t>
      </w:r>
      <w:r>
        <w:rPr>
          <w:rFonts w:ascii="Times New Roman" w:hAnsi="Times New Roman" w:cs="Times New Roman"/>
          <w:sz w:val="24"/>
          <w:szCs w:val="24"/>
        </w:rPr>
        <w:t>Na </w:t>
      </w:r>
      <w:r w:rsidRPr="005605BF">
        <w:rPr>
          <w:rFonts w:ascii="Times New Roman" w:hAnsi="Times New Roman" w:cs="Times New Roman"/>
          <w:sz w:val="24"/>
          <w:szCs w:val="24"/>
        </w:rPr>
        <w:t xml:space="preserve">gruncie obowiązującej aktualnie ustawy o grach hazardowych, </w:t>
      </w:r>
      <w:r>
        <w:rPr>
          <w:rFonts w:ascii="Times New Roman" w:hAnsi="Times New Roman" w:cs="Times New Roman"/>
          <w:sz w:val="24"/>
          <w:szCs w:val="24"/>
        </w:rPr>
        <w:t xml:space="preserve">negatywna </w:t>
      </w:r>
      <w:r w:rsidRPr="005605BF">
        <w:rPr>
          <w:rFonts w:ascii="Times New Roman" w:hAnsi="Times New Roman" w:cs="Times New Roman"/>
          <w:sz w:val="24"/>
          <w:szCs w:val="24"/>
        </w:rPr>
        <w:t>opinia rady wyłącza możliwość pozytywnego rozstrzygnięcia sprawy przez ministra właściwego do spraw finansów publicznych – art. 32 ust. 1 (tzn. wydania koncesji)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jedynie pozytywna opinia rady umożliwia otrzymanie koncesji. N</w:t>
      </w:r>
      <w:r w:rsidRPr="005605BF">
        <w:rPr>
          <w:rFonts w:ascii="Times New Roman" w:hAnsi="Times New Roman" w:cs="Times New Roman"/>
          <w:sz w:val="24"/>
          <w:szCs w:val="24"/>
        </w:rPr>
        <w:t>atomiast pozytywna opinia nie wiąże bezwzględnie ministra i jest poddawana oce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605BF">
        <w:rPr>
          <w:rFonts w:ascii="Times New Roman" w:hAnsi="Times New Roman" w:cs="Times New Roman"/>
          <w:sz w:val="24"/>
          <w:szCs w:val="24"/>
        </w:rPr>
        <w:t>ie, tak jak inne dowody zebrane w postępowaniu administracyjnym.</w:t>
      </w:r>
    </w:p>
    <w:p w:rsidR="00A16681" w:rsidRPr="00400529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 xml:space="preserve">Decyzję o przyznaniu koncesji na prowadzenie </w:t>
      </w:r>
      <w:r w:rsidRPr="00400529">
        <w:rPr>
          <w:rFonts w:ascii="Times New Roman" w:hAnsi="Times New Roman" w:cs="Times New Roman"/>
          <w:sz w:val="24"/>
          <w:szCs w:val="24"/>
        </w:rPr>
        <w:t>kasyna wydaje minister właściwy do spraw finansów publicznych.</w:t>
      </w:r>
    </w:p>
    <w:p w:rsidR="00A16681" w:rsidRPr="00B21704" w:rsidRDefault="00A16681" w:rsidP="00A16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704">
        <w:rPr>
          <w:rFonts w:ascii="Times New Roman" w:hAnsi="Times New Roman" w:cs="Times New Roman"/>
          <w:sz w:val="24"/>
          <w:szCs w:val="24"/>
        </w:rPr>
        <w:t>Zgodnie z wnioskiem o wydanie opinii, opinia dotyczy</w:t>
      </w:r>
      <w:r>
        <w:rPr>
          <w:rFonts w:ascii="Times New Roman" w:hAnsi="Times New Roman" w:cs="Times New Roman"/>
          <w:sz w:val="24"/>
          <w:szCs w:val="24"/>
        </w:rPr>
        <w:t xml:space="preserve"> lokalizacji </w:t>
      </w:r>
      <w:r w:rsidRPr="00B21704">
        <w:rPr>
          <w:rFonts w:ascii="Times New Roman" w:hAnsi="Times New Roman" w:cs="Times New Roman"/>
          <w:sz w:val="24"/>
          <w:szCs w:val="24"/>
        </w:rPr>
        <w:t>kasyna g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B21704">
        <w:rPr>
          <w:rFonts w:ascii="Times New Roman" w:hAnsi="Times New Roman" w:cs="Times New Roman"/>
          <w:sz w:val="24"/>
          <w:szCs w:val="24"/>
        </w:rPr>
        <w:t xml:space="preserve"> przez któr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B21704">
        <w:rPr>
          <w:rFonts w:ascii="Times New Roman" w:hAnsi="Times New Roman" w:cs="Times New Roman"/>
          <w:sz w:val="24"/>
          <w:szCs w:val="24"/>
        </w:rPr>
        <w:t xml:space="preserve"> zgodnie z art. 4 ust. 1 pkt 1 lit. „a” powołanej ustawy o grach hazardowych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04">
        <w:rPr>
          <w:rFonts w:ascii="Times New Roman" w:hAnsi="Times New Roman" w:cs="Times New Roman"/>
          <w:sz w:val="24"/>
          <w:szCs w:val="24"/>
        </w:rPr>
        <w:t xml:space="preserve"> należy rozumieć wydzielone miejsce, w którym prowadzi się gry cylindryczne, gry w karty, gry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B21704">
        <w:rPr>
          <w:rFonts w:ascii="Times New Roman" w:hAnsi="Times New Roman" w:cs="Times New Roman"/>
          <w:sz w:val="24"/>
          <w:szCs w:val="24"/>
        </w:rPr>
        <w:t xml:space="preserve">kości lub gry na automatach, na podstawie zatwierdzonego regulaminu, przy czym minimalna łączna liczba urządzanych gier cylindrycznych i gier w karty wynosi </w:t>
      </w:r>
      <w:smartTag w:uri="urn:schemas-microsoft-com:office:smarttags" w:element="metricconverter">
        <w:smartTagPr>
          <w:attr w:name="ProductID" w:val="4, a"/>
        </w:smartTagPr>
        <w:r w:rsidRPr="00B21704">
          <w:rPr>
            <w:rFonts w:ascii="Times New Roman" w:hAnsi="Times New Roman" w:cs="Times New Roman"/>
            <w:sz w:val="24"/>
            <w:szCs w:val="24"/>
          </w:rPr>
          <w:t>4, a</w:t>
        </w:r>
      </w:smartTag>
      <w:r w:rsidRPr="00B21704">
        <w:rPr>
          <w:rFonts w:ascii="Times New Roman" w:hAnsi="Times New Roman" w:cs="Times New Roman"/>
          <w:sz w:val="24"/>
          <w:szCs w:val="24"/>
        </w:rPr>
        <w:t xml:space="preserve"> liczba zainstalowanych automatów wynosi od 5 do 70 sztuk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681" w:rsidRPr="00352386" w:rsidRDefault="00A16681" w:rsidP="00A16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>Stosownie do postanowień art. 15 ust. 1 cytowanej ustawy o grach hazardowych kasyna gry mogą być lokalizowane w miejscowościach liczących do 250 tys. mieszkańców - jedno kasyno. Na każde kolejne rozpoczęte 250 tys. mieszkańców liczbę dozwolonych kasyn gry zwiększa się o 1. Tym samym w Toruniu może być tylko jedn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52386">
        <w:rPr>
          <w:rFonts w:ascii="Times New Roman" w:hAnsi="Times New Roman" w:cs="Times New Roman"/>
          <w:sz w:val="24"/>
          <w:szCs w:val="24"/>
        </w:rPr>
        <w:t xml:space="preserve"> kasyno. Łączna liczba kasyn gry w województwie nie może być jednak wyższa niż 1 kasyno na każde pełne 650 tys. mieszkańców województwa.</w:t>
      </w:r>
    </w:p>
    <w:p w:rsidR="00A16681" w:rsidRPr="00C2184A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2386">
        <w:rPr>
          <w:rFonts w:ascii="Times New Roman" w:hAnsi="Times New Roman" w:cs="Times New Roman"/>
          <w:sz w:val="24"/>
          <w:szCs w:val="24"/>
        </w:rPr>
        <w:t xml:space="preserve">Na podstawie art. 50 ust. 1 </w:t>
      </w:r>
      <w:r>
        <w:rPr>
          <w:rFonts w:ascii="Times New Roman" w:hAnsi="Times New Roman" w:cs="Times New Roman"/>
          <w:sz w:val="24"/>
          <w:szCs w:val="24"/>
        </w:rPr>
        <w:t>wskazanej</w:t>
      </w:r>
      <w:r w:rsidRPr="00352386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86">
        <w:rPr>
          <w:rFonts w:ascii="Times New Roman" w:hAnsi="Times New Roman" w:cs="Times New Roman"/>
          <w:sz w:val="24"/>
          <w:szCs w:val="24"/>
        </w:rPr>
        <w:t>o grach hazardowych, w przypadku gdy wygasa</w:t>
      </w:r>
      <w:r w:rsidRPr="003C060E">
        <w:rPr>
          <w:rFonts w:ascii="Times New Roman" w:hAnsi="Times New Roman" w:cs="Times New Roman"/>
          <w:sz w:val="24"/>
          <w:szCs w:val="24"/>
        </w:rPr>
        <w:t xml:space="preserve"> koncesja na prowadzenie kasyna gry, informacja o mającym nastąpić jej wygaśnięciu jest publikowana nie później niż 9 miesięcy przed dniem jej wygaśnięcia, na stronie internetowej urzędu obsługującego ministra właściwego do spraw finansów publicznych wraz z informacją o wolnych lokalizacjach w miejscowości oraz województwie. Jak wynika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3C060E">
        <w:rPr>
          <w:rFonts w:ascii="Times New Roman" w:hAnsi="Times New Roman" w:cs="Times New Roman"/>
          <w:sz w:val="24"/>
          <w:szCs w:val="24"/>
        </w:rPr>
        <w:t xml:space="preserve">informacji Ministra Finansów z dnia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Pr="003C060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C060E">
        <w:rPr>
          <w:rFonts w:ascii="Times New Roman" w:hAnsi="Times New Roman" w:cs="Times New Roman"/>
          <w:sz w:val="24"/>
          <w:szCs w:val="24"/>
        </w:rPr>
        <w:t xml:space="preserve">r. na temat dozwolonej liczby kasyn gry dla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C060E">
        <w:rPr>
          <w:rFonts w:ascii="Times New Roman" w:hAnsi="Times New Roman" w:cs="Times New Roman"/>
          <w:sz w:val="24"/>
          <w:szCs w:val="24"/>
        </w:rPr>
        <w:t xml:space="preserve">ojewództwa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060E">
        <w:rPr>
          <w:rFonts w:ascii="Times New Roman" w:hAnsi="Times New Roman" w:cs="Times New Roman"/>
          <w:sz w:val="24"/>
          <w:szCs w:val="24"/>
        </w:rPr>
        <w:t xml:space="preserve">ujawsko 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C060E">
        <w:rPr>
          <w:rFonts w:ascii="Times New Roman" w:hAnsi="Times New Roman" w:cs="Times New Roman"/>
          <w:sz w:val="24"/>
          <w:szCs w:val="24"/>
        </w:rPr>
        <w:t xml:space="preserve">omorskiego limit dozwolonych koncesji na prowadzenie koncesji wynosi trzy w tym dla Torunia jedno. Ponadto </w:t>
      </w:r>
      <w:r>
        <w:rPr>
          <w:rFonts w:ascii="Times New Roman" w:hAnsi="Times New Roman" w:cs="Times New Roman"/>
          <w:sz w:val="24"/>
          <w:szCs w:val="24"/>
        </w:rPr>
        <w:t xml:space="preserve">wykonując powyższy obowiązek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Minister Finansów, Funduszy i Polityki Regionalnej poinformował, że z dniem 6 lipca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wygasa koncesja Ministra Finansów z dnia 5 lipca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84A">
        <w:rPr>
          <w:rFonts w:ascii="Times New Roman" w:hAnsi="Times New Roman" w:cs="Times New Roman"/>
          <w:color w:val="000000"/>
          <w:sz w:val="24"/>
          <w:szCs w:val="24"/>
        </w:rPr>
        <w:t>r. nr PS4.6832.10.2016 wydana dla Spółki Zjednoczone Przedsiębiorstwa Rozrywkowe SA na prowadzenie kasyna gry zlokalizowanego w Toruniu, przy ul. Przedzamcze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681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Orzecznictwo sądów administracyjnych wskazuje, że rada gminy wydając opinię może brać pod uwagę sąsiedztwo budynków mieszkalnych, bliską lokalizacj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3C060E">
        <w:rPr>
          <w:rFonts w:ascii="Times New Roman" w:hAnsi="Times New Roman" w:cs="Times New Roman"/>
          <w:sz w:val="24"/>
          <w:szCs w:val="24"/>
        </w:rPr>
        <w:t xml:space="preserve"> przedszkoli, szkół i miejsc kultu religijnego, względy związane z utrzymaniem bezpieczeństwa i porządku publicznego, a także konieczność zachowania charakteru danej części obszaru gminy, np. rynku </w:t>
      </w:r>
      <w:r w:rsidRPr="003C060E">
        <w:rPr>
          <w:rFonts w:ascii="Times New Roman" w:hAnsi="Times New Roman" w:cs="Times New Roman"/>
          <w:sz w:val="24"/>
          <w:szCs w:val="24"/>
        </w:rPr>
        <w:lastRenderedPageBreak/>
        <w:t>i jego okolic w danym mieście czy części miasta, w której znajduje się wiele nieruchomości będących zabytkami, gdyż takie umiejscowienie kasyna gry mogłoby skutkować zakłóceniem przyjętego i zaplanowanego ładu przestrzennego.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81" w:rsidRPr="00FF45E7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E7">
        <w:rPr>
          <w:rFonts w:ascii="Times New Roman" w:hAnsi="Times New Roman" w:cs="Times New Roman"/>
          <w:sz w:val="24"/>
          <w:szCs w:val="24"/>
        </w:rPr>
        <w:t xml:space="preserve">W doktrynie zwraca się uwagę, że wyrażając określoną w art. 35 pkt 15 ustawy o grach hazardowych opinię, rada gminy w pierwszym rzędzie powinna się kierować oceną lokalizacji z punktu widzenia ustaleń miejscowego planu zagospodarowania przestrzennego dla danego obszaru, ponieważ akt ten może np. zawierać regulacje niedopuszczające prowadzenie tego rodzaju działalności na danym terenie. Choć [...] w razie braku takiego planu istotne znaczenie dla wyrażenia opinii może mieć rzeczywiste zagospodarowanie terenów sąsiednich, np. usytuowanie w najbliżej okolicy szkół, placówek oświatowo-wychowawczych, placówek opiekuńczych, cmentarzy czy ośrodków kultu religijnego. (Jerzy Korczak, </w:t>
      </w:r>
      <w:hyperlink r:id="rId4" w:anchor="hiperlinkText.rpc?hiperlink=type=tresc:nro=NotkaAutoraPub.57654:ver=0&amp;full=1" w:tgtFrame="_parent" w:history="1">
        <w:r w:rsidRPr="00FF45E7">
          <w:rPr>
            <w:rFonts w:ascii="Times New Roman" w:hAnsi="Times New Roman" w:cs="Times New Roman"/>
            <w:sz w:val="24"/>
            <w:szCs w:val="24"/>
          </w:rPr>
          <w:t>Adam Ostapski</w:t>
        </w:r>
      </w:hyperlink>
      <w:r w:rsidRPr="00FF45E7">
        <w:rPr>
          <w:rFonts w:ascii="Times New Roman" w:hAnsi="Times New Roman" w:cs="Times New Roman"/>
          <w:sz w:val="24"/>
          <w:szCs w:val="24"/>
        </w:rPr>
        <w:t xml:space="preserve"> Opinia rady gminy w sprawie lokalizacji ośrodka gier. Samorząd Terytorialny 2010/3/58-73, </w:t>
      </w:r>
      <w:r>
        <w:rPr>
          <w:rFonts w:ascii="Times New Roman" w:hAnsi="Times New Roman" w:cs="Times New Roman"/>
          <w:sz w:val="24"/>
          <w:szCs w:val="24"/>
        </w:rPr>
        <w:t>a </w:t>
      </w:r>
      <w:r w:rsidRPr="00FF45E7">
        <w:rPr>
          <w:rFonts w:ascii="Times New Roman" w:hAnsi="Times New Roman" w:cs="Times New Roman"/>
          <w:sz w:val="24"/>
          <w:szCs w:val="24"/>
        </w:rPr>
        <w:t xml:space="preserve">także powołane tam orzecznictwo). </w:t>
      </w:r>
      <w:r w:rsidRPr="00F23D18">
        <w:rPr>
          <w:rFonts w:ascii="Times New Roman" w:hAnsi="Times New Roman" w:cs="Times New Roman"/>
          <w:sz w:val="24"/>
          <w:szCs w:val="24"/>
        </w:rPr>
        <w:t>Naczelny Sąd Administracyjny w wyroku z dnia 20.05.2021 r. (II GSK 929/18) wskaz</w:t>
      </w:r>
      <w:r>
        <w:rPr>
          <w:rFonts w:ascii="Times New Roman" w:hAnsi="Times New Roman" w:cs="Times New Roman"/>
          <w:sz w:val="24"/>
          <w:szCs w:val="24"/>
        </w:rPr>
        <w:t>ał</w:t>
      </w:r>
      <w:r w:rsidRPr="00F23D18">
        <w:rPr>
          <w:rFonts w:ascii="Times New Roman" w:hAnsi="Times New Roman" w:cs="Times New Roman"/>
          <w:sz w:val="24"/>
          <w:szCs w:val="24"/>
        </w:rPr>
        <w:t>, iż pojęcie lokalizacji kasyna nie powinno się odnosić wyłącznie do fizycznego (geodezyjnego) umiejscowienia, lecz należy je odnieść do usytuowania obiektu względem innych obiektów, w tym przypadku kontekstu architektonicznego, urbanistycznego, społecznego (np. bliskość przedszkola, żłobka, domu opieki) czy przyrodniczego.</w:t>
      </w:r>
    </w:p>
    <w:p w:rsidR="00A16681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Rady Miasta Torunia zaproponowana lokalizacja kasyna gry nie będzie skutkować </w:t>
      </w:r>
      <w:r w:rsidRPr="003C060E">
        <w:rPr>
          <w:rFonts w:ascii="Times New Roman" w:hAnsi="Times New Roman" w:cs="Times New Roman"/>
          <w:sz w:val="24"/>
          <w:szCs w:val="24"/>
        </w:rPr>
        <w:t xml:space="preserve">zakłóceniem </w:t>
      </w:r>
      <w:r>
        <w:rPr>
          <w:rFonts w:ascii="Times New Roman" w:hAnsi="Times New Roman" w:cs="Times New Roman"/>
          <w:sz w:val="24"/>
          <w:szCs w:val="24"/>
        </w:rPr>
        <w:t>aktualnego</w:t>
      </w:r>
      <w:r w:rsidRPr="003C060E">
        <w:rPr>
          <w:rFonts w:ascii="Times New Roman" w:hAnsi="Times New Roman" w:cs="Times New Roman"/>
          <w:sz w:val="24"/>
          <w:szCs w:val="24"/>
        </w:rPr>
        <w:t xml:space="preserve"> i zaplanowanego ładu przestrzennego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681" w:rsidRPr="00106B08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B08">
        <w:rPr>
          <w:rFonts w:ascii="Times New Roman" w:hAnsi="Times New Roman" w:cs="Times New Roman"/>
          <w:sz w:val="24"/>
          <w:szCs w:val="24"/>
        </w:rPr>
        <w:t xml:space="preserve">Na podstawie art. 18 ust. 2 pkt 15 ustawy </w:t>
      </w:r>
      <w:r>
        <w:rPr>
          <w:rFonts w:ascii="Times New Roman" w:hAnsi="Times New Roman" w:cs="Times New Roman"/>
          <w:sz w:val="24"/>
          <w:szCs w:val="24"/>
        </w:rPr>
        <w:t xml:space="preserve">z dnia 8 marca 1990 r. </w:t>
      </w:r>
      <w:r w:rsidRPr="00106B08">
        <w:rPr>
          <w:rFonts w:ascii="Times New Roman" w:hAnsi="Times New Roman" w:cs="Times New Roman"/>
          <w:sz w:val="24"/>
          <w:szCs w:val="24"/>
        </w:rPr>
        <w:t>o samorządzie gminnym (Dz. U. z 2021 r. poz. 1372) do wyłącznej właściwości rady gminy należy m. in. stanowienie w sprawach zastrzeżonych ustawami do kompetencji rady gminy</w:t>
      </w:r>
      <w:r>
        <w:rPr>
          <w:rFonts w:ascii="Times New Roman" w:hAnsi="Times New Roman" w:cs="Times New Roman"/>
          <w:sz w:val="24"/>
          <w:szCs w:val="24"/>
        </w:rPr>
        <w:t xml:space="preserve">. Takim przepisem jest </w:t>
      </w:r>
      <w:r w:rsidRPr="007A5B29">
        <w:rPr>
          <w:rFonts w:ascii="Times New Roman" w:hAnsi="Times New Roman" w:cs="Times New Roman"/>
          <w:sz w:val="24"/>
          <w:szCs w:val="24"/>
        </w:rPr>
        <w:t xml:space="preserve">art. 35 ust. 15 </w:t>
      </w:r>
      <w:r>
        <w:rPr>
          <w:rFonts w:ascii="Times New Roman" w:hAnsi="Times New Roman" w:cs="Times New Roman"/>
          <w:sz w:val="24"/>
          <w:szCs w:val="24"/>
        </w:rPr>
        <w:t xml:space="preserve">powołanej </w:t>
      </w:r>
      <w:r w:rsidRPr="007A5B29">
        <w:rPr>
          <w:rFonts w:ascii="Times New Roman" w:hAnsi="Times New Roman" w:cs="Times New Roman"/>
          <w:sz w:val="24"/>
          <w:szCs w:val="24"/>
        </w:rPr>
        <w:t>ustawy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4CE" w:rsidRPr="00A16681" w:rsidRDefault="00A16681" w:rsidP="00A16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60E">
        <w:rPr>
          <w:rFonts w:ascii="Times New Roman" w:hAnsi="Times New Roman" w:cs="Times New Roman"/>
          <w:sz w:val="24"/>
          <w:szCs w:val="24"/>
        </w:rPr>
        <w:t>Podjęcie uchwały nie pociąga za sobą żadnych skutków finansowych dla Gminy Miasta Toruń.</w:t>
      </w:r>
    </w:p>
    <w:sectPr w:rsidR="00EC74CE" w:rsidRPr="00A1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81"/>
    <w:rsid w:val="00A16681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8A93E"/>
  <w15:chartTrackingRefBased/>
  <w15:docId w15:val="{8F58048B-3E96-4278-9364-452BDE5D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681"/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16681"/>
    <w:pPr>
      <w:keepNext/>
      <w:widowControl w:val="0"/>
      <w:autoSpaceDE w:val="0"/>
      <w:autoSpaceDN w:val="0"/>
      <w:adjustRightInd w:val="0"/>
      <w:spacing w:before="200" w:after="0" w:line="36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A1668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2021-10-25T10:57:00Z</dcterms:created>
  <dcterms:modified xsi:type="dcterms:W3CDTF">2021-10-25T10:58:00Z</dcterms:modified>
</cp:coreProperties>
</file>