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81" w:rsidRDefault="00B14881" w:rsidP="00B148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B14881" w:rsidRDefault="00B14881" w:rsidP="00B148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726/21</w:t>
      </w:r>
    </w:p>
    <w:p w:rsidR="00B14881" w:rsidRDefault="00B14881" w:rsidP="00B148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B14881" w:rsidRDefault="00B14881" w:rsidP="00B148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września 2021 r.</w:t>
      </w:r>
    </w:p>
    <w:p w:rsidR="00B14881" w:rsidRDefault="00B14881" w:rsidP="00B14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881" w:rsidRDefault="00B14881" w:rsidP="00B14881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UZASADNIENIE</w:t>
      </w:r>
    </w:p>
    <w:p w:rsidR="00B14881" w:rsidRDefault="00B14881" w:rsidP="00B1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81" w:rsidRDefault="00B14881" w:rsidP="00B14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Casino sp. z o. o.</w:t>
      </w:r>
      <w:r>
        <w:rPr>
          <w:rFonts w:ascii="Times New Roman" w:hAnsi="Times New Roman" w:cs="Times New Roman"/>
          <w:sz w:val="24"/>
          <w:szCs w:val="24"/>
        </w:rPr>
        <w:t xml:space="preserve"> w Warszawie zwróciła się z wnioskiem z dnia 23 lipca 2021 r. o wydanie opinii o lokalizacji kasyna gry w Toruniu przy ul. Przedzamcze 5, który wpłynął do Rady Miasta Torunia 24 września 2021r.</w:t>
      </w:r>
    </w:p>
    <w:p w:rsidR="00B14881" w:rsidRPr="005605BF" w:rsidRDefault="00B14881" w:rsidP="00B14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Zgodnie z art. 35 ust. 15 ustawy z dnia 19 listopada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 r. poz. 802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5605BF">
        <w:rPr>
          <w:rFonts w:ascii="Times New Roman" w:hAnsi="Times New Roman" w:cs="Times New Roman"/>
          <w:sz w:val="24"/>
          <w:szCs w:val="24"/>
        </w:rPr>
        <w:t xml:space="preserve">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B14881" w:rsidRPr="00400529" w:rsidRDefault="00B14881" w:rsidP="00B14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B14881" w:rsidRPr="00B21704" w:rsidRDefault="00B14881" w:rsidP="00B14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Zgodnie z wnioskiem o wydanie opinii, opinia dotyczy</w:t>
      </w:r>
      <w:r>
        <w:rPr>
          <w:rFonts w:ascii="Times New Roman" w:hAnsi="Times New Roman" w:cs="Times New Roman"/>
          <w:sz w:val="24"/>
          <w:szCs w:val="24"/>
        </w:rPr>
        <w:t xml:space="preserve"> lokalizacji </w:t>
      </w:r>
      <w:r w:rsidRPr="00B21704">
        <w:rPr>
          <w:rFonts w:ascii="Times New Roman" w:hAnsi="Times New Roman" w:cs="Times New Roman"/>
          <w:sz w:val="24"/>
          <w:szCs w:val="24"/>
        </w:rPr>
        <w:t>kasyna gier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</w:t>
      </w:r>
      <w:r>
        <w:rPr>
          <w:rFonts w:ascii="Times New Roman" w:hAnsi="Times New Roman" w:cs="Times New Roman"/>
          <w:sz w:val="24"/>
          <w:szCs w:val="24"/>
        </w:rPr>
        <w:t>ylindryczne, gry w karty, gry w 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881" w:rsidRPr="00352386" w:rsidRDefault="00B14881" w:rsidP="00B14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B14881" w:rsidRPr="00C2184A" w:rsidRDefault="00B14881" w:rsidP="00B14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Na podstawie art. 50 ust. 1 ww. ustawy,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koncesja na prowadzenie kasyna gry, informacja o mającym nastąpić jej wygaśnięciu jest publikowana nie później niż 9 miesięcy przed dniem jej wygaśnięcia, na stronie internetowej urzędu obsługującego ministra właściwego do spraw finansów </w:t>
      </w:r>
      <w:r>
        <w:rPr>
          <w:rFonts w:ascii="Times New Roman" w:hAnsi="Times New Roman" w:cs="Times New Roman"/>
          <w:sz w:val="24"/>
          <w:szCs w:val="24"/>
        </w:rPr>
        <w:t>publicznych wraz z informacją o </w:t>
      </w:r>
      <w:r w:rsidRPr="003C060E">
        <w:rPr>
          <w:rFonts w:ascii="Times New Roman" w:hAnsi="Times New Roman" w:cs="Times New Roman"/>
          <w:sz w:val="24"/>
          <w:szCs w:val="24"/>
        </w:rPr>
        <w:t xml:space="preserve">wolnych lokalizacjach w miejscowości oraz województwie. Jak wynika z 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>omorskiego limit dozwolonych koncesji na pro</w:t>
      </w:r>
      <w:r>
        <w:rPr>
          <w:rFonts w:ascii="Times New Roman" w:hAnsi="Times New Roman" w:cs="Times New Roman"/>
          <w:sz w:val="24"/>
          <w:szCs w:val="24"/>
        </w:rPr>
        <w:t>wadzenie koncesji wynosi trzy w </w:t>
      </w:r>
      <w:r w:rsidRPr="003C060E">
        <w:rPr>
          <w:rFonts w:ascii="Times New Roman" w:hAnsi="Times New Roman" w:cs="Times New Roman"/>
          <w:sz w:val="24"/>
          <w:szCs w:val="24"/>
        </w:rPr>
        <w:t xml:space="preserve">tym dla Torunia jedno.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wygasa koncesja Ministra Finansów z dnia 5 lipca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nr PS4.6832.10.2016 wydana dla Spółki Zjednoczone Przedsiębiorstwa Rozrywkowe SA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881" w:rsidRDefault="00B14881" w:rsidP="00B14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881" w:rsidRPr="00FF45E7" w:rsidRDefault="00B14881" w:rsidP="00B14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45E7">
        <w:rPr>
          <w:rFonts w:ascii="Times New Roman" w:hAnsi="Times New Roman" w:cs="Times New Roman"/>
          <w:sz w:val="24"/>
          <w:szCs w:val="24"/>
        </w:rPr>
        <w:t xml:space="preserve"> np. zawierać regulacje niedopuszczające prowadzenie tego rodzaju działalności na danym terenie. Choć [...] w razie braku takiego planu istotne znaczenie dla wyrażenia opinii może mieć rzeczywiste zagospodarowanie terenów sąsiednich, np. 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</w:t>
      </w:r>
      <w:r>
        <w:rPr>
          <w:rFonts w:ascii="Times New Roman" w:hAnsi="Times New Roman" w:cs="Times New Roman"/>
          <w:sz w:val="24"/>
          <w:szCs w:val="24"/>
        </w:rPr>
        <w:t>0/3/58-73, 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wskazując, iż pojęcie lokalizacji kasyna nie powinno się odnosić wyłącznie do fizycznego (geodezyjnego) umiejscowienia, lecz należy je</w:t>
      </w:r>
      <w:r>
        <w:rPr>
          <w:rFonts w:ascii="Times New Roman" w:hAnsi="Times New Roman" w:cs="Times New Roman"/>
          <w:sz w:val="24"/>
          <w:szCs w:val="24"/>
        </w:rPr>
        <w:t xml:space="preserve"> odnieść do </w:t>
      </w:r>
      <w:r w:rsidRPr="00F23D18">
        <w:rPr>
          <w:rFonts w:ascii="Times New Roman" w:hAnsi="Times New Roman" w:cs="Times New Roman"/>
          <w:sz w:val="24"/>
          <w:szCs w:val="24"/>
        </w:rPr>
        <w:t>usytuowania obiektu względem innych obiektów, w tym przypadku kontekstu architektonicznego, urbanistycznego, społecznego (np. bliskość przedszkola, żłobka, domu opieki) czy przyrodniczego.</w:t>
      </w:r>
    </w:p>
    <w:p w:rsidR="00B14881" w:rsidRDefault="00B14881" w:rsidP="00B14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gier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>. Potwierdza to również fakt, iż we wskazanej lokalizacji na dzień wydania opinii zorganizowane jest kasyno gry.</w:t>
      </w:r>
    </w:p>
    <w:p w:rsidR="00B14881" w:rsidRPr="00106B08" w:rsidRDefault="00B14881" w:rsidP="00B14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1372) do wyłącznej właściwości rady gminy należy m. in. stanowienie w 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327" w:rsidRPr="00B14881" w:rsidRDefault="00B14881" w:rsidP="00B148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DD5327" w:rsidRPr="00B1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1"/>
    <w:rsid w:val="00B14881"/>
    <w:rsid w:val="00D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1B42C"/>
  <w15:chartTrackingRefBased/>
  <w15:docId w15:val="{72E903AA-DD78-49D7-A9F4-1ED643AC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881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1488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1488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2021-10-05T13:21:00Z</dcterms:created>
  <dcterms:modified xsi:type="dcterms:W3CDTF">2021-10-05T13:21:00Z</dcterms:modified>
</cp:coreProperties>
</file>