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EC" w:rsidRPr="00497D8E" w:rsidRDefault="00A065EC" w:rsidP="00A065E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D8E">
        <w:rPr>
          <w:rFonts w:ascii="Times New Roman" w:hAnsi="Times New Roman" w:cs="Times New Roman"/>
          <w:sz w:val="24"/>
          <w:szCs w:val="24"/>
        </w:rPr>
        <w:t>Załącznik</w:t>
      </w:r>
    </w:p>
    <w:p w:rsidR="00A065EC" w:rsidRPr="00497D8E" w:rsidRDefault="00A065EC" w:rsidP="00A065E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>do uchwały nr 704/21</w:t>
      </w:r>
    </w:p>
    <w:p w:rsidR="00A065EC" w:rsidRPr="00497D8E" w:rsidRDefault="00A065EC" w:rsidP="00A065E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A065EC" w:rsidRPr="00497D8E" w:rsidRDefault="00A065EC" w:rsidP="00A065E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>z dnia 9 września 2021 r.</w:t>
      </w:r>
    </w:p>
    <w:p w:rsidR="00A065EC" w:rsidRPr="00497D8E" w:rsidRDefault="00A065EC" w:rsidP="00A06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5EC" w:rsidRPr="00497D8E" w:rsidRDefault="00A065EC" w:rsidP="00A065EC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497D8E">
        <w:rPr>
          <w:b w:val="0"/>
          <w:bCs w:val="0"/>
          <w:sz w:val="24"/>
          <w:szCs w:val="24"/>
        </w:rPr>
        <w:t>UZASADNIENIE</w:t>
      </w:r>
    </w:p>
    <w:p w:rsidR="00A065EC" w:rsidRPr="00497D8E" w:rsidRDefault="00A065EC" w:rsidP="00A06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5EC" w:rsidRPr="00497D8E" w:rsidRDefault="00A065EC" w:rsidP="00A0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 xml:space="preserve">FORGAME sp. z o.o. w Poznaniu zwróciła się z wnioskiem z dnia 28 lipca 2021 r.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497D8E">
        <w:rPr>
          <w:rFonts w:ascii="Times New Roman" w:hAnsi="Times New Roman" w:cs="Times New Roman"/>
          <w:sz w:val="24"/>
          <w:szCs w:val="24"/>
        </w:rPr>
        <w:t>wydanie opinii o lokalizacji kasyna gry w Toruniu przy ul. Bulwar Filadelfijski 11, który wpłynął do Rady Miasta Torunia 30</w:t>
      </w:r>
      <w:r>
        <w:rPr>
          <w:rFonts w:ascii="Times New Roman" w:hAnsi="Times New Roman" w:cs="Times New Roman"/>
          <w:sz w:val="24"/>
          <w:szCs w:val="24"/>
        </w:rPr>
        <w:t xml:space="preserve"> lipca 2021r.</w:t>
      </w:r>
    </w:p>
    <w:p w:rsidR="00A065EC" w:rsidRPr="00497D8E" w:rsidRDefault="00A065EC" w:rsidP="00A0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>Zgodnie z art. 35 ust. 15 ustawy z dnia 19 listopada 2009 r. o grach hazardowych (</w:t>
      </w:r>
      <w:r>
        <w:rPr>
          <w:rFonts w:ascii="Times New Roman" w:hAnsi="Times New Roman" w:cs="Times New Roman"/>
          <w:sz w:val="24"/>
          <w:szCs w:val="24"/>
        </w:rPr>
        <w:t>Dz. </w:t>
      </w:r>
      <w:r w:rsidRPr="00497D8E">
        <w:rPr>
          <w:rFonts w:ascii="Times New Roman" w:hAnsi="Times New Roman" w:cs="Times New Roman"/>
          <w:sz w:val="24"/>
          <w:szCs w:val="24"/>
        </w:rPr>
        <w:t xml:space="preserve">U. z 2020 r. poz. 2094 oraz z 2021r. poz. 802) wniosek strony o udzielenie zezwolenia na prowadzenie działalności w zakresie prowadzenia kasyna gry powinien zawierać opinię rady gminy o lokalizacji ośrodka gier. Opinię rada gminy wydaje na wniosek zainteresowanego. </w:t>
      </w:r>
      <w:r>
        <w:rPr>
          <w:rFonts w:ascii="Times New Roman" w:hAnsi="Times New Roman" w:cs="Times New Roman"/>
          <w:sz w:val="24"/>
          <w:szCs w:val="24"/>
        </w:rPr>
        <w:t>Na </w:t>
      </w:r>
      <w:r w:rsidRPr="00497D8E">
        <w:rPr>
          <w:rFonts w:ascii="Times New Roman" w:hAnsi="Times New Roman" w:cs="Times New Roman"/>
          <w:sz w:val="24"/>
          <w:szCs w:val="24"/>
        </w:rPr>
        <w:t>gruncie obowiązującej aktualnie ustawy o grach hazardowych, negatywna opinia rady wyłącza możliwość pozytywnego rozstrzygnięcia sprawy przez ministra właściwego do spraw finansów publicznych – art. 32 ust. 1 (tzn. wydania koncesji). Tym samym jedynie pozytywna opinia rady umożliwia otrzymanie koncesji. Natomiast pozytywna opinia nie wiąże bezwzględnie ministra i jest poddawana ocenie, tak jak inne dowody zebrane w postępowaniu administracyjnym.</w:t>
      </w:r>
    </w:p>
    <w:p w:rsidR="00A065EC" w:rsidRPr="00497D8E" w:rsidRDefault="00A065EC" w:rsidP="00A0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>Decyzję o przyznaniu koncesji na prowadzenie kasyna wydaje minister właściwy do spraw finansów publicznych.</w:t>
      </w:r>
    </w:p>
    <w:p w:rsidR="00A065EC" w:rsidRPr="00497D8E" w:rsidRDefault="00A065EC" w:rsidP="00A065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 xml:space="preserve">Zgodnie z wnioskiem o wydanie opinii, opinia dotyczy lokalizacji kasyna gier przez które, zgodnie z art. 4 ust. 1 pkt 1 lit. „a” powołanej ustawy o grach hazardowych, należy rozumieć wydzielone miejsce, w którym prowadzi się gry cylindryczne, gry w karty, gry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497D8E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497D8E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497D8E">
        <w:rPr>
          <w:rFonts w:ascii="Times New Roman" w:hAnsi="Times New Roman" w:cs="Times New Roman"/>
          <w:sz w:val="24"/>
          <w:szCs w:val="24"/>
        </w:rPr>
        <w:t xml:space="preserve"> liczba zainstalowanych automatów wynosi od 5 do 70 sztuk.</w:t>
      </w:r>
    </w:p>
    <w:p w:rsidR="00A065EC" w:rsidRPr="00497D8E" w:rsidRDefault="00A065EC" w:rsidP="00A065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jedno kasyno. Łączna liczba kasyn gry w województwie nie może być jednak wyższa niż 1 kasyno na każde pełne 650 tys. mieszkańców województwa.</w:t>
      </w:r>
    </w:p>
    <w:p w:rsidR="00A065EC" w:rsidRPr="00497D8E" w:rsidRDefault="00A065EC" w:rsidP="00A0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 xml:space="preserve">Na podstawie art. 50 ust. 1 ww. ustawy, w przypadku gdy wygasa koncesja na prowadzenie kasyna gry informacja o mającym nastąpić jej wygaśnięciu jest publikowana, nie później niż 9 miesięcy przed dniem jej wygaśnięcia, na stronie internetowej urzędu obsługującego ministra właściwego do spraw finansów publicznych wraz z informacją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497D8E">
        <w:rPr>
          <w:rFonts w:ascii="Times New Roman" w:hAnsi="Times New Roman" w:cs="Times New Roman"/>
          <w:sz w:val="24"/>
          <w:szCs w:val="24"/>
        </w:rPr>
        <w:t xml:space="preserve">wolnych lokalizacjach w miejscowości oraz województwie. Jak wynika z informacji Ministra Finansów z dnia 6 lipca 2021r. na temat dozwolonej liczby kasyn gry dla województwa kujawsko – pomorskiego limit dozwolonych koncesji na prowadzenie koncesji wynosi trzy,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497D8E">
        <w:rPr>
          <w:rFonts w:ascii="Times New Roman" w:hAnsi="Times New Roman" w:cs="Times New Roman"/>
          <w:sz w:val="24"/>
          <w:szCs w:val="24"/>
        </w:rPr>
        <w:t xml:space="preserve">tym dla Torunia jedno. Ponadto wykonując powyższy obowiązek </w:t>
      </w:r>
      <w:r w:rsidRPr="00497D8E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 r. wygasa koncesja Ministra Finansów z dnia 5 lipca 2016 r. nr PS4.6832.10.2016 wydana dla Spółki Zjednoczone Przedsiębiorstwa Rozrywkowe S.A. na prowadzenie kasyna gry zlokalizowanego w Toruniu, przy ul. Przedzamcze 5.</w:t>
      </w:r>
    </w:p>
    <w:p w:rsidR="00A065EC" w:rsidRPr="00497D8E" w:rsidRDefault="00A065EC" w:rsidP="00A0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 xml:space="preserve">Orzecznictwo sądów administracyjnych wskazuje, że rada gminy wydając opinię może brać pod uwagę sąsiedztwo budynków mieszkalnych, bliską lokalizację przedszkoli, szkół i miejsc kultu religijnego, względy związane z utrzymaniem bezpieczeństwa i porządku publicznego, a także konieczność zachowania charakteru danej części obszaru gminy, np. rynku </w:t>
      </w:r>
      <w:r w:rsidRPr="00497D8E">
        <w:rPr>
          <w:rFonts w:ascii="Times New Roman" w:hAnsi="Times New Roman" w:cs="Times New Roman"/>
          <w:sz w:val="24"/>
          <w:szCs w:val="24"/>
        </w:rPr>
        <w:lastRenderedPageBreak/>
        <w:t xml:space="preserve">i jego okolic w danym mieście czy części miasta, w której znajduje się wiele nieruchomości będących zabytkami, gdyż takie umiejscowienie kasyna gry mogłoby skutkować zakłóceniem przyjętego i zaplanowanego ładu przestrzennego. </w:t>
      </w:r>
    </w:p>
    <w:p w:rsidR="00A065EC" w:rsidRPr="00497D8E" w:rsidRDefault="00A065EC" w:rsidP="00A0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 xml:space="preserve"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 np. zawierać regulacje niedopuszczające prowadzenie tego rodzaju działalności na danym terenie. Choć [...] w razie braku takiego planu istotne znaczenie dla wyrażenia opinii może mieć rzeczywiste zagospodarowanie terenów sąsiednich, </w:t>
      </w:r>
      <w:r>
        <w:rPr>
          <w:rFonts w:ascii="Times New Roman" w:hAnsi="Times New Roman" w:cs="Times New Roman"/>
          <w:sz w:val="24"/>
          <w:szCs w:val="24"/>
        </w:rPr>
        <w:t>np. </w:t>
      </w:r>
      <w:r w:rsidRPr="00497D8E">
        <w:rPr>
          <w:rFonts w:ascii="Times New Roman" w:hAnsi="Times New Roman" w:cs="Times New Roman"/>
          <w:sz w:val="24"/>
          <w:szCs w:val="24"/>
        </w:rPr>
        <w:t xml:space="preserve">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497D8E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497D8E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2010/3/58-73,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497D8E">
        <w:rPr>
          <w:rFonts w:ascii="Times New Roman" w:hAnsi="Times New Roman" w:cs="Times New Roman"/>
          <w:sz w:val="24"/>
          <w:szCs w:val="24"/>
        </w:rPr>
        <w:t>także powołane tam orzecznictwo). Naczelny Sąd Administracyjny w wyroku z dnia 20.05.2021 r. (II GSK 929/18) wskazując, iż pojęcie lokalizacji kasyna nie powinno się odnosić wyłącznie do fizycznego (geodezyjnego) umiejscowienia, lecz należy je odnieść do usytuowania obiektu względem innych obiektów, w tym przypadku kontekstu architektonicznego, urbanistycznego, społecznego (np. bliskość przedszkola, żłobka, domu opieki) czy przyrodniczego.</w:t>
      </w:r>
    </w:p>
    <w:p w:rsidR="00A065EC" w:rsidRPr="00497D8E" w:rsidRDefault="00A065EC" w:rsidP="00A0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 xml:space="preserve">W ocenie Rady Miasta Torunia zaproponowana lokalizacja kasyna gier nie będzie skutkować zakłóceniem aktualnego i zaplanowanego ładu przestrzennego. </w:t>
      </w:r>
    </w:p>
    <w:p w:rsidR="00A065EC" w:rsidRPr="00497D8E" w:rsidRDefault="00A065EC" w:rsidP="00A0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>Na podstawie art. 18 ust. 2 pkt 15 ustawy o samorządzie gminnym (Dz. U. z 2021 r. poz. 1372) do wyłącznej właściwości rady gminy należy m. in. stanowienie w sprawach zastrzeżonych ustawami do kompetencji rady gminy. Takim przepisem jest art. 35 ust. 15 powołanej ustawy o grach hazardowych.</w:t>
      </w:r>
    </w:p>
    <w:p w:rsidR="00601F6E" w:rsidRPr="00A065EC" w:rsidRDefault="00A065EC" w:rsidP="00A065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601F6E" w:rsidRPr="00A0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EC"/>
    <w:rsid w:val="00601F6E"/>
    <w:rsid w:val="00A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117BE8"/>
  <w15:chartTrackingRefBased/>
  <w15:docId w15:val="{4FDF98DA-FC41-4FB1-A994-A5BA3727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EC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065EC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A065E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2021-09-13T07:49:00Z</dcterms:created>
  <dcterms:modified xsi:type="dcterms:W3CDTF">2021-09-13T07:50:00Z</dcterms:modified>
</cp:coreProperties>
</file>