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9" w:rsidRDefault="004603EC">
      <w:pPr>
        <w:spacing w:line="276" w:lineRule="auto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127</w:t>
      </w:r>
    </w:p>
    <w:p w:rsidR="00E16DF9" w:rsidRDefault="004603E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E16DF9" w:rsidRDefault="004603EC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 dnia 23.06.2021 r.</w:t>
      </w:r>
    </w:p>
    <w:p w:rsidR="00E16DF9" w:rsidRDefault="004603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E16DF9" w:rsidRDefault="004603EC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ustalenia regulaminu I przetargu ustnego nieograniczonego na sprzedaż nieruchomości zabudowanej,  położonej w Toruniu przy ul. </w:t>
      </w:r>
      <w:proofErr w:type="spellStart"/>
      <w:r>
        <w:rPr>
          <w:rFonts w:ascii="Times New Roman" w:hAnsi="Times New Roman" w:cs="Times New Roman"/>
          <w:b/>
        </w:rPr>
        <w:t>Donimirskiego</w:t>
      </w:r>
      <w:proofErr w:type="spellEnd"/>
      <w:r>
        <w:rPr>
          <w:rFonts w:ascii="Times New Roman" w:hAnsi="Times New Roman" w:cs="Times New Roman"/>
          <w:b/>
        </w:rPr>
        <w:t xml:space="preserve"> 4, 4a, stanowiącej własność Gminy </w:t>
      </w:r>
      <w:r>
        <w:rPr>
          <w:rFonts w:ascii="Times New Roman" w:hAnsi="Times New Roman" w:cs="Times New Roman"/>
          <w:b/>
        </w:rPr>
        <w:t>Miasta Toruń oraz powołania Komisji do przeprowadzenia  przetargu.</w:t>
      </w:r>
    </w:p>
    <w:p w:rsidR="00E16DF9" w:rsidRDefault="00E16DF9">
      <w:pPr>
        <w:rPr>
          <w:rFonts w:ascii="Times New Roman" w:hAnsi="Times New Roman" w:cs="Times New Roman"/>
        </w:rPr>
      </w:pPr>
    </w:p>
    <w:p w:rsidR="00E16DF9" w:rsidRDefault="004603EC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 podstawie art. 30 ust. 1 ustawy z dnia 8 marca 1990 roku o samorządzie gminnym  (Dz. U. z 2020r, poz. 713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), Uchwały Nr 570/21 Rady Miasta Torunia z dnia</w:t>
      </w:r>
      <w:r>
        <w:rPr>
          <w:rFonts w:ascii="Times New Roman" w:hAnsi="Times New Roman" w:cs="Times New Roman"/>
        </w:rPr>
        <w:br/>
        <w:t xml:space="preserve">18 lutego 2021r. w </w:t>
      </w:r>
      <w:r>
        <w:rPr>
          <w:rFonts w:ascii="Times New Roman" w:hAnsi="Times New Roman" w:cs="Times New Roman"/>
          <w:szCs w:val="24"/>
        </w:rPr>
        <w:t xml:space="preserve">sprawie sprzedaży nieruchomości zabudowanej, stanowiącej własność Gminy Miasta Toruń położonej w Toruniu przy ul. </w:t>
      </w:r>
      <w:proofErr w:type="spellStart"/>
      <w:r>
        <w:rPr>
          <w:rFonts w:ascii="Times New Roman" w:hAnsi="Times New Roman" w:cs="Times New Roman"/>
          <w:szCs w:val="24"/>
        </w:rPr>
        <w:t>Donimirskiego</w:t>
      </w:r>
      <w:proofErr w:type="spellEnd"/>
      <w:r>
        <w:rPr>
          <w:rFonts w:ascii="Times New Roman" w:hAnsi="Times New Roman" w:cs="Times New Roman"/>
          <w:szCs w:val="24"/>
        </w:rPr>
        <w:t xml:space="preserve"> 4, 4a, </w:t>
      </w:r>
      <w:r>
        <w:rPr>
          <w:rFonts w:ascii="Times New Roman" w:eastAsia="HG Mincho Light J" w:hAnsi="Times New Roman" w:cs="Times New Roman"/>
          <w:color w:val="000000"/>
        </w:rPr>
        <w:t>oraz § 2 ust. 1 i § 3 ust. 1 i 3 uchwały nr 547/09 Rady Miasta Torunia z dnia 30 kwietnia 2009r. w sprawie zasad obciążan</w:t>
      </w:r>
      <w:r>
        <w:rPr>
          <w:rFonts w:ascii="Times New Roman" w:eastAsia="HG Mincho Light J" w:hAnsi="Times New Roman" w:cs="Times New Roman"/>
          <w:color w:val="000000"/>
        </w:rPr>
        <w:t xml:space="preserve">ia służebnościami gruntowymi i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nieruchomości należących do zasobu nieruchomości Gminy Miasta Toruń (Dz. Urz.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.-Pom. z 2015r. poz. 4759 z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>
        <w:rPr>
          <w:rFonts w:ascii="Times New Roman" w:eastAsia="HG Mincho Light J" w:hAnsi="Times New Roman" w:cs="Times New Roman"/>
          <w:color w:val="000000"/>
        </w:rPr>
        <w:t xml:space="preserve"> zm</w:t>
      </w:r>
      <w:r>
        <w:rPr>
          <w:rFonts w:ascii="Times New Roman" w:eastAsia="HG Mincho Light J" w:hAnsi="Times New Roman" w:cs="Times New Roman"/>
          <w:color w:val="000000"/>
          <w:vertAlign w:val="superscript"/>
        </w:rPr>
        <w:t>2)</w:t>
      </w:r>
      <w:r>
        <w:rPr>
          <w:rFonts w:ascii="Times New Roman" w:eastAsia="HG Mincho Light J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</w:rPr>
        <w:t>zarządza się, co następuje:</w:t>
      </w:r>
    </w:p>
    <w:p w:rsidR="00E16DF9" w:rsidRDefault="00E16DF9">
      <w:pPr>
        <w:jc w:val="both"/>
        <w:rPr>
          <w:rFonts w:ascii="Times New Roman" w:hAnsi="Times New Roman" w:cs="Times New Roman"/>
        </w:rPr>
      </w:pP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§1. Powołać Komisję do przeprowadzenia I przetargu ustne</w:t>
      </w:r>
      <w:r>
        <w:rPr>
          <w:rFonts w:ascii="Times New Roman" w:hAnsi="Times New Roman" w:cs="Times New Roman"/>
        </w:rPr>
        <w:t>go nieograniczonego na sprzedaż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nieruchomości zabudowanej, położonej w Toruniu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4, 4a, stanowiącej własność Gminy Miasta Toruń w następującym składzie:</w:t>
      </w:r>
    </w:p>
    <w:p w:rsidR="00E16DF9" w:rsidRDefault="00E16DF9">
      <w:pPr>
        <w:jc w:val="both"/>
        <w:rPr>
          <w:rFonts w:ascii="Times New Roman" w:hAnsi="Times New Roman" w:cs="Times New Roman"/>
        </w:rPr>
      </w:pP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Członek Komisji          </w:t>
      </w:r>
      <w:r>
        <w:rPr>
          <w:rFonts w:ascii="Times New Roman" w:hAnsi="Times New Roman" w:cs="Times New Roman"/>
        </w:rPr>
        <w:t xml:space="preserve">           - Robert Dąbrowski;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E16DF9" w:rsidRDefault="00E16DF9">
      <w:pPr>
        <w:spacing w:line="276" w:lineRule="auto"/>
        <w:jc w:val="both"/>
        <w:rPr>
          <w:rFonts w:ascii="Times New Roman" w:hAnsi="Times New Roman" w:cs="Times New Roman"/>
        </w:rPr>
      </w:pPr>
    </w:p>
    <w:p w:rsidR="00E16DF9" w:rsidRDefault="004603E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</w:t>
      </w:r>
      <w:r>
        <w:rPr>
          <w:rFonts w:ascii="Times New Roman" w:hAnsi="Times New Roman" w:cs="Times New Roman"/>
        </w:rPr>
        <w:t>ządzenia.</w:t>
      </w:r>
    </w:p>
    <w:p w:rsidR="00E16DF9" w:rsidRDefault="00E16DF9">
      <w:pPr>
        <w:jc w:val="both"/>
        <w:rPr>
          <w:rFonts w:ascii="Times New Roman" w:hAnsi="Times New Roman" w:cs="Times New Roman"/>
        </w:rPr>
      </w:pP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przy ulicy Grudziądzkiej 126 „B” w sali konferencyjnej nr 115, na pierwszym piętrze.</w:t>
      </w:r>
    </w:p>
    <w:p w:rsidR="00E16DF9" w:rsidRDefault="00E16DF9">
      <w:pPr>
        <w:jc w:val="both"/>
        <w:rPr>
          <w:rFonts w:ascii="Times New Roman" w:hAnsi="Times New Roman" w:cs="Times New Roman"/>
        </w:rPr>
      </w:pPr>
    </w:p>
    <w:p w:rsidR="00E16DF9" w:rsidRDefault="004603EC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</w:t>
      </w:r>
      <w:r>
        <w:rPr>
          <w:rFonts w:ascii="Times New Roman" w:hAnsi="Times New Roman" w:cs="Times New Roman"/>
        </w:rPr>
        <w:t>odarki Nieruchomościami</w:t>
      </w:r>
    </w:p>
    <w:p w:rsidR="00E16DF9" w:rsidRDefault="004603EC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E16DF9" w:rsidRDefault="004603EC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E16DF9" w:rsidRDefault="004603EC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6DF9" w:rsidRDefault="00E16DF9">
      <w:pPr>
        <w:pStyle w:val="Tretekstu"/>
        <w:rPr>
          <w:vertAlign w:val="superscript"/>
        </w:rPr>
      </w:pPr>
    </w:p>
    <w:p w:rsidR="00E16DF9" w:rsidRDefault="00E16DF9">
      <w:pPr>
        <w:pStyle w:val="Tretekstu"/>
        <w:rPr>
          <w:vertAlign w:val="superscript"/>
        </w:rPr>
      </w:pPr>
    </w:p>
    <w:p w:rsidR="00E16DF9" w:rsidRDefault="00E16DF9">
      <w:pPr>
        <w:pStyle w:val="Tretekstu"/>
        <w:rPr>
          <w:vertAlign w:val="superscript"/>
        </w:rPr>
      </w:pPr>
    </w:p>
    <w:p w:rsidR="00E16DF9" w:rsidRDefault="004603EC">
      <w:pPr>
        <w:pStyle w:val="Tretekstu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E16DF9" w:rsidRDefault="004603EC">
      <w:pPr>
        <w:pStyle w:val="Akapitzlist1"/>
        <w:numPr>
          <w:ilvl w:val="0"/>
          <w:numId w:val="1"/>
        </w:numPr>
        <w:tabs>
          <w:tab w:val="left" w:pos="0"/>
        </w:tabs>
        <w:ind w:left="786"/>
        <w:jc w:val="both"/>
      </w:pPr>
      <w:r>
        <w:t xml:space="preserve">Zmiany tekstu jednolitego wymienionej ustawy zostały ogłoszone w Dz. U. z 2020r. poz. </w:t>
      </w:r>
      <w:r>
        <w:t>1378 oraz z 2021r. poz. 1038</w:t>
      </w:r>
    </w:p>
    <w:p w:rsidR="00E16DF9" w:rsidRDefault="004603EC">
      <w:pPr>
        <w:pStyle w:val="Akapitzlist1"/>
        <w:numPr>
          <w:ilvl w:val="0"/>
          <w:numId w:val="1"/>
        </w:numPr>
        <w:tabs>
          <w:tab w:val="left" w:pos="0"/>
        </w:tabs>
        <w:ind w:left="786"/>
        <w:jc w:val="both"/>
      </w:pPr>
      <w:r>
        <w:t xml:space="preserve">Zmiany tekstu jednolitego wymienionej uchwały zostały ogłoszone w Dz. Urz. Woj. Kuj.-Pom. z 2020r. poz. 5133.                </w:t>
      </w:r>
    </w:p>
    <w:p w:rsidR="00E16DF9" w:rsidRDefault="004603EC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E16DF9" w:rsidRDefault="004603EC">
      <w:pPr>
        <w:spacing w:line="340" w:lineRule="exact"/>
        <w:ind w:firstLine="425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</w:t>
      </w:r>
    </w:p>
    <w:p w:rsidR="00E16DF9" w:rsidRDefault="00E16DF9">
      <w:pPr>
        <w:spacing w:line="340" w:lineRule="exact"/>
        <w:ind w:firstLine="4253"/>
        <w:jc w:val="both"/>
        <w:rPr>
          <w:rFonts w:ascii="Times New Roman" w:hAnsi="Times New Roman" w:cs="Times New Roman"/>
        </w:rPr>
      </w:pPr>
    </w:p>
    <w:p w:rsidR="00E16DF9" w:rsidRDefault="00E16DF9">
      <w:pPr>
        <w:spacing w:line="340" w:lineRule="exact"/>
        <w:ind w:firstLine="4253"/>
        <w:jc w:val="both"/>
        <w:rPr>
          <w:rFonts w:ascii="Times New Roman" w:hAnsi="Times New Roman" w:cs="Times New Roman"/>
        </w:rPr>
      </w:pPr>
    </w:p>
    <w:p w:rsidR="00E16DF9" w:rsidRDefault="00E16DF9">
      <w:pPr>
        <w:spacing w:line="340" w:lineRule="exact"/>
        <w:ind w:firstLine="4253"/>
        <w:jc w:val="both"/>
        <w:rPr>
          <w:rFonts w:ascii="Times New Roman" w:hAnsi="Times New Roman" w:cs="Times New Roman"/>
        </w:rPr>
      </w:pPr>
    </w:p>
    <w:p w:rsidR="00E16DF9" w:rsidRDefault="00E16DF9">
      <w:pPr>
        <w:spacing w:line="340" w:lineRule="exact"/>
        <w:ind w:firstLine="4253"/>
        <w:jc w:val="both"/>
        <w:rPr>
          <w:rFonts w:ascii="Times New Roman" w:hAnsi="Times New Roman" w:cs="Times New Roman"/>
        </w:rPr>
      </w:pPr>
    </w:p>
    <w:p w:rsidR="00E16DF9" w:rsidRDefault="004603EC">
      <w:pPr>
        <w:spacing w:line="340" w:lineRule="exact"/>
        <w:ind w:firstLine="4253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Załącznik </w:t>
      </w:r>
      <w:r>
        <w:rPr>
          <w:rFonts w:ascii="Times New Roman" w:hAnsi="Times New Roman" w:cs="Times New Roman"/>
        </w:rPr>
        <w:t>do Zarządzenia  nr 127</w:t>
      </w:r>
    </w:p>
    <w:p w:rsidR="00E16DF9" w:rsidRDefault="004603EC">
      <w:pPr>
        <w:spacing w:line="340" w:lineRule="exact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23.06.2021r.</w:t>
      </w:r>
    </w:p>
    <w:p w:rsidR="00E16DF9" w:rsidRDefault="004603EC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E16DF9" w:rsidRDefault="00E16DF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E16DF9" w:rsidRDefault="004603EC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</w:t>
      </w:r>
      <w:r>
        <w:rPr>
          <w:rFonts w:ascii="Times New Roman" w:hAnsi="Times New Roman" w:cs="Times New Roman"/>
          <w:szCs w:val="24"/>
        </w:rPr>
        <w:t>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>
        <w:rPr>
          <w:rFonts w:ascii="Times New Roman" w:hAnsi="Times New Roman" w:cs="Times New Roman"/>
        </w:rPr>
        <w:t xml:space="preserve"> Uchwały Nr 570/21 Rad</w:t>
      </w:r>
      <w:r>
        <w:rPr>
          <w:rFonts w:ascii="Times New Roman" w:hAnsi="Times New Roman" w:cs="Times New Roman"/>
        </w:rPr>
        <w:t xml:space="preserve">y Miasta Torunia z dnia 18 lutego 2021r. w </w:t>
      </w:r>
      <w:r>
        <w:rPr>
          <w:rFonts w:ascii="Times New Roman" w:hAnsi="Times New Roman" w:cs="Times New Roman"/>
          <w:szCs w:val="24"/>
        </w:rPr>
        <w:t xml:space="preserve">sprawie sprzedaży nieruchomości zabudowanej, stanowiącej własność Gminy Miasta Toruń położonej w Toruniu przy u. </w:t>
      </w:r>
      <w:proofErr w:type="spellStart"/>
      <w:r>
        <w:rPr>
          <w:rFonts w:ascii="Times New Roman" w:hAnsi="Times New Roman" w:cs="Times New Roman"/>
          <w:szCs w:val="24"/>
        </w:rPr>
        <w:t>Donimirskiego</w:t>
      </w:r>
      <w:proofErr w:type="spellEnd"/>
      <w:r>
        <w:rPr>
          <w:rFonts w:ascii="Times New Roman" w:hAnsi="Times New Roman" w:cs="Times New Roman"/>
          <w:szCs w:val="24"/>
        </w:rPr>
        <w:t xml:space="preserve"> 4, 4a, a także niniejszego Regulaminu.</w:t>
      </w:r>
    </w:p>
    <w:p w:rsidR="00E16DF9" w:rsidRDefault="004603E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2. Czynności związane z przeprowadz</w:t>
      </w:r>
      <w:r>
        <w:rPr>
          <w:rFonts w:ascii="Times New Roman" w:hAnsi="Times New Roman" w:cs="Times New Roman"/>
        </w:rPr>
        <w:t>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E16DF9" w:rsidRDefault="00E16DF9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E16DF9" w:rsidRDefault="004603E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31 sierpnia 2021r. o godzinie  13.00</w:t>
      </w:r>
      <w:r>
        <w:rPr>
          <w:rFonts w:ascii="Times New Roman" w:hAnsi="Times New Roman" w:cs="Times New Roman"/>
        </w:rPr>
        <w:t>.</w:t>
      </w:r>
    </w:p>
    <w:p w:rsidR="00E16DF9" w:rsidRDefault="004603EC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§3.1. Przedmiotem przetargu jest sprzedaż nieruchomości zabudowanej, stanowiącej własność Gminy Miasta Toruń, położonej w Toruniu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4, 4a (obręb nr 51) oznaczonej geodezyjnie nr działek 10/6, 21/22, 29/14, 29/16, zapisanych w księdze wieczystej KW Nr TO1T/00031720/9, nr działki 29/18, zapisanej w księdze wieczystej KW Nr TO1T/00107364/9 i nr działki 10/8, zapisanej w księdze wieczystej</w:t>
      </w:r>
      <w:r>
        <w:rPr>
          <w:rFonts w:ascii="Times New Roman" w:hAnsi="Times New Roman" w:cs="Times New Roman"/>
        </w:rPr>
        <w:t xml:space="preserve"> KW Nr TO1T/00100920/6 o łącznej powierzchni 0,4163 ha.</w:t>
      </w:r>
    </w:p>
    <w:p w:rsidR="00E16DF9" w:rsidRDefault="004603EC">
      <w:pPr>
        <w:spacing w:after="5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Przedmiotowa nieruchomość jest zabudowana częściowo podpiwniczonym, piętrowym budynkiem placówki oświatowo-wychowawczej, wybudowanym w latach 70-tych. Powierzchnia zabudowy wynosi 754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pow. użyt</w:t>
      </w:r>
      <w:r>
        <w:rPr>
          <w:rFonts w:ascii="Times New Roman" w:hAnsi="Times New Roman" w:cs="Times New Roman"/>
        </w:rPr>
        <w:t>kowa wynosi 1210,28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pow. użytkowa bez uwzględniania piwnic wynosi 1086,00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kubatura zaś 5507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Budynek pierwotnie pełnił funkcję żłobka. W latach 90-tych został przekształcony na cele placówki opiekuńczo-wychowawczej – Dom Dziecka Nr 2. Piwnice bu</w:t>
      </w:r>
      <w:r>
        <w:rPr>
          <w:rFonts w:ascii="Times New Roman" w:hAnsi="Times New Roman" w:cs="Times New Roman"/>
        </w:rPr>
        <w:t>dynku wykorzystywane były na cele gospodarcze, techniczne. Kondygnacje nadziemne wykorzystywane na cele oświatowo-administracyjne. W części parterowej znajduje się hall, pomieszczenia administracyjne oraz sanitariaty. W części dwukondygnacyjnej rozmieszczo</w:t>
      </w:r>
      <w:r>
        <w:rPr>
          <w:rFonts w:ascii="Times New Roman" w:hAnsi="Times New Roman" w:cs="Times New Roman"/>
        </w:rPr>
        <w:t>ne są sale zabaw, sypialnie dla dzieci, pomieszczenia wydawania posiłków ze zmywalnią oraz pomieszczenia sanitarne, gabinety, jadania, kuchnia z zapleczem magazynowym oraz pralnia z zapleczem, szatnia. Obecnie budynek stanowi pustostan. Nieruchomość jest w</w:t>
      </w:r>
      <w:r>
        <w:rPr>
          <w:rFonts w:ascii="Times New Roman" w:hAnsi="Times New Roman" w:cs="Times New Roman"/>
        </w:rPr>
        <w:t>olna od umów najmu, dzierżawy.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techniczny budynku zadawalający. Standard wykończenia średni, za wyjątkiem kilku pomieszczeń wyremontowanych na parterze – wykończenie dobre. Budynek zaopatrzony</w:t>
      </w:r>
      <w:r>
        <w:rPr>
          <w:rFonts w:ascii="Times New Roman" w:hAnsi="Times New Roman" w:cs="Times New Roman"/>
        </w:rPr>
        <w:br/>
        <w:t xml:space="preserve">w instalacje: elektryczną, wodno-kanalizacyjną, grzewczą </w:t>
      </w:r>
      <w:proofErr w:type="spellStart"/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dalaczynną</w:t>
      </w:r>
      <w:proofErr w:type="spellEnd"/>
      <w:r>
        <w:rPr>
          <w:rFonts w:ascii="Times New Roman" w:hAnsi="Times New Roman" w:cs="Times New Roman"/>
        </w:rPr>
        <w:t>, CWU, gazową, telefoniczną i domofonową, wentylacyjną, odgromową, hydrantową. Źródłem ciepła jest dwufunkcyjny węzeł ciepłowniczy usytuowany w piwnicy budynku, należący do dostawcy ciepła. Instalacja CWU centralna z cyrkulacją. Nieruchomość w pe</w:t>
      </w:r>
      <w:r>
        <w:rPr>
          <w:rFonts w:ascii="Times New Roman" w:hAnsi="Times New Roman" w:cs="Times New Roman"/>
        </w:rPr>
        <w:t>łnym zasięgu miejskich sieci uzbrojenia terenu.</w:t>
      </w:r>
    </w:p>
    <w:p w:rsidR="00E16DF9" w:rsidRDefault="004603EC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Obsługa komunikacyjna nieruchomości odbywa się z ul. Rydygiera  poprzez działki nr 21/84 i 31/28 na zasadach służebności oraz poprzez drogę wewnętrzną ul. Filomatów </w:t>
      </w:r>
      <w:r>
        <w:rPr>
          <w:rFonts w:ascii="Times New Roman" w:hAnsi="Times New Roman" w:cs="Times New Roman"/>
        </w:rPr>
        <w:lastRenderedPageBreak/>
        <w:t>Pomorskich, oznaczoną nr działki nr 29/</w:t>
      </w:r>
      <w:r>
        <w:rPr>
          <w:rFonts w:ascii="Times New Roman" w:hAnsi="Times New Roman" w:cs="Times New Roman"/>
        </w:rPr>
        <w:t>26. W umowie sprzedaży zostanie ustanowiona odpłatna służebność gruntowa (jednorazowe wynagrodzenie za ustanowienie służebności gruntowej wynosi 113.488,41 zł brutto – w tym podatek VAT w wysokości 23 %) polegająca na prawie przejazdu i przechodu po tereni</w:t>
      </w:r>
      <w:r>
        <w:rPr>
          <w:rFonts w:ascii="Times New Roman" w:hAnsi="Times New Roman" w:cs="Times New Roman"/>
        </w:rPr>
        <w:t>e działki  geod. nr 29/26  o powierzchni 0,0980 ha</w:t>
      </w:r>
      <w:r>
        <w:rPr>
          <w:rFonts w:ascii="Times New Roman" w:hAnsi="Times New Roman" w:cs="Times New Roman"/>
        </w:rPr>
        <w:br/>
        <w:t xml:space="preserve">z obrębu nr 51, KW TO1T/00058593/4, stanowiącej własność Gminy Miasta Toruń – zgodnie z załącznikiem mapowym na rzecz każdoczesnego właściciela nieruchomości, położonych w Toruniu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4,</w:t>
      </w:r>
      <w:r>
        <w:rPr>
          <w:rFonts w:ascii="Times New Roman" w:hAnsi="Times New Roman" w:cs="Times New Roman"/>
        </w:rPr>
        <w:t xml:space="preserve"> 4a, oznaczonych nr działek 10/6, 21/22, 29/14, 29/16,  29/18, 10/8, o łącznej powierzchni 0,4163 ha.  Droga dojazdowa do nieruchomości jest urządzona.</w:t>
      </w:r>
    </w:p>
    <w:p w:rsidR="00E16DF9" w:rsidRDefault="004603EC">
      <w:pPr>
        <w:tabs>
          <w:tab w:val="left" w:pos="709"/>
        </w:tabs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Nabywca nieruchomości  przyjmuje do wiadomości, że dla budynku znajdującego się na nieruchomości poł</w:t>
      </w:r>
      <w:r>
        <w:rPr>
          <w:rFonts w:ascii="Times New Roman" w:hAnsi="Times New Roman" w:cs="Times New Roman"/>
        </w:rPr>
        <w:t xml:space="preserve">ożonej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4, 4a nie sporządzono świadectwa charakterystyki energetycznej.</w:t>
      </w:r>
    </w:p>
    <w:p w:rsidR="00E16DF9" w:rsidRDefault="004603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Przed przystąpieniem do przetargu jego uczestnik winien we własnym zakresie ustalić możliwość realizacji na nieruchomości planowanego przedsięwzięcia oraz jego</w:t>
      </w:r>
      <w:r>
        <w:rPr>
          <w:rFonts w:ascii="Times New Roman" w:hAnsi="Times New Roman" w:cs="Times New Roman"/>
        </w:rPr>
        <w:t xml:space="preserve"> zgodność</w:t>
      </w:r>
      <w:r>
        <w:rPr>
          <w:rFonts w:ascii="Times New Roman" w:hAnsi="Times New Roman" w:cs="Times New Roman"/>
        </w:rPr>
        <w:br/>
        <w:t xml:space="preserve">z przepisami odrębnymi. </w:t>
      </w:r>
    </w:p>
    <w:p w:rsidR="00E16DF9" w:rsidRDefault="00E16DF9">
      <w:pPr>
        <w:ind w:firstLine="708"/>
        <w:jc w:val="both"/>
        <w:rPr>
          <w:rFonts w:ascii="Times New Roman" w:hAnsi="Times New Roman" w:cs="Times New Roman"/>
        </w:rPr>
      </w:pPr>
    </w:p>
    <w:p w:rsidR="00E16DF9" w:rsidRDefault="004603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§4.1. Nieruchomość położona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4, 4a w Toruniu  jest usytuowana na terenie, dla którego brak jest miejscowego planu zagospodarowania przestrzennego. Zgodnie ze studium uwarunkowań i kierunków zagospod</w:t>
      </w:r>
      <w:r>
        <w:rPr>
          <w:rFonts w:ascii="Times New Roman" w:hAnsi="Times New Roman" w:cs="Times New Roman"/>
        </w:rPr>
        <w:t>arowania przestrzennego miasta, zatwierdzonym uchwałą Rady Miasta Torunia  Nr 805/18 z dnia 25 stycznia 2018r. roku,  przedmiotowy grunt znajduje się w granicach jednostki XII Rubinkowo, w strefie zurbanizowanej, podstrefie Z.1, na obszarze funkcjonalnym o</w:t>
      </w:r>
      <w:r>
        <w:rPr>
          <w:rFonts w:ascii="Times New Roman" w:hAnsi="Times New Roman" w:cs="Times New Roman"/>
        </w:rPr>
        <w:t>znaczonym jako „obszary zabudowy mieszkaniowej wielorodzinnej”.</w:t>
      </w:r>
    </w:p>
    <w:p w:rsidR="00E16DF9" w:rsidRDefault="004603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dniu 14 grudnia 2020r.  została wydana z upoważnienia Prezydenta Miasta Torunia decyzja o warunkach zabudowy dla inwestycji polegającej na budowie budynku mieszkalnego wielorodzinnego na </w:t>
      </w:r>
      <w:r>
        <w:rPr>
          <w:rFonts w:ascii="Times New Roman" w:hAnsi="Times New Roman" w:cs="Times New Roman"/>
        </w:rPr>
        <w:t xml:space="preserve">terenie położonym przy ul. </w:t>
      </w:r>
      <w:proofErr w:type="spellStart"/>
      <w:r>
        <w:rPr>
          <w:rFonts w:ascii="Times New Roman" w:hAnsi="Times New Roman" w:cs="Times New Roman"/>
        </w:rPr>
        <w:t>Donimirskiego</w:t>
      </w:r>
      <w:proofErr w:type="spellEnd"/>
      <w:r>
        <w:rPr>
          <w:rFonts w:ascii="Times New Roman" w:hAnsi="Times New Roman" w:cs="Times New Roman"/>
        </w:rPr>
        <w:t xml:space="preserve"> 4, 4a w Toruniu (działki nr 10/6, 10/8, 21/22, 29/14, 29/16, 29/18 obręb nr 51). Decyzja określa przeznaczenie terenu oraz wymagania dla nowej zabudowy i zagospodarowania terenu w tym: wskaźnik wielkości powierzchni</w:t>
      </w:r>
      <w:r>
        <w:rPr>
          <w:rFonts w:ascii="Times New Roman" w:hAnsi="Times New Roman" w:cs="Times New Roman"/>
        </w:rPr>
        <w:t xml:space="preserve">  zabudowy: maksymalnie 20% powierzchni terenu,  udział powierzchni biologicznie czynnej: nie mniej niż 25 % powierzchni terenu, maksymalną wysokość elewacji budynku  ustalono na 17 m, geometrię dachu: dach płaski o kącie nachylenia połaci dachowej  do 12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. Dla potrzeb decyzji analizowany był teren w odległości trzykrotnej szerokości frontu działki. Działki gminne sąsiadują z terenem prywatnego przedszkola „Jaś i Małgosia” oraz budynkami mieszkalnymi wielorodzinnymi. Istniejące budynki dawnego żłobka i istn</w:t>
      </w:r>
      <w:r>
        <w:rPr>
          <w:rFonts w:ascii="Times New Roman" w:hAnsi="Times New Roman" w:cs="Times New Roman"/>
        </w:rPr>
        <w:t>iejącego przedszkola mają wysokość II kondygnacji nadziemnych (ok. 8-9 m od poziomu terenu). Zabudowa mieszkaniowa otaczająca obiekty to cztery budynki V kondygnacyjne i jeden XII kondygnacyjny.  Położenie terenu gminnego w głębi osiedla, nie wprowadza kon</w:t>
      </w:r>
      <w:r>
        <w:rPr>
          <w:rFonts w:ascii="Times New Roman" w:hAnsi="Times New Roman" w:cs="Times New Roman"/>
        </w:rPr>
        <w:t>ieczności nawiązania do linii wyznaczonej istniejącą zabudową wzdłuż ulic. Możliwe jest dowolne usytuowanie  nowej zabudowy, zachowując: wymagane odległości od granic sąsiednich działek budowlanych, bezpieczeństwo przeciwpożarowe oraz zapewnienia nasłonecz</w:t>
      </w:r>
      <w:r>
        <w:rPr>
          <w:rFonts w:ascii="Times New Roman" w:hAnsi="Times New Roman" w:cs="Times New Roman"/>
        </w:rPr>
        <w:t>nienia istniejącym budynkom mieszkalnym, sąsiadującym od wschodu i północy. Poszczególne budynki mieszkalne znajdują się na wydzielonych działkach,  z zachowaniem minimalnych odległości od ścian budynku (najczęściej 3m i 4m). Poza tymi działkami znajdują s</w:t>
      </w:r>
      <w:r>
        <w:rPr>
          <w:rFonts w:ascii="Times New Roman" w:hAnsi="Times New Roman" w:cs="Times New Roman"/>
        </w:rPr>
        <w:t>ię tereny służące budynkom mieszkalnym – place zabaw, boiska, tereny zieleni, wiaty na odpady, parkingi i drogi wewnętrzne.</w:t>
      </w:r>
    </w:p>
    <w:p w:rsidR="00E16DF9" w:rsidRDefault="00E16DF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16DF9" w:rsidRDefault="004603E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§5.1 </w:t>
      </w:r>
      <w:r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25" w:type="dxa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E16DF9">
        <w:trPr>
          <w:trHeight w:val="362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16DF9" w:rsidRDefault="004603EC">
            <w:pPr>
              <w:pStyle w:val="Zawartotabeli"/>
              <w:spacing w:after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0" w:type="dxa"/>
            </w:tcMar>
          </w:tcPr>
          <w:p w:rsidR="00E16DF9" w:rsidRDefault="004603EC">
            <w:pPr>
              <w:pStyle w:val="Zawartotabeli"/>
              <w:spacing w:after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E16DF9">
        <w:trPr>
          <w:trHeight w:val="306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</w:tcMar>
          </w:tcPr>
          <w:p w:rsidR="00E16DF9" w:rsidRDefault="004603EC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4.000.000,-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</w:tcMar>
          </w:tcPr>
          <w:p w:rsidR="00E16DF9" w:rsidRDefault="004603EC">
            <w:pPr>
              <w:pStyle w:val="Zawartotabeli0"/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400.000,-</w:t>
            </w:r>
          </w:p>
        </w:tc>
      </w:tr>
    </w:tbl>
    <w:p w:rsidR="00E16DF9" w:rsidRDefault="004603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Sprzedaż będzie zwolniona z podatku VAT jako, że dostawa nieruchomości spełnia przesłanki do zastosowania zwolnienia od podatku od towarów i usług - na podstawie art. 43 ust. 1 pkt. 10 ustawy o podatku od towarów i usług. Nieruchomość przeszła przez pro</w:t>
      </w:r>
      <w:r>
        <w:rPr>
          <w:rFonts w:ascii="Times New Roman" w:hAnsi="Times New Roman" w:cs="Times New Roman"/>
        </w:rPr>
        <w:t xml:space="preserve">ces „pierwszego zasiedlenia”, a jej dostawa nastąpi po upływie dwóch lat od tego zdarzenia. </w:t>
      </w:r>
    </w:p>
    <w:p w:rsidR="00E16DF9" w:rsidRDefault="00E16DF9">
      <w:pPr>
        <w:jc w:val="both"/>
        <w:rPr>
          <w:rFonts w:ascii="Times New Roman" w:eastAsia="Liberation Serif" w:hAnsi="Times New Roman" w:cs="Times New Roman"/>
        </w:rPr>
      </w:pPr>
    </w:p>
    <w:p w:rsidR="00E16DF9" w:rsidRDefault="004603EC">
      <w:pPr>
        <w:pStyle w:val="Tretekstu"/>
        <w:tabs>
          <w:tab w:val="left" w:pos="42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</w:t>
      </w:r>
      <w:r>
        <w:rPr>
          <w:rFonts w:ascii="Times New Roman" w:hAnsi="Times New Roman" w:cs="Times New Roman"/>
        </w:rPr>
        <w:t xml:space="preserve">2202  0000  0003  3943  1400 w terminie </w:t>
      </w:r>
      <w:r>
        <w:rPr>
          <w:rFonts w:ascii="Times New Roman" w:hAnsi="Times New Roman" w:cs="Times New Roman"/>
          <w:b/>
        </w:rPr>
        <w:t>do dnia 25 sierpnia 2021r.,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lokalu, do licytacji którego uc</w:t>
      </w:r>
      <w:r>
        <w:rPr>
          <w:rFonts w:ascii="Times New Roman" w:eastAsia="Times New Roman" w:hAnsi="Times New Roman" w:cs="Times New Roman"/>
        </w:rPr>
        <w:t>zestnik zamierza przystąpić. Wpłacone wadium uprawnia do uczestnictwa wyłącznie w przetargu, którego dotyczy.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</w:t>
      </w:r>
      <w:r>
        <w:rPr>
          <w:rFonts w:ascii="Times New Roman" w:hAnsi="Times New Roman" w:cs="Times New Roman"/>
        </w:rPr>
        <w:t>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 27 sierpnia 2021r. stwierdzi dokonanie wpłaty wadium na podstawie wyciągu bankowego z wskazanego konta i sporządzi wykaz osób, które spełniły ten warunek.</w:t>
      </w:r>
    </w:p>
    <w:p w:rsidR="00E16DF9" w:rsidRDefault="00E16DF9">
      <w:pPr>
        <w:spacing w:line="276" w:lineRule="auto"/>
        <w:jc w:val="both"/>
        <w:rPr>
          <w:rFonts w:ascii="Times New Roman" w:hAnsi="Times New Roman" w:cs="Times New Roman"/>
        </w:rPr>
      </w:pP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§7.1. Uczestnicy przetargu i osoby działające w ich imieniu winni przed przystąpieniem do licytacji przedstawić Komisji Przetargowej: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</w:t>
      </w:r>
      <w:r>
        <w:rPr>
          <w:rFonts w:ascii="Times New Roman" w:hAnsi="Times New Roman" w:cs="Times New Roman"/>
        </w:rPr>
        <w:t>ie będące osobami prawnymi, którym ustawa przyznała zdolność prawną: aktualny wypis z właściwego rejestru oraz upoważnienie organu uprawnionego do reprezentowania podmiotu;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</w:t>
      </w:r>
      <w:r>
        <w:rPr>
          <w:rFonts w:ascii="Times New Roman" w:hAnsi="Times New Roman" w:cs="Times New Roman"/>
        </w:rPr>
        <w:t>b pełnomocnictwo do nabycia nieruchomości (w formie aktu notarialnego);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współmałżonka.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</w:t>
      </w:r>
      <w:r>
        <w:rPr>
          <w:rFonts w:ascii="Times New Roman" w:hAnsi="Times New Roman" w:cs="Times New Roman"/>
        </w:rPr>
        <w:t xml:space="preserve"> 1 skutkować będzie nie dopuszczeniem do uczestnictwa w przetargu.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W przetargu nie mogą uczestniczyć osoby wchodzące w skład Komisji Przetargowej, osoby im bliskie, lub pozostające w takim stosunku prawnym lub faktycznym, że może budzić to uzasadnione </w:t>
      </w:r>
      <w:r>
        <w:rPr>
          <w:rFonts w:ascii="Times New Roman" w:hAnsi="Times New Roman" w:cs="Times New Roman"/>
        </w:rPr>
        <w:t>wątpliwości co do bezstronności Komisji Przetargowej.</w:t>
      </w:r>
    </w:p>
    <w:p w:rsidR="00E16DF9" w:rsidRDefault="00E16DF9">
      <w:pPr>
        <w:spacing w:line="276" w:lineRule="auto"/>
        <w:jc w:val="both"/>
        <w:rPr>
          <w:rFonts w:ascii="Times New Roman" w:hAnsi="Times New Roman" w:cs="Times New Roman"/>
        </w:rPr>
      </w:pPr>
    </w:p>
    <w:p w:rsidR="00E16DF9" w:rsidRDefault="004603EC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E16DF9" w:rsidRDefault="004603EC">
      <w:pPr>
        <w:pStyle w:val="Tretekstu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Uczestnicy p</w:t>
      </w:r>
      <w:r>
        <w:rPr>
          <w:rFonts w:ascii="Times New Roman" w:eastAsia="Times New Roman" w:hAnsi="Times New Roman" w:cs="Times New Roman"/>
        </w:rPr>
        <w:t xml:space="preserve">rzetargu zgłaszają kolejne postąpienia w wysokości nie niższej niż 1% ceny wywoławczej z </w:t>
      </w:r>
      <w:r>
        <w:rPr>
          <w:rFonts w:ascii="Times New Roman" w:hAnsi="Times New Roman" w:cs="Times New Roman"/>
        </w:rPr>
        <w:t>zaokrągleniem w górę do pełnych dziesiątek złotych.</w:t>
      </w:r>
    </w:p>
    <w:p w:rsidR="00E16DF9" w:rsidRDefault="00E16DF9">
      <w:pPr>
        <w:pStyle w:val="Tretekstu"/>
        <w:tabs>
          <w:tab w:val="left" w:pos="435"/>
        </w:tabs>
        <w:ind w:firstLine="567"/>
        <w:rPr>
          <w:rFonts w:ascii="Times New Roman" w:eastAsia="Times New Roman" w:hAnsi="Times New Roman" w:cs="Times New Roman"/>
        </w:rPr>
      </w:pPr>
    </w:p>
    <w:p w:rsidR="00E16DF9" w:rsidRDefault="004603EC">
      <w:pPr>
        <w:pStyle w:val="Tretekstu"/>
        <w:tabs>
          <w:tab w:val="left" w:pos="435"/>
        </w:tabs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§9.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O rozstrzygnięciu licytacji decyduje wielkość i kolejność zaoferowanej ceny.</w:t>
      </w:r>
    </w:p>
    <w:p w:rsidR="00E16DF9" w:rsidRDefault="00E16DF9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</w:p>
    <w:p w:rsidR="00E16DF9" w:rsidRDefault="004603EC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§10. Po trzecim wywołaniu </w:t>
      </w:r>
      <w:r>
        <w:rPr>
          <w:rFonts w:ascii="Times New Roman" w:eastAsia="Times New Roman" w:hAnsi="Times New Roman" w:cs="Times New Roman"/>
        </w:rPr>
        <w:t>najwyższej zaoferowanej ceny dalsze postąpienia nie zostaną przyjęte.</w:t>
      </w:r>
    </w:p>
    <w:p w:rsidR="00E16DF9" w:rsidRDefault="00E16DF9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</w:p>
    <w:p w:rsidR="00E16DF9" w:rsidRDefault="004603EC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§11. Przetarg jest ważny bez względu na liczbę uczestników przetargu, jeżeli chociaż jeden uczestnik zaoferuje co najmniej jedno postąpienie powyżej ceny wywoławczej.</w:t>
      </w:r>
    </w:p>
    <w:p w:rsidR="00E16DF9" w:rsidRDefault="00E16DF9">
      <w:pPr>
        <w:pStyle w:val="Tretekstu"/>
        <w:tabs>
          <w:tab w:val="left" w:pos="424"/>
        </w:tabs>
        <w:ind w:firstLine="567"/>
        <w:rPr>
          <w:rFonts w:ascii="Times New Roman" w:eastAsia="Times New Roman" w:hAnsi="Times New Roman" w:cs="Times New Roman"/>
        </w:rPr>
      </w:pPr>
    </w:p>
    <w:p w:rsidR="00E16DF9" w:rsidRDefault="00E16DF9">
      <w:pPr>
        <w:ind w:firstLine="567"/>
        <w:jc w:val="both"/>
        <w:rPr>
          <w:rFonts w:ascii="Times New Roman" w:hAnsi="Times New Roman" w:cs="Times New Roman"/>
        </w:rPr>
      </w:pPr>
    </w:p>
    <w:p w:rsidR="00E16DF9" w:rsidRDefault="004603E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§12. Wadium wpła</w:t>
      </w:r>
      <w:r>
        <w:rPr>
          <w:rFonts w:ascii="Times New Roman" w:hAnsi="Times New Roman" w:cs="Times New Roman"/>
        </w:rPr>
        <w:t>cone przez uczestnika, który przetarg wygrał zalicza się na poczet ceny sprzedaży z chwilą zawarcia umowy przenoszącej własność nieruchomości w formie aktu notarialnego.</w:t>
      </w:r>
    </w:p>
    <w:p w:rsidR="00E16DF9" w:rsidRDefault="00E16DF9">
      <w:pPr>
        <w:ind w:firstLine="567"/>
        <w:jc w:val="both"/>
        <w:rPr>
          <w:rFonts w:ascii="Times New Roman" w:hAnsi="Times New Roman" w:cs="Times New Roman"/>
        </w:rPr>
      </w:pPr>
    </w:p>
    <w:p w:rsidR="00E16DF9" w:rsidRDefault="004603E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§13. Pozostałym uczestnikom przetargu wadium zostanie niezwłocznie, nie później niż p</w:t>
      </w:r>
      <w:r>
        <w:rPr>
          <w:rFonts w:ascii="Times New Roman" w:hAnsi="Times New Roman" w:cs="Times New Roman"/>
        </w:rPr>
        <w:t>rzed upływem 3 dni od dnia odwołania, unieważnienia lub rozstrzygnięcia przetargu, zwrócone przelewem  - w wysokości nominalnej, na wskazane przez nich konto. W przypadku braku pisemnego wskazania - najpóźniej w dniu przetargu - rachunku bankowego, na któr</w:t>
      </w:r>
      <w:r>
        <w:rPr>
          <w:rFonts w:ascii="Times New Roman" w:hAnsi="Times New Roman" w:cs="Times New Roman"/>
        </w:rPr>
        <w:t>e ma być dokonany zwrot wadium zostanie ono zwrócone na konto, z którego wpłynęło.</w:t>
      </w:r>
    </w:p>
    <w:p w:rsidR="00E16DF9" w:rsidRDefault="00E16DF9">
      <w:pPr>
        <w:ind w:firstLine="567"/>
        <w:jc w:val="both"/>
        <w:rPr>
          <w:rFonts w:ascii="Times New Roman" w:hAnsi="Times New Roman" w:cs="Times New Roman"/>
        </w:rPr>
      </w:pPr>
    </w:p>
    <w:p w:rsidR="00E16DF9" w:rsidRDefault="004603EC">
      <w:pPr>
        <w:pStyle w:val="Tretekstu"/>
        <w:tabs>
          <w:tab w:val="left" w:pos="424"/>
        </w:tabs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§14.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1. Protokół przetargu sporządza się w trzech jednobrzmiących egzemplarzach.</w:t>
      </w:r>
    </w:p>
    <w:p w:rsidR="00E16DF9" w:rsidRDefault="004603EC">
      <w:pPr>
        <w:pStyle w:val="Tretekstu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Protokół przetargu stanowi podstawę do zawarcia aktu notarialnego.</w:t>
      </w:r>
    </w:p>
    <w:p w:rsidR="00E16DF9" w:rsidRDefault="00E16DF9">
      <w:pPr>
        <w:pStyle w:val="Tretekstu"/>
        <w:ind w:firstLine="567"/>
        <w:rPr>
          <w:rFonts w:ascii="Times New Roman" w:eastAsia="Times New Roman" w:hAnsi="Times New Roman" w:cs="Times New Roman"/>
        </w:rPr>
      </w:pPr>
    </w:p>
    <w:p w:rsidR="00E16DF9" w:rsidRDefault="004603E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§15.1. </w:t>
      </w:r>
      <w:r>
        <w:rPr>
          <w:rStyle w:val="alb"/>
          <w:rFonts w:ascii="Times New Roman" w:hAnsi="Times New Roman" w:cs="Times New Roman"/>
        </w:rPr>
        <w:t>Prezydent Mi</w:t>
      </w:r>
      <w:r>
        <w:rPr>
          <w:rStyle w:val="alb"/>
          <w:rFonts w:ascii="Times New Roman" w:hAnsi="Times New Roman" w:cs="Times New Roman"/>
        </w:rPr>
        <w:t xml:space="preserve">asta Torunia </w:t>
      </w:r>
      <w:r>
        <w:rPr>
          <w:rFonts w:ascii="Times New Roman" w:hAnsi="Times New Roman" w:cs="Times New Roman"/>
        </w:rPr>
        <w:t xml:space="preserve">zawiadomi osobę ustaloną jako nabywca nieruchomości o miejscu i terminie zawarcia umowy sprzedaży  nieruchomości, najpóźniej w ciągu 21 dni od dnia rozstrzygnięcia przetargu. Wyznaczony termin nie może być krótszy niż 7 dni od dnia doręczenia </w:t>
      </w:r>
      <w:r>
        <w:rPr>
          <w:rFonts w:ascii="Times New Roman" w:hAnsi="Times New Roman" w:cs="Times New Roman"/>
        </w:rPr>
        <w:t>zawiadomienia.</w:t>
      </w:r>
    </w:p>
    <w:p w:rsidR="00E16DF9" w:rsidRDefault="004603EC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</w:t>
      </w:r>
      <w:proofErr w:type="spellStart"/>
      <w:r>
        <w:rPr>
          <w:rFonts w:ascii="Times New Roman" w:hAnsi="Times New Roman" w:cs="Times New Roman"/>
        </w:rPr>
        <w:t>przetargu.W</w:t>
      </w:r>
      <w:proofErr w:type="spellEnd"/>
      <w:r>
        <w:rPr>
          <w:rFonts w:ascii="Times New Roman" w:hAnsi="Times New Roman" w:cs="Times New Roman"/>
        </w:rPr>
        <w:t xml:space="preserve"> przypadku wystąpienia wyjątkowych  okoliczności, których osoba ustalo</w:t>
      </w:r>
      <w:r>
        <w:rPr>
          <w:rFonts w:ascii="Times New Roman" w:hAnsi="Times New Roman" w:cs="Times New Roman"/>
        </w:rPr>
        <w:t xml:space="preserve">na jako nabywca nieruchomości przetargu nie mogła przewidzieć w dniu przetargu, Prezydent Miasta Torunia może zadecydować o przesunięciu  terminu zawarcia umowy. </w:t>
      </w:r>
    </w:p>
    <w:p w:rsidR="00E16DF9" w:rsidRDefault="004603EC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</w:t>
      </w:r>
      <w:r>
        <w:rPr>
          <w:rFonts w:ascii="Times New Roman" w:hAnsi="Times New Roman" w:cs="Times New Roman"/>
        </w:rPr>
        <w:t>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E16DF9" w:rsidRDefault="00E16DF9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</w:p>
    <w:p w:rsidR="00E16DF9" w:rsidRDefault="004603EC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§16.  Zwycięzca przetargu </w:t>
      </w:r>
      <w:r>
        <w:rPr>
          <w:color w:val="000000"/>
          <w:sz w:val="24"/>
          <w:szCs w:val="24"/>
        </w:rPr>
        <w:t>zobowiązany jest zapłacić:</w:t>
      </w:r>
    </w:p>
    <w:p w:rsidR="00E16DF9" w:rsidRDefault="004603EC">
      <w:pPr>
        <w:pStyle w:val="Textbody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E16DF9" w:rsidRDefault="004603EC">
      <w:pPr>
        <w:pStyle w:val="Textbody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 tytułu ustan</w:t>
      </w:r>
      <w:r>
        <w:rPr>
          <w:color w:val="000000"/>
          <w:sz w:val="24"/>
          <w:szCs w:val="24"/>
        </w:rPr>
        <w:t>owienia służebności gruntowej przelewem na rachunek bankowy Urzędu Miasta Torunia - BANK MILLENNIUM S.A. O/Toruń nr 11 1160 2202  0000 0002 7172 9422,</w:t>
      </w:r>
    </w:p>
    <w:p w:rsidR="00E16DF9" w:rsidRDefault="004603EC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</w:t>
      </w:r>
      <w:r>
        <w:rPr>
          <w:color w:val="000000"/>
          <w:sz w:val="24"/>
          <w:szCs w:val="24"/>
        </w:rPr>
        <w:t>y potwierdzenie wpływu środków pieniężnych na wyżej wskazane konta.</w:t>
      </w:r>
    </w:p>
    <w:p w:rsidR="00E16DF9" w:rsidRDefault="00E16DF9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E16DF9" w:rsidRDefault="004603EC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E16DF9" w:rsidRDefault="00E16DF9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</w:p>
    <w:p w:rsidR="00E16DF9" w:rsidRDefault="004603EC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</w:t>
      </w:r>
      <w:r>
        <w:rPr>
          <w:color w:val="000000"/>
          <w:sz w:val="24"/>
          <w:szCs w:val="24"/>
        </w:rPr>
        <w:t>abycia nieruchomości ponosi nabywający.</w:t>
      </w:r>
    </w:p>
    <w:p w:rsidR="00E16DF9" w:rsidRDefault="004603EC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E16DF9" w:rsidRDefault="004603EC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</w:t>
      </w:r>
    </w:p>
    <w:p w:rsidR="00E16DF9" w:rsidRDefault="004603EC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     §20.</w:t>
      </w:r>
      <w:r>
        <w:rPr>
          <w:color w:val="000000"/>
          <w:sz w:val="24"/>
          <w:szCs w:val="24"/>
        </w:rPr>
        <w:t xml:space="preserve"> Prezydent Miasta Torunia może z ważnych powodów  odwołać przetarg.</w:t>
      </w:r>
    </w:p>
    <w:p w:rsidR="00E16DF9" w:rsidRDefault="00E16DF9">
      <w:pPr>
        <w:pStyle w:val="Textbody"/>
        <w:spacing w:after="0" w:line="240" w:lineRule="auto"/>
        <w:rPr>
          <w:color w:val="000000"/>
          <w:sz w:val="24"/>
          <w:szCs w:val="24"/>
        </w:rPr>
      </w:pPr>
    </w:p>
    <w:p w:rsidR="00E16DF9" w:rsidRDefault="004603EC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      §21. 1. Uczestnik przetargu może zaskarżyć czynności związane z przeprowadzeniem przetargu do Prezydenta Miasta Torunia. Skarga winna być wniesiona w terminie 7 dni od dnia ogłosze</w:t>
      </w:r>
      <w:r>
        <w:rPr>
          <w:color w:val="000000"/>
          <w:sz w:val="24"/>
          <w:szCs w:val="24"/>
        </w:rPr>
        <w:t>nia wyniku przetargu.</w:t>
      </w:r>
    </w:p>
    <w:p w:rsidR="00E16DF9" w:rsidRDefault="004603EC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E16DF9" w:rsidRDefault="004603EC">
      <w:pPr>
        <w:pStyle w:val="Textbody"/>
        <w:spacing w:after="0" w:line="240" w:lineRule="auto"/>
        <w:ind w:firstLine="576"/>
        <w:jc w:val="both"/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sectPr w:rsidR="00E16DF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DB5"/>
    <w:multiLevelType w:val="multilevel"/>
    <w:tmpl w:val="5B2AE29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B51EFA"/>
    <w:multiLevelType w:val="multilevel"/>
    <w:tmpl w:val="4524F4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066621"/>
    <w:multiLevelType w:val="multilevel"/>
    <w:tmpl w:val="803CE198"/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9"/>
    <w:rsid w:val="004603EC"/>
    <w:rsid w:val="00E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78D5-4A30-4A81-A853-B5C16D1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F3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semiHidden/>
    <w:qFormat/>
    <w:rsid w:val="00635DF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35DF3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lb">
    <w:name w:val="a_lb"/>
    <w:basedOn w:val="Domylnaczcionkaakapitu"/>
    <w:qFormat/>
    <w:rsid w:val="00635D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5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635DF3"/>
    <w:pPr>
      <w:widowControl/>
      <w:suppressAutoHyphens w:val="0"/>
      <w:jc w:val="both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5DF3"/>
    <w:pPr>
      <w:spacing w:after="120" w:line="480" w:lineRule="auto"/>
      <w:ind w:left="283"/>
    </w:pPr>
    <w:rPr>
      <w:szCs w:val="21"/>
    </w:rPr>
  </w:style>
  <w:style w:type="paragraph" w:customStyle="1" w:styleId="Zawartotabeli">
    <w:name w:val="Zawartość tabeli"/>
    <w:basedOn w:val="Tretekstu"/>
    <w:qFormat/>
    <w:rsid w:val="00635DF3"/>
    <w:pPr>
      <w:suppressLineNumbers/>
      <w:spacing w:after="120"/>
    </w:pPr>
    <w:rPr>
      <w:rFonts w:ascii="Times New Roman" w:eastAsia="Lucida Sans Unicode" w:hAnsi="Times New Roman" w:cs="Times New Roman"/>
      <w:lang w:eastAsia="pl-PL"/>
    </w:rPr>
  </w:style>
  <w:style w:type="paragraph" w:customStyle="1" w:styleId="Zawartotabeli0">
    <w:name w:val="Zawarto?? tabeli"/>
    <w:basedOn w:val="Normalny"/>
    <w:qFormat/>
    <w:rsid w:val="00635DF3"/>
    <w:pPr>
      <w:suppressLineNumbers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customStyle="1" w:styleId="Akapitzlist1">
    <w:name w:val="Akapit z listą1"/>
    <w:basedOn w:val="Normalny"/>
    <w:uiPriority w:val="99"/>
    <w:qFormat/>
    <w:rsid w:val="00635DF3"/>
    <w:pPr>
      <w:widowControl/>
      <w:suppressAutoHyphens w:val="0"/>
      <w:ind w:left="72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Textbody">
    <w:name w:val="Text body"/>
    <w:basedOn w:val="Normalny"/>
    <w:qFormat/>
    <w:rsid w:val="00B955D3"/>
    <w:pPr>
      <w:widowControl/>
      <w:suppressAutoHyphens w:val="0"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5D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6C68-E57D-461B-B83B-4245900F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m.wisniewska</cp:lastModifiedBy>
  <cp:revision>2</cp:revision>
  <cp:lastPrinted>2021-06-07T11:35:00Z</cp:lastPrinted>
  <dcterms:created xsi:type="dcterms:W3CDTF">2021-06-25T10:53:00Z</dcterms:created>
  <dcterms:modified xsi:type="dcterms:W3CDTF">2021-06-25T10:53:00Z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