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23" w:rsidRDefault="00584C23" w:rsidP="00584C23">
      <w:pPr>
        <w:pageBreakBefore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ZARZĄDZENIE</w:t>
      </w:r>
    </w:p>
    <w:p w:rsidR="00584C23" w:rsidRDefault="00584C23" w:rsidP="00584C23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  <w:r w:rsidR="00B2214D">
        <w:rPr>
          <w:rFonts w:cs="Times New Roman"/>
          <w:b/>
        </w:rPr>
        <w:t xml:space="preserve"> Nr 148</w:t>
      </w:r>
    </w:p>
    <w:p w:rsidR="00584C23" w:rsidRDefault="00584C23" w:rsidP="00584C23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B2214D">
        <w:rPr>
          <w:rFonts w:cs="Times New Roman"/>
          <w:b/>
        </w:rPr>
        <w:t xml:space="preserve"> 14.07.2021 r.</w:t>
      </w:r>
    </w:p>
    <w:p w:rsidR="00584C23" w:rsidRDefault="00584C23" w:rsidP="00584C23">
      <w:pPr>
        <w:rPr>
          <w:rFonts w:cs="Times New Roman"/>
          <w:b/>
        </w:rPr>
      </w:pPr>
    </w:p>
    <w:p w:rsidR="00584C23" w:rsidRPr="00584C23" w:rsidRDefault="00584C23" w:rsidP="00584C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obciążenia </w:t>
      </w:r>
      <w:r w:rsidRPr="00584C23">
        <w:rPr>
          <w:rFonts w:ascii="Times New Roman" w:hAnsi="Times New Roman" w:cs="Times New Roman"/>
          <w:b/>
          <w:sz w:val="24"/>
          <w:szCs w:val="24"/>
        </w:rPr>
        <w:t>służebnością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przesyłu </w:t>
      </w:r>
      <w:r w:rsidRPr="00584C23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stanowiących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własność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Gminy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Miasta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Toruń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położonych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Toruniu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przy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ulicy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 xml:space="preserve">63. Pułku Piechoty 74, Letniej i 63. Pułku Piechoty 73-73B/gen. </w:t>
      </w:r>
      <w:r w:rsidR="006A45F1">
        <w:rPr>
          <w:rFonts w:ascii="Times New Roman" w:hAnsi="Times New Roman" w:cs="Times New Roman"/>
          <w:b/>
          <w:sz w:val="24"/>
          <w:szCs w:val="24"/>
        </w:rPr>
        <w:t xml:space="preserve">W. </w:t>
      </w:r>
      <w:r w:rsidRPr="00584C23">
        <w:rPr>
          <w:rFonts w:ascii="Times New Roman" w:hAnsi="Times New Roman" w:cs="Times New Roman"/>
          <w:b/>
          <w:sz w:val="24"/>
          <w:szCs w:val="24"/>
        </w:rPr>
        <w:t xml:space="preserve">Andersa 77-85 </w:t>
      </w:r>
    </w:p>
    <w:p w:rsidR="00584C23" w:rsidRPr="00D3469E" w:rsidRDefault="00584C23" w:rsidP="00584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4C23" w:rsidRDefault="00584C23" w:rsidP="00584C23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713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zm.</w:t>
      </w:r>
      <w:r w:rsidRPr="0038217E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2015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 xml:space="preserve">4759 z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 zm.</w:t>
      </w:r>
      <w:r>
        <w:rPr>
          <w:rStyle w:val="Odwoanieprzypisudolnego"/>
          <w:rFonts w:cs="Times New Roman"/>
        </w:rPr>
        <w:footnoteReference w:id="2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</w:p>
    <w:p w:rsidR="00584C23" w:rsidRDefault="00584C23" w:rsidP="00584C23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584C23" w:rsidRDefault="00584C23" w:rsidP="00584C23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584C23" w:rsidRPr="00574F3E" w:rsidRDefault="00584C23" w:rsidP="00584C23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 w:rsidR="002F3684">
        <w:t>ENERGA OPERATOR S.A.</w:t>
      </w:r>
      <w:r w:rsidR="002F3684">
        <w:br/>
      </w:r>
      <w:r w:rsidR="00474E58">
        <w:t>z siedzibą</w:t>
      </w:r>
      <w:r w:rsidR="00AE4B08">
        <w:t xml:space="preserve"> </w:t>
      </w:r>
      <w:r w:rsidR="00474E58">
        <w:t>w Gdańsku przy ul. Marynarki Polskiej 130, 8</w:t>
      </w:r>
      <w:r w:rsidR="002F3684">
        <w:t>0-557 Gdańsk, Oddział w Toruniu</w:t>
      </w:r>
      <w:r w:rsidR="002F3684">
        <w:br/>
      </w:r>
      <w:r w:rsidR="00474E58">
        <w:t xml:space="preserve">z siedzibą w Toruniu przy ul. Gen. Bema 128, na nieruchomościach będących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 w:rsidR="00AE4B08" w:rsidRPr="00CD719D">
        <w:rPr>
          <w:rFonts w:cs="Times New Roman"/>
        </w:rPr>
        <w:t xml:space="preserve">znajdujących się w obrębie 70 oznaczonych geodezyjnie jako działki nr: 791 położona przy ul. 63. Pułku Piechoty 74 zapisana w KW nr TO1T/00016659/9, 792 położona przy ul. Letniej zapisana w KW nr TO1T/00015764/1 i 1108/1 </w:t>
      </w:r>
      <w:r w:rsidR="00CD719D" w:rsidRPr="00CD719D">
        <w:rPr>
          <w:rFonts w:cs="Times New Roman"/>
        </w:rPr>
        <w:t>położona</w:t>
      </w:r>
      <w:r w:rsidR="00AE4B08" w:rsidRPr="00CD719D">
        <w:rPr>
          <w:rFonts w:cs="Times New Roman"/>
        </w:rPr>
        <w:t xml:space="preserve"> przy ul. 63. Pułku Piechoty 73-73B/gen. Andersa 77-85 zapisan</w:t>
      </w:r>
      <w:r w:rsidR="00CD719D" w:rsidRPr="00CD719D">
        <w:rPr>
          <w:rFonts w:cs="Times New Roman"/>
        </w:rPr>
        <w:t>a</w:t>
      </w:r>
      <w:r w:rsidR="00AE4B08" w:rsidRPr="00CD719D">
        <w:rPr>
          <w:rFonts w:cs="Times New Roman"/>
        </w:rPr>
        <w:t xml:space="preserve"> w KW nr TO1T/00065346/0</w:t>
      </w:r>
      <w:r w:rsidRPr="00CD719D">
        <w:rPr>
          <w:rFonts w:eastAsia="Times New Roman" w:cs="Times New Roman"/>
        </w:rPr>
        <w:t xml:space="preserve">, </w:t>
      </w:r>
      <w:r w:rsidR="002F3684"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 w:rsidR="002F3684">
        <w:rPr>
          <w:rFonts w:eastAsia="Times New Roman" w:cs="Times New Roman"/>
        </w:rPr>
        <w:t xml:space="preserve">gruntu </w:t>
      </w:r>
      <w:r w:rsidR="003434E8" w:rsidRPr="003434E8">
        <w:rPr>
          <w:rFonts w:eastAsia="Times New Roman" w:cs="Times New Roman"/>
        </w:rPr>
        <w:t>o łącznej długości 237,4</w:t>
      </w:r>
      <w:r w:rsidRPr="003434E8">
        <w:rPr>
          <w:rFonts w:eastAsia="Times New Roman" w:cs="Times New Roman"/>
        </w:rPr>
        <w:t xml:space="preserve"> m, </w:t>
      </w:r>
      <w:r w:rsidR="007613CA">
        <w:rPr>
          <w:rFonts w:eastAsia="Times New Roman" w:cs="Times New Roman"/>
        </w:rPr>
        <w:t>i powierzchnią pasa technologicznego:</w:t>
      </w:r>
      <w:r w:rsidRPr="003434E8">
        <w:rPr>
          <w:rFonts w:eastAsia="Times New Roman" w:cs="Times New Roman"/>
        </w:rPr>
        <w:t xml:space="preserve"> </w:t>
      </w:r>
      <w:r w:rsidR="003434E8" w:rsidRPr="003434E8">
        <w:rPr>
          <w:rFonts w:eastAsia="Times New Roman" w:cs="Times New Roman"/>
        </w:rPr>
        <w:t>182 m</w:t>
      </w:r>
      <w:r w:rsidR="003434E8" w:rsidRPr="003434E8">
        <w:rPr>
          <w:rFonts w:eastAsia="Times New Roman" w:cs="Times New Roman"/>
          <w:vertAlign w:val="superscript"/>
        </w:rPr>
        <w:t>2</w:t>
      </w:r>
      <w:r w:rsidR="006E22C8">
        <w:rPr>
          <w:rFonts w:eastAsia="Times New Roman" w:cs="Times New Roman"/>
        </w:rPr>
        <w:br/>
      </w:r>
      <w:r w:rsidR="003434E8" w:rsidRPr="003434E8">
        <w:rPr>
          <w:rFonts w:eastAsia="Times New Roman" w:cs="Times New Roman"/>
        </w:rPr>
        <w:t>na działce nr 1108/1</w:t>
      </w:r>
      <w:r w:rsidRPr="003434E8">
        <w:rPr>
          <w:rFonts w:eastAsia="Times New Roman" w:cs="Times New Roman"/>
        </w:rPr>
        <w:t xml:space="preserve">, </w:t>
      </w:r>
      <w:r w:rsidR="003434E8" w:rsidRPr="003434E8">
        <w:rPr>
          <w:rFonts w:eastAsia="Times New Roman" w:cs="Times New Roman"/>
        </w:rPr>
        <w:t>52,8 m</w:t>
      </w:r>
      <w:r w:rsidR="003434E8" w:rsidRPr="003434E8">
        <w:rPr>
          <w:rFonts w:eastAsia="Times New Roman" w:cs="Times New Roman"/>
          <w:vertAlign w:val="superscript"/>
        </w:rPr>
        <w:t>2</w:t>
      </w:r>
      <w:r w:rsidR="003434E8" w:rsidRPr="003434E8">
        <w:rPr>
          <w:rFonts w:eastAsia="Times New Roman" w:cs="Times New Roman"/>
        </w:rPr>
        <w:t xml:space="preserve"> na działce nr 791 i 0,6 m</w:t>
      </w:r>
      <w:r w:rsidR="003434E8" w:rsidRPr="003434E8">
        <w:rPr>
          <w:rFonts w:eastAsia="Times New Roman" w:cs="Times New Roman"/>
          <w:vertAlign w:val="superscript"/>
        </w:rPr>
        <w:t>2</w:t>
      </w:r>
      <w:r w:rsidR="003434E8" w:rsidRPr="003434E8">
        <w:rPr>
          <w:rFonts w:eastAsia="Times New Roman" w:cs="Times New Roman"/>
        </w:rPr>
        <w:t xml:space="preserve"> na działce nr 792 </w:t>
      </w:r>
      <w:r w:rsidRPr="003434E8">
        <w:rPr>
          <w:rFonts w:eastAsia="Times New Roman" w:cs="Times New Roman"/>
        </w:rPr>
        <w:t>polegającą na:</w:t>
      </w:r>
    </w:p>
    <w:p w:rsidR="00B53A09" w:rsidRPr="00C73005" w:rsidRDefault="00B53A09" w:rsidP="00B53A09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</w:pPr>
      <w:r w:rsidRPr="00C73005">
        <w:t xml:space="preserve">prawie do wybudowania </w:t>
      </w:r>
      <w:r>
        <w:rPr>
          <w:rFonts w:eastAsia="Times New Roman" w:cs="Times New Roman"/>
        </w:rPr>
        <w:t xml:space="preserve">i trwałego utrzymywania </w:t>
      </w:r>
      <w:r>
        <w:rPr>
          <w:rFonts w:eastAsia="Times New Roman"/>
        </w:rPr>
        <w:t xml:space="preserve">linii kablowych SN 15 </w:t>
      </w:r>
      <w:proofErr w:type="spellStart"/>
      <w:r>
        <w:rPr>
          <w:rFonts w:eastAsia="Times New Roman"/>
        </w:rPr>
        <w:t>kV</w:t>
      </w:r>
      <w:proofErr w:type="spellEnd"/>
      <w:r>
        <w:rPr>
          <w:rFonts w:eastAsia="Times New Roman"/>
        </w:rPr>
        <w:t xml:space="preserve"> </w:t>
      </w:r>
      <w:r w:rsidR="006E22C8">
        <w:t>służących</w:t>
      </w:r>
      <w:r w:rsidR="006E22C8">
        <w:br/>
      </w:r>
      <w:r w:rsidRPr="00C73005">
        <w:t>d</w:t>
      </w:r>
      <w:r>
        <w:t xml:space="preserve">o </w:t>
      </w:r>
      <w:proofErr w:type="spellStart"/>
      <w:r>
        <w:t>przesyłu</w:t>
      </w:r>
      <w:proofErr w:type="spellEnd"/>
      <w:r>
        <w:t xml:space="preserve"> energii elektrycznej – zgodnie z załącznikiem mapowym;</w:t>
      </w:r>
    </w:p>
    <w:p w:rsidR="00B53A09" w:rsidRPr="00C73005" w:rsidRDefault="00B53A09" w:rsidP="00B53A09">
      <w:pPr>
        <w:widowControl/>
        <w:numPr>
          <w:ilvl w:val="0"/>
          <w:numId w:val="2"/>
        </w:numPr>
        <w:suppressAutoHyphens w:val="0"/>
        <w:spacing w:line="240" w:lineRule="auto"/>
        <w:jc w:val="both"/>
        <w:textAlignment w:val="auto"/>
      </w:pPr>
      <w:r w:rsidRPr="00C73005">
        <w:t>prawie do korzystania z nieruchomości o</w:t>
      </w:r>
      <w:r w:rsidR="006E22C8">
        <w:t>bciążonej w zakresie niezbędnym</w:t>
      </w:r>
      <w:r w:rsidR="006E22C8">
        <w:br/>
      </w:r>
      <w:r w:rsidRPr="00C73005">
        <w:t>do dokonywania konserwacji, remontów, modernizacji, usuwania awarii, przebudowy urządzeń 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:rsidR="00584C23" w:rsidRDefault="00584C23" w:rsidP="00584C23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przypadku powstania szkody związanej z wykonywaniem służebności, przedsiębiorca na rzecz którego ustanowiono służebność zobowiązany będzie przywrócić nieruchomość do stanu poprzedniego, niezwłocznie po zakończeniu prac o których mowa w  ust. 1 pkt 2, przy czym jeżeli przywrócenie nieruchomości nie zostanie wykonane, właścicielowi będzie przysługiwało odszkodowanie w wysokości ustalonej przez strony, a w przypadku braku zgody, przez rzeczoznawcę majątkowego lub sąd powszechny. </w:t>
      </w:r>
    </w:p>
    <w:p w:rsidR="00584C23" w:rsidRDefault="00584C23" w:rsidP="00584C23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 w:rsidR="008949C8">
        <w:rPr>
          <w:rFonts w:eastAsia="Times New Roman" w:cs="Times New Roman"/>
        </w:rPr>
        <w:br/>
      </w:r>
      <w:r w:rsidR="00BC1B68">
        <w:rPr>
          <w:rFonts w:eastAsia="Times New Roman" w:cs="Times New Roman"/>
        </w:rPr>
        <w:t>51 660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 w:rsidR="00BC1B68">
        <w:rPr>
          <w:rFonts w:eastAsia="Times New Roman" w:cs="Times New Roman"/>
        </w:rPr>
        <w:t xml:space="preserve"> pięćdziesiąt jeden</w:t>
      </w:r>
      <w:r>
        <w:rPr>
          <w:rFonts w:eastAsia="Times New Roman" w:cs="Times New Roman"/>
        </w:rPr>
        <w:t xml:space="preserve"> tysi</w:t>
      </w:r>
      <w:r w:rsidR="00BC1B68">
        <w:rPr>
          <w:rFonts w:eastAsia="Times New Roman" w:cs="Times New Roman"/>
        </w:rPr>
        <w:t xml:space="preserve">ęcy sześćset sześćdziesiąt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w kwocie </w:t>
      </w:r>
      <w:r w:rsidR="00BC1B68">
        <w:rPr>
          <w:rFonts w:eastAsia="Times New Roman" w:cs="Times New Roman"/>
        </w:rPr>
        <w:t>42 000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 w:rsidR="008949C8">
        <w:rPr>
          <w:rFonts w:eastAsia="Times New Roman" w:cs="Times New Roman"/>
        </w:rPr>
        <w:br/>
      </w:r>
      <w:r w:rsidR="00BC1B68">
        <w:rPr>
          <w:rFonts w:eastAsia="Times New Roman" w:cs="Times New Roman"/>
        </w:rPr>
        <w:t>9 660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zł.</w:t>
      </w:r>
    </w:p>
    <w:p w:rsidR="00584C23" w:rsidRDefault="00584C23" w:rsidP="00584C23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584C23" w:rsidRDefault="00584C23" w:rsidP="00584C2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584C23" w:rsidRDefault="00584C23" w:rsidP="00584C2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584C23" w:rsidRPr="000F62CA" w:rsidRDefault="00584C23" w:rsidP="00584C23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sectPr w:rsidR="00584C23" w:rsidRPr="000F62CA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96" w:rsidRDefault="00965E96" w:rsidP="00584C23">
      <w:pPr>
        <w:spacing w:line="240" w:lineRule="auto"/>
      </w:pPr>
      <w:r>
        <w:separator/>
      </w:r>
    </w:p>
  </w:endnote>
  <w:endnote w:type="continuationSeparator" w:id="0">
    <w:p w:rsidR="00965E96" w:rsidRDefault="00965E96" w:rsidP="0058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7" w:rsidRDefault="00965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96" w:rsidRDefault="00965E96" w:rsidP="00584C23">
      <w:pPr>
        <w:spacing w:line="240" w:lineRule="auto"/>
      </w:pPr>
      <w:r>
        <w:separator/>
      </w:r>
    </w:p>
  </w:footnote>
  <w:footnote w:type="continuationSeparator" w:id="0">
    <w:p w:rsidR="00965E96" w:rsidRDefault="00965E96" w:rsidP="00584C23">
      <w:pPr>
        <w:spacing w:line="240" w:lineRule="auto"/>
      </w:pPr>
      <w:r>
        <w:continuationSeparator/>
      </w:r>
    </w:p>
  </w:footnote>
  <w:footnote w:id="1">
    <w:p w:rsidR="00584C23" w:rsidRDefault="00584C23" w:rsidP="00584C23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 xml:space="preserve">1378 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oraz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1038</w:t>
      </w:r>
    </w:p>
  </w:footnote>
  <w:footnote w:id="2">
    <w:p w:rsidR="00584C23" w:rsidRPr="00E604A7" w:rsidRDefault="00584C23" w:rsidP="00584C23">
      <w:pPr>
        <w:jc w:val="both"/>
        <w:rPr>
          <w:rFonts w:cs="Times New Roman"/>
          <w:sz w:val="20"/>
          <w:szCs w:val="20"/>
        </w:rPr>
      </w:pPr>
      <w:r w:rsidRPr="00CC72B6">
        <w:rPr>
          <w:rStyle w:val="Odwoanieprzypisudolnego"/>
          <w:sz w:val="20"/>
          <w:szCs w:val="20"/>
        </w:rPr>
        <w:footnoteRef/>
      </w:r>
      <w:r w:rsidRPr="00CC72B6">
        <w:rPr>
          <w:sz w:val="20"/>
          <w:szCs w:val="20"/>
          <w:vertAlign w:val="superscript"/>
        </w:rPr>
        <w:t>)</w:t>
      </w:r>
      <w:r>
        <w:t xml:space="preserve"> </w:t>
      </w:r>
      <w:r w:rsidRPr="00E604A7">
        <w:rPr>
          <w:rFonts w:cs="Times New Roman"/>
          <w:sz w:val="20"/>
          <w:szCs w:val="20"/>
        </w:rPr>
        <w:t>Zmiany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tekstu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jednolitego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wymienionej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uchwały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zostały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ogłoszone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w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Dz.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Fonts w:cs="Times New Roman"/>
          <w:sz w:val="20"/>
          <w:szCs w:val="20"/>
        </w:rPr>
        <w:t>Urz. Woj. Kuj.-Pom. z</w:t>
      </w:r>
      <w:r w:rsidRPr="00E604A7">
        <w:rPr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2020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r.,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poz.</w:t>
      </w:r>
      <w:r w:rsidRPr="00E604A7">
        <w:rPr>
          <w:rStyle w:val="Domylnaczcionkaakapitu1"/>
          <w:rFonts w:eastAsia="Times New Roman" w:cs="Times New Roman"/>
          <w:sz w:val="20"/>
          <w:szCs w:val="20"/>
        </w:rPr>
        <w:t xml:space="preserve"> </w:t>
      </w:r>
      <w:r w:rsidRPr="00E604A7">
        <w:rPr>
          <w:rStyle w:val="Domylnaczcionkaakapitu1"/>
          <w:rFonts w:cs="Times New Roman"/>
          <w:sz w:val="20"/>
          <w:szCs w:val="20"/>
        </w:rPr>
        <w:t>5133</w:t>
      </w:r>
    </w:p>
    <w:p w:rsidR="00584C23" w:rsidRDefault="00584C23" w:rsidP="00584C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23"/>
    <w:rsid w:val="00002CF0"/>
    <w:rsid w:val="00102664"/>
    <w:rsid w:val="001A7B46"/>
    <w:rsid w:val="002F3684"/>
    <w:rsid w:val="003434E8"/>
    <w:rsid w:val="00350D57"/>
    <w:rsid w:val="003668FA"/>
    <w:rsid w:val="00474E58"/>
    <w:rsid w:val="00584C23"/>
    <w:rsid w:val="006A45F1"/>
    <w:rsid w:val="006D0A36"/>
    <w:rsid w:val="006E22C8"/>
    <w:rsid w:val="006F0794"/>
    <w:rsid w:val="007613CA"/>
    <w:rsid w:val="008949C8"/>
    <w:rsid w:val="00965E96"/>
    <w:rsid w:val="00AE4B08"/>
    <w:rsid w:val="00B2214D"/>
    <w:rsid w:val="00B53A09"/>
    <w:rsid w:val="00BC1B68"/>
    <w:rsid w:val="00CD719D"/>
    <w:rsid w:val="00D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87752-26BA-44C3-A2D1-2A859864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C2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84C23"/>
  </w:style>
  <w:style w:type="character" w:customStyle="1" w:styleId="Domylnaczcionkaakapitu1">
    <w:name w:val="Domyślna czcionka akapitu1"/>
    <w:rsid w:val="00584C23"/>
  </w:style>
  <w:style w:type="character" w:customStyle="1" w:styleId="Odwoanieprzypisudolnego1">
    <w:name w:val="Odwołanie przypisu dolnego1"/>
    <w:rsid w:val="00584C23"/>
    <w:rPr>
      <w:position w:val="1"/>
      <w:sz w:val="14"/>
    </w:rPr>
  </w:style>
  <w:style w:type="character" w:customStyle="1" w:styleId="Znakiprzypiswdolnych">
    <w:name w:val="Znaki przypisów dolnych"/>
    <w:rsid w:val="00584C23"/>
  </w:style>
  <w:style w:type="paragraph" w:styleId="Tekstpodstawowy">
    <w:name w:val="Body Text"/>
    <w:basedOn w:val="Normalny"/>
    <w:link w:val="TekstpodstawowyZnak"/>
    <w:rsid w:val="00584C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4C2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584C23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84C23"/>
    <w:rPr>
      <w:rFonts w:ascii="Calibri" w:eastAsia="Calibri" w:hAnsi="Calibri" w:cs="Times New Roman"/>
      <w:kern w:val="1"/>
    </w:rPr>
  </w:style>
  <w:style w:type="paragraph" w:customStyle="1" w:styleId="Tekstpodstawowy1">
    <w:name w:val="Tekst podstawowy1"/>
    <w:basedOn w:val="Normalny"/>
    <w:rsid w:val="00584C23"/>
    <w:rPr>
      <w:rFonts w:ascii="Arial" w:eastAsia="Lucida Sans Unicode" w:hAnsi="Arial"/>
      <w:sz w:val="22"/>
      <w:szCs w:val="20"/>
      <w:lang w:eastAsia="hi-IN"/>
    </w:rPr>
  </w:style>
  <w:style w:type="paragraph" w:customStyle="1" w:styleId="Tekstprzypisudolnego1">
    <w:name w:val="Tekst przypisu dolnego1"/>
    <w:basedOn w:val="Normalny"/>
    <w:rsid w:val="00584C23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584C2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C23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C2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C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C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m.wisniewska</cp:lastModifiedBy>
  <cp:revision>2</cp:revision>
  <cp:lastPrinted>2021-06-28T08:40:00Z</cp:lastPrinted>
  <dcterms:created xsi:type="dcterms:W3CDTF">2021-07-20T10:33:00Z</dcterms:created>
  <dcterms:modified xsi:type="dcterms:W3CDTF">2021-07-20T10:33:00Z</dcterms:modified>
</cp:coreProperties>
</file>