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48" w:rsidRDefault="00AC1E09">
      <w:pPr>
        <w:spacing w:line="360" w:lineRule="auto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ZARZĄDZENIE NR 141</w:t>
      </w:r>
    </w:p>
    <w:p w:rsidR="002F3448" w:rsidRDefault="00AC1E0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2F3448" w:rsidRDefault="00AC1E09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z dnia  07.07.2021 r.</w:t>
      </w:r>
    </w:p>
    <w:p w:rsidR="002F3448" w:rsidRDefault="002F3448">
      <w:pPr>
        <w:jc w:val="both"/>
        <w:rPr>
          <w:rFonts w:ascii="Times New Roman" w:hAnsi="Times New Roman" w:cs="Times New Roman"/>
          <w:b/>
        </w:rPr>
      </w:pPr>
    </w:p>
    <w:p w:rsidR="002F3448" w:rsidRDefault="00AC1E09">
      <w:pPr>
        <w:pStyle w:val="Tretekstu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ustalenia regulaminu I przetargów ustnych nieograniczonych na sprzedaż  dwóch lokali, stanowiących własność Gminy Miasta Toruń, usytuowanych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w budynku położonym przy ul. Mickiewicza 93 w Toruniu </w:t>
      </w:r>
      <w:r>
        <w:rPr>
          <w:rFonts w:ascii="Times New Roman" w:hAnsi="Times New Roman" w:cs="Times New Roman"/>
          <w:b/>
        </w:rPr>
        <w:t>oraz powołania Komisji do przeprowadzenia  przetargów.</w:t>
      </w:r>
    </w:p>
    <w:p w:rsidR="002F3448" w:rsidRDefault="002F3448">
      <w:pPr>
        <w:rPr>
          <w:rFonts w:ascii="Times New Roman" w:hAnsi="Times New Roman" w:cs="Times New Roman"/>
        </w:rPr>
      </w:pPr>
    </w:p>
    <w:p w:rsidR="002F3448" w:rsidRDefault="00AC1E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30 ust. 1 ustawy z dnia 8 marca 1990 roku o samorządzie gminnym  (Dz. U. z 2020r., poz. 713 z późn. zm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>) oraz Uchwały Nr 600/21</w:t>
      </w:r>
      <w:r>
        <w:rPr>
          <w:rFonts w:ascii="Times New Roman" w:hAnsi="Times New Roman" w:cs="Times New Roman"/>
        </w:rPr>
        <w:t xml:space="preserve"> Rady Miasta Torunia z dnia</w:t>
      </w:r>
      <w:r>
        <w:rPr>
          <w:rFonts w:ascii="Times New Roman" w:hAnsi="Times New Roman" w:cs="Times New Roman"/>
        </w:rPr>
        <w:br/>
        <w:t>18 marca 2021r. w sprawie sprzedaży dwóch lokali usytuowanych w budynku przy</w:t>
      </w:r>
      <w:r>
        <w:rPr>
          <w:rFonts w:ascii="Times New Roman" w:hAnsi="Times New Roman" w:cs="Times New Roman"/>
        </w:rPr>
        <w:br/>
        <w:t>ul. Mickiewicza 93, stanowiących własność Gminy Miasta Toruń zarządza się, co następuje:</w:t>
      </w:r>
    </w:p>
    <w:p w:rsidR="002F3448" w:rsidRDefault="002F3448">
      <w:pPr>
        <w:jc w:val="both"/>
        <w:rPr>
          <w:rFonts w:ascii="Times New Roman" w:hAnsi="Times New Roman" w:cs="Times New Roman"/>
        </w:rPr>
      </w:pPr>
    </w:p>
    <w:p w:rsidR="002F3448" w:rsidRDefault="00AC1E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§1. Powołać Komisję do przeprowadzenia I przetargów ust</w:t>
      </w:r>
      <w:r>
        <w:rPr>
          <w:rFonts w:ascii="Times New Roman" w:hAnsi="Times New Roman" w:cs="Times New Roman"/>
        </w:rPr>
        <w:t>nych nieograniczonych na sprzedaż  dwóch lokali, stanowiących własność Gminy Miasta Toruń, usytuowanych</w:t>
      </w:r>
      <w:r>
        <w:rPr>
          <w:rFonts w:ascii="Times New Roman" w:hAnsi="Times New Roman" w:cs="Times New Roman"/>
        </w:rPr>
        <w:br/>
        <w:t>w budynku położonym przy ul. Mickiewicza 93 w Toruniu w następującym składzie:</w:t>
      </w:r>
    </w:p>
    <w:p w:rsidR="002F3448" w:rsidRDefault="002F3448">
      <w:pPr>
        <w:spacing w:line="276" w:lineRule="auto"/>
        <w:jc w:val="both"/>
        <w:rPr>
          <w:rFonts w:ascii="Times New Roman" w:hAnsi="Times New Roman" w:cs="Times New Roman"/>
        </w:rPr>
      </w:pPr>
    </w:p>
    <w:p w:rsidR="002F3448" w:rsidRDefault="00AC1E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2F3448" w:rsidRDefault="00AC1E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Członek Komisji </w:t>
      </w:r>
      <w:r>
        <w:rPr>
          <w:rFonts w:ascii="Times New Roman" w:hAnsi="Times New Roman" w:cs="Times New Roman"/>
        </w:rPr>
        <w:t xml:space="preserve">                    - Robert Dąbrowski;</w:t>
      </w:r>
    </w:p>
    <w:p w:rsidR="002F3448" w:rsidRDefault="00AC1E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Katarzyna Wesołowska;</w:t>
      </w:r>
    </w:p>
    <w:p w:rsidR="002F3448" w:rsidRDefault="00AC1E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:rsidR="002F3448" w:rsidRDefault="002F3448">
      <w:pPr>
        <w:spacing w:line="276" w:lineRule="auto"/>
        <w:jc w:val="both"/>
        <w:rPr>
          <w:rFonts w:ascii="Times New Roman" w:hAnsi="Times New Roman" w:cs="Times New Roman"/>
        </w:rPr>
      </w:pPr>
    </w:p>
    <w:p w:rsidR="002F3448" w:rsidRDefault="00AC1E0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przetargi,  zgodnie z Regulaminem, stanowiącym załącznik do ninie</w:t>
      </w:r>
      <w:r>
        <w:rPr>
          <w:rFonts w:ascii="Times New Roman" w:hAnsi="Times New Roman" w:cs="Times New Roman"/>
        </w:rPr>
        <w:t>jszego zarządzenia.</w:t>
      </w:r>
    </w:p>
    <w:p w:rsidR="002F3448" w:rsidRDefault="002F3448">
      <w:pPr>
        <w:jc w:val="both"/>
        <w:rPr>
          <w:rFonts w:ascii="Times New Roman" w:hAnsi="Times New Roman" w:cs="Times New Roman"/>
        </w:rPr>
      </w:pPr>
    </w:p>
    <w:p w:rsidR="002F3448" w:rsidRDefault="00AC1E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Przetargi odbędą się w Wydziale Gospodarki Nieruchomościami Urzędu Miasta Torunia,  przy ulicy Grudziądzkiej 126 „B” w sali konferencyjnej nr 115, na pierwszym piętrze.</w:t>
      </w:r>
    </w:p>
    <w:p w:rsidR="002F3448" w:rsidRDefault="002F3448">
      <w:pPr>
        <w:spacing w:line="276" w:lineRule="auto"/>
        <w:jc w:val="both"/>
        <w:rPr>
          <w:rFonts w:ascii="Times New Roman" w:hAnsi="Times New Roman" w:cs="Times New Roman"/>
        </w:rPr>
      </w:pPr>
    </w:p>
    <w:p w:rsidR="002F3448" w:rsidRDefault="00AC1E09">
      <w:pPr>
        <w:tabs>
          <w:tab w:val="left" w:pos="393"/>
        </w:tabs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 Wykonanie zarządzenia powierza się Dyrektorowi Wyd</w:t>
      </w:r>
      <w:r>
        <w:rPr>
          <w:rFonts w:ascii="Times New Roman" w:hAnsi="Times New Roman" w:cs="Times New Roman"/>
        </w:rPr>
        <w:t>ziału Gospodarki Nieruchomościami.</w:t>
      </w:r>
    </w:p>
    <w:p w:rsidR="002F3448" w:rsidRDefault="00AC1E09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2F3448" w:rsidRDefault="00AC1E09">
      <w:pPr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2F3448" w:rsidRDefault="00AC1E09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:rsidR="002F3448" w:rsidRDefault="002F3448">
      <w:pPr>
        <w:spacing w:line="340" w:lineRule="exact"/>
        <w:jc w:val="both"/>
        <w:rPr>
          <w:rFonts w:ascii="Times New Roman" w:hAnsi="Times New Roman" w:cs="Times New Roman"/>
        </w:rPr>
      </w:pPr>
    </w:p>
    <w:p w:rsidR="002F3448" w:rsidRDefault="002F3448">
      <w:pPr>
        <w:spacing w:line="340" w:lineRule="exact"/>
        <w:jc w:val="both"/>
        <w:rPr>
          <w:rFonts w:ascii="Times New Roman" w:hAnsi="Times New Roman" w:cs="Times New Roman"/>
        </w:rPr>
      </w:pPr>
    </w:p>
    <w:p w:rsidR="002F3448" w:rsidRDefault="002F3448">
      <w:pPr>
        <w:spacing w:line="340" w:lineRule="exact"/>
        <w:jc w:val="both"/>
        <w:rPr>
          <w:rFonts w:ascii="Times New Roman" w:hAnsi="Times New Roman" w:cs="Times New Roman"/>
        </w:rPr>
      </w:pPr>
    </w:p>
    <w:p w:rsidR="002F3448" w:rsidRDefault="002F3448">
      <w:pPr>
        <w:spacing w:line="340" w:lineRule="exact"/>
        <w:jc w:val="both"/>
        <w:rPr>
          <w:rFonts w:ascii="Times New Roman" w:hAnsi="Times New Roman" w:cs="Times New Roman"/>
        </w:rPr>
      </w:pPr>
    </w:p>
    <w:p w:rsidR="002F3448" w:rsidRDefault="002F3448">
      <w:pPr>
        <w:spacing w:line="340" w:lineRule="exact"/>
        <w:jc w:val="both"/>
        <w:rPr>
          <w:rFonts w:ascii="Times New Roman" w:hAnsi="Times New Roman" w:cs="Times New Roman"/>
        </w:rPr>
      </w:pPr>
    </w:p>
    <w:p w:rsidR="002F3448" w:rsidRDefault="00AC1E09">
      <w:pPr>
        <w:pStyle w:val="Tretekstu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>------------------------------------------------------------------------------------------------------------------------------------------------------------------------</w:t>
      </w:r>
    </w:p>
    <w:p w:rsidR="002F3448" w:rsidRDefault="00AC1E09">
      <w:pPr>
        <w:pStyle w:val="Akapitzlist"/>
        <w:widowControl/>
        <w:numPr>
          <w:ilvl w:val="0"/>
          <w:numId w:val="1"/>
        </w:numPr>
        <w:suppressAutoHyphens w:val="0"/>
        <w:jc w:val="both"/>
        <w:textAlignment w:val="top"/>
        <w:rPr>
          <w:sz w:val="18"/>
          <w:szCs w:val="18"/>
        </w:rPr>
      </w:pPr>
      <w:r>
        <w:rPr>
          <w:sz w:val="18"/>
          <w:szCs w:val="18"/>
        </w:rPr>
        <w:t>Zmiany tekstu jednolitego wymienionej ustawy zostały ogłoszone w Dz. U. z 2020r. poz. 1</w:t>
      </w:r>
      <w:r>
        <w:rPr>
          <w:sz w:val="18"/>
          <w:szCs w:val="18"/>
        </w:rPr>
        <w:t>378 oraz Dz. U. z 2021r. poz. 1038</w:t>
      </w:r>
    </w:p>
    <w:p w:rsidR="002F3448" w:rsidRDefault="002F3448">
      <w:pPr>
        <w:pStyle w:val="Tretekstu"/>
        <w:rPr>
          <w:rFonts w:ascii="Times New Roman" w:hAnsi="Times New Roman" w:cs="Times New Roman"/>
          <w:szCs w:val="24"/>
          <w:vertAlign w:val="superscript"/>
        </w:rPr>
      </w:pPr>
    </w:p>
    <w:p w:rsidR="002F3448" w:rsidRDefault="002F3448">
      <w:pPr>
        <w:spacing w:line="340" w:lineRule="exact"/>
        <w:jc w:val="right"/>
        <w:rPr>
          <w:rFonts w:ascii="Times New Roman" w:hAnsi="Times New Roman" w:cs="Times New Roman"/>
        </w:rPr>
      </w:pPr>
    </w:p>
    <w:p w:rsidR="002F3448" w:rsidRDefault="00AC1E09">
      <w:pPr>
        <w:spacing w:line="340" w:lineRule="exact"/>
        <w:jc w:val="right"/>
        <w:rPr>
          <w:rFonts w:hint="eastAsia"/>
        </w:rPr>
      </w:pPr>
      <w:r>
        <w:rPr>
          <w:rFonts w:ascii="Times New Roman" w:hAnsi="Times New Roman" w:cs="Times New Roman"/>
        </w:rPr>
        <w:t xml:space="preserve">Załącznik do Zarządzenia  PMT nr 141 </w:t>
      </w:r>
    </w:p>
    <w:p w:rsidR="002F3448" w:rsidRDefault="00AC1E09">
      <w:pPr>
        <w:spacing w:line="340" w:lineRule="exact"/>
        <w:jc w:val="right"/>
        <w:rPr>
          <w:rFonts w:hint="eastAsia"/>
        </w:rPr>
      </w:pPr>
      <w:r>
        <w:rPr>
          <w:rFonts w:ascii="Times New Roman" w:hAnsi="Times New Roman" w:cs="Times New Roman"/>
        </w:rPr>
        <w:t>z dnia 07.07.2021 r.</w:t>
      </w:r>
    </w:p>
    <w:p w:rsidR="002F3448" w:rsidRDefault="00AC1E09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I PRZETARGÓW</w:t>
      </w:r>
    </w:p>
    <w:p w:rsidR="002F3448" w:rsidRDefault="002F3448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2F3448" w:rsidRDefault="00AC1E09">
      <w:pPr>
        <w:pStyle w:val="Tretekstu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§1.1. Przetargi ogłasza, organizuje i przeprowadza Prezydent Miasta Torunia na zasadach ogólnych, określonych w ustawie z dnia 21 </w:t>
      </w:r>
      <w:r>
        <w:rPr>
          <w:rFonts w:ascii="Times New Roman" w:hAnsi="Times New Roman" w:cs="Times New Roman"/>
          <w:szCs w:val="24"/>
        </w:rPr>
        <w:t>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>
        <w:rPr>
          <w:rFonts w:ascii="Times New Roman" w:hAnsi="Times New Roman" w:cs="Times New Roman"/>
        </w:rPr>
        <w:t>Uchwały Nr 600/21 Rady Miasta Torunia z dnia 18 m</w:t>
      </w:r>
      <w:r>
        <w:rPr>
          <w:rFonts w:ascii="Times New Roman" w:hAnsi="Times New Roman" w:cs="Times New Roman"/>
        </w:rPr>
        <w:t xml:space="preserve">arca 2021. w sprawie sprzedaży dwóch lokali usytuowanych w budynku przy ul. Mickiewicza 93, stanowiących własność Gminy Miasta Torunia </w:t>
      </w:r>
      <w:r>
        <w:rPr>
          <w:rFonts w:ascii="Times New Roman" w:hAnsi="Times New Roman" w:cs="Times New Roman"/>
          <w:szCs w:val="24"/>
        </w:rPr>
        <w:t>a także niniejszego Regulaminu.</w:t>
      </w:r>
    </w:p>
    <w:p w:rsidR="002F3448" w:rsidRDefault="00AC1E09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2. Czynności związane z przeprowadzeniem przetargu wykonuje Komisja Przetargowa, k</w:t>
      </w:r>
      <w:r>
        <w:rPr>
          <w:rFonts w:ascii="Times New Roman" w:hAnsi="Times New Roman" w:cs="Times New Roman"/>
        </w:rPr>
        <w:t>tóra podejmuje rozstrzygnięcia większością głosów, w drodze głosowania, w obecności co najmniej połowy ustalonego składu. W przypadku równej liczby głosów decyduje głos przewodniczącego komisji.</w:t>
      </w:r>
    </w:p>
    <w:p w:rsidR="002F3448" w:rsidRDefault="002F3448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2F3448" w:rsidRDefault="00AC1E0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przetargi w dniu  </w:t>
      </w:r>
      <w:r>
        <w:rPr>
          <w:rFonts w:ascii="Times New Roman" w:hAnsi="Times New Roman" w:cs="Times New Roman"/>
          <w:b/>
        </w:rPr>
        <w:t>31 s</w:t>
      </w:r>
      <w:r>
        <w:rPr>
          <w:rFonts w:ascii="Times New Roman" w:hAnsi="Times New Roman" w:cs="Times New Roman"/>
          <w:b/>
        </w:rPr>
        <w:t xml:space="preserve">ierpnia 2021r. </w:t>
      </w:r>
      <w:r>
        <w:rPr>
          <w:rFonts w:ascii="Times New Roman" w:hAnsi="Times New Roman" w:cs="Times New Roman"/>
        </w:rPr>
        <w:t>począwszy od</w:t>
      </w:r>
      <w:r>
        <w:rPr>
          <w:rFonts w:ascii="Times New Roman" w:hAnsi="Times New Roman" w:cs="Times New Roman"/>
          <w:b/>
        </w:rPr>
        <w:t xml:space="preserve"> godz. 12.00</w:t>
      </w:r>
      <w:r>
        <w:rPr>
          <w:rFonts w:ascii="Times New Roman" w:hAnsi="Times New Roman" w:cs="Times New Roman"/>
        </w:rPr>
        <w:t xml:space="preserve"> w kolejności wskazanej w § 5.</w:t>
      </w:r>
    </w:p>
    <w:p w:rsidR="002F3448" w:rsidRDefault="002F3448">
      <w:pPr>
        <w:spacing w:line="320" w:lineRule="exact"/>
        <w:jc w:val="both"/>
        <w:rPr>
          <w:rFonts w:ascii="Times New Roman" w:hAnsi="Times New Roman" w:cs="Times New Roman"/>
        </w:rPr>
      </w:pPr>
    </w:p>
    <w:p w:rsidR="002F3448" w:rsidRDefault="00AC1E09">
      <w:pPr>
        <w:spacing w:line="288" w:lineRule="auto"/>
        <w:ind w:firstLine="3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§3.1. Przedmiotem przetargów jest sprzedaż:</w:t>
      </w:r>
    </w:p>
    <w:p w:rsidR="002F3448" w:rsidRDefault="00AC1E09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jc w:val="both"/>
      </w:pPr>
      <w:r>
        <w:t>lokalu mieszkalnego nr 13A wraz z pomieszczeniem przynależnym o łącznej powierzchni użytkowej 50,30 m</w:t>
      </w:r>
      <w:r>
        <w:rPr>
          <w:vertAlign w:val="superscript"/>
        </w:rPr>
        <w:t>2</w:t>
      </w:r>
      <w:r>
        <w:t>,</w:t>
      </w:r>
      <w:r>
        <w:rPr>
          <w:vertAlign w:val="superscript"/>
        </w:rPr>
        <w:t xml:space="preserve"> </w:t>
      </w:r>
      <w:r>
        <w:t xml:space="preserve">stanowiącego własność Gminy </w:t>
      </w:r>
      <w:r>
        <w:t>Miasta Toruń, usytuowanego na</w:t>
      </w:r>
      <w:r>
        <w:br/>
        <w:t xml:space="preserve">I piętrze oficyny budynku mieszkalnego wielorodzinnego, posadowionego na nieruchomości oznaczonej geodezyjnie numerami działek 361 i 362, położonej w Toruniu przy  ul. Mickiewicza 93 o łącznej powierzchni 0,1222 ha, zapisanej </w:t>
      </w:r>
      <w:r>
        <w:t xml:space="preserve">w księdze wieczystej KW Nr TO1T/00029719/2 wraz z udziałem w nieruchomości wspólnej wynoszącym  5030/138460 części we własności części wspólnych budynku i urządzeń nie służących wyłącznie do użytku przez właścicieli lokali oraz we własności gruntu, </w:t>
      </w:r>
    </w:p>
    <w:p w:rsidR="002F3448" w:rsidRDefault="00AC1E09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jc w:val="both"/>
      </w:pPr>
      <w:r>
        <w:t>lokalu</w:t>
      </w:r>
      <w:r>
        <w:t xml:space="preserve"> użytkowego nr 14 o powierzchni użytkowej 90 m</w:t>
      </w:r>
      <w:r>
        <w:rPr>
          <w:vertAlign w:val="superscript"/>
        </w:rPr>
        <w:t>2</w:t>
      </w:r>
      <w:r>
        <w:t>,</w:t>
      </w:r>
      <w:r>
        <w:rPr>
          <w:vertAlign w:val="superscript"/>
        </w:rPr>
        <w:t xml:space="preserve"> </w:t>
      </w:r>
      <w:r>
        <w:t xml:space="preserve">stanowiącego własność Gminy Miasta Toruń, usytuowanego na parterze i I piętrze oficyny budynku mieszkalnego wielorodzinnego, posadowionego na nieruchomości oznaczonej geodezyjnie numerami działek 361 i 362, </w:t>
      </w:r>
      <w:r>
        <w:t xml:space="preserve">położonej w Toruniu przy  ul. Mickiewicza 93 o łącznej powierzchni 0,1222 ha, zapisanej w księdze wieczystej KW Nr TO1T/00029719/2 wraz z udziałem w nieruchomości wspólnej wynoszącym  9000/138460 części we własności części wspólnych budynku i urządzeń nie </w:t>
      </w:r>
      <w:r>
        <w:t xml:space="preserve">służących wyłącznie do użytku przez właścicieli lokali oraz we własności gruntu. </w:t>
      </w:r>
    </w:p>
    <w:p w:rsidR="002F3448" w:rsidRDefault="00AC1E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</w:t>
      </w:r>
      <w:r>
        <w:rPr>
          <w:rFonts w:ascii="Times New Roman" w:hAnsi="Times New Roman" w:cs="Times New Roman"/>
          <w:color w:val="000000" w:themeColor="text1"/>
        </w:rPr>
        <w:t xml:space="preserve">2. </w:t>
      </w:r>
      <w:r>
        <w:rPr>
          <w:rFonts w:ascii="Times New Roman" w:hAnsi="Times New Roman" w:cs="Times New Roman"/>
          <w:b/>
        </w:rPr>
        <w:t xml:space="preserve">Lokal mieszkalny nr 13A </w:t>
      </w:r>
      <w:r>
        <w:rPr>
          <w:rFonts w:ascii="Times New Roman" w:hAnsi="Times New Roman" w:cs="Times New Roman"/>
        </w:rPr>
        <w:t>jest usytuowany na I piętrze (ostatniej kondygnacji) oficyny budynku mieszkalnego wielorodzinnego. Składa się z przedpokoju, kuchni, łazi</w:t>
      </w:r>
      <w:r>
        <w:rPr>
          <w:rFonts w:ascii="Times New Roman" w:hAnsi="Times New Roman" w:cs="Times New Roman"/>
        </w:rPr>
        <w:t>enki i pokoju, do lokalu przynależy pokój usytuowany na I piętrze (po drugiej stronie wewnętrznej klatki schodowej). Powierzchnia użytkowa lokalu wynosi łącznie 50,30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 Klatka schodowa nie należy do lokalu i stanowi część wspólną nieruchomości. Wejście d</w:t>
      </w:r>
      <w:r>
        <w:rPr>
          <w:rFonts w:ascii="Times New Roman" w:hAnsi="Times New Roman" w:cs="Times New Roman"/>
        </w:rPr>
        <w:t>o mieszkania schodami prowadzącymi z podwórza, okna od strony zachodniej (na podwórze).</w:t>
      </w:r>
    </w:p>
    <w:p w:rsidR="002F3448" w:rsidRDefault="00AC1E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Stolarka drzwiowa i okienna: drewniana, stara. Lokal jest wyposażony w następujące instalacje: elektryczną, wodociągową, kanalizacyjną, ogrzewanie piecowe (piece w poko</w:t>
      </w:r>
      <w:r>
        <w:rPr>
          <w:rFonts w:ascii="Times New Roman" w:hAnsi="Times New Roman" w:cs="Times New Roman"/>
        </w:rPr>
        <w:t xml:space="preserve">jach), instalacje są stare. Lokal jest nieużytkowany, stanowi pustostan, wymaga kapitalnego remontu i wymiany wyposażenia. </w:t>
      </w:r>
    </w:p>
    <w:p w:rsidR="002F3448" w:rsidRDefault="00AC1E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</w:t>
      </w:r>
      <w:r>
        <w:rPr>
          <w:rFonts w:ascii="Times New Roman" w:hAnsi="Times New Roman" w:cs="Times New Roman"/>
          <w:b/>
        </w:rPr>
        <w:t xml:space="preserve">Lokal użytkowy nr 14 </w:t>
      </w:r>
      <w:r>
        <w:rPr>
          <w:rFonts w:ascii="Times New Roman" w:hAnsi="Times New Roman" w:cs="Times New Roman"/>
        </w:rPr>
        <w:t>jest usytuowany na parterze i I piętrze (ostatniej kondygnacji) oficyny budynku mieszkalnego wielorodzinneg</w:t>
      </w:r>
      <w:r>
        <w:rPr>
          <w:rFonts w:ascii="Times New Roman" w:hAnsi="Times New Roman" w:cs="Times New Roman"/>
        </w:rPr>
        <w:t>o. Składa się z dwóch pomieszczeń, łazienki</w:t>
      </w:r>
      <w:r>
        <w:rPr>
          <w:rFonts w:ascii="Times New Roman" w:hAnsi="Times New Roman" w:cs="Times New Roman"/>
        </w:rPr>
        <w:br/>
        <w:t>i pom. wc usytuowanych na parterze oraz jednego pomieszczenia usytuowanego na I piętrze. Wejście do lokalu od strony dziedzińca. Wejście na I piętro schodami znajdującymi wewnątrz lokalu. Stolarka drzwiowa i okie</w:t>
      </w:r>
      <w:r>
        <w:rPr>
          <w:rFonts w:ascii="Times New Roman" w:hAnsi="Times New Roman" w:cs="Times New Roman"/>
        </w:rPr>
        <w:t>nna: drewniana, starego typu. Do jednego z pomieszczeń na parterze prowadzą wrota w stanie do wymiany, pomieszczenie ma funkcje garażową i jest wyposażone w kanał rewizyjny. Lokal jest wyposażony w następujące instalacje: elektryczną, wodociągową (ciepła w</w:t>
      </w:r>
      <w:r>
        <w:rPr>
          <w:rFonts w:ascii="Times New Roman" w:hAnsi="Times New Roman" w:cs="Times New Roman"/>
        </w:rPr>
        <w:t>oda użytkowa z podgrzewacza), kanalizacyjną, brak centralnego ogrzewania, instalacje są stare. Stan techniczny i standard wyposażenia wnętrz lokalu niski.</w:t>
      </w:r>
    </w:p>
    <w:p w:rsidR="002F3448" w:rsidRDefault="00AC1E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Lokale uzyskały status lokali samodzielnych przez co spełniona została podstawowa przesłanka umoż</w:t>
      </w:r>
      <w:r>
        <w:rPr>
          <w:rFonts w:ascii="Times New Roman" w:hAnsi="Times New Roman" w:cs="Times New Roman"/>
        </w:rPr>
        <w:t>liwiająca ich sprzedaż.</w:t>
      </w:r>
    </w:p>
    <w:p w:rsidR="002F3448" w:rsidRDefault="00AC1E09">
      <w:pPr>
        <w:pStyle w:val="Tekstpodstawowywcity2"/>
        <w:tabs>
          <w:tab w:val="decimal" w:pos="0"/>
        </w:tabs>
        <w:spacing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  <w:t xml:space="preserve">5. </w:t>
      </w:r>
      <w:r>
        <w:rPr>
          <w:rFonts w:ascii="Times New Roman" w:hAnsi="Times New Roman" w:cs="Times New Roman"/>
          <w:szCs w:val="24"/>
        </w:rPr>
        <w:t>Lokale  usytuowane są w oficynie budynku mieszkalnego wielorodzinnego. Budynek oficyny to obiekt 2-kondygnacyjny, niepodpiwniczony, wzniesiony w 1907r. w technologii tradycyjnej, murowanej z cegły, z dachem o konstrukcji drewnia</w:t>
      </w:r>
      <w:r>
        <w:rPr>
          <w:rFonts w:ascii="Times New Roman" w:hAnsi="Times New Roman" w:cs="Times New Roman"/>
          <w:szCs w:val="24"/>
        </w:rPr>
        <w:t>nej, kryty papą. Budynek jest nieocieplony i otynkowany. Elewacja w średnim stanie. Stan techniczny budynku średni. Niezbędny jest remont dachu oficyny. Dojście do budynku oficyny poprzez prześwit w budynku frontowym. Budynek frontowy został wybudowany w 1</w:t>
      </w:r>
      <w:r>
        <w:rPr>
          <w:rFonts w:ascii="Times New Roman" w:hAnsi="Times New Roman" w:cs="Times New Roman"/>
          <w:szCs w:val="24"/>
        </w:rPr>
        <w:t>907r., jest murowany, czteropiętrowy, dach o konstrukcji drewnianej. Budynek frontowy jest w zadawalającym stanie technicznym. Cała nieruchomość (budynek główny wraz z oficyną) składa się z 18 lokali mieszkalnych i 1 lokalu użytkowego, zbytych zostało 7 lo</w:t>
      </w:r>
      <w:r>
        <w:rPr>
          <w:rFonts w:ascii="Times New Roman" w:hAnsi="Times New Roman" w:cs="Times New Roman"/>
          <w:szCs w:val="24"/>
        </w:rPr>
        <w:t>kali mieszkalnych.</w:t>
      </w:r>
    </w:p>
    <w:p w:rsidR="002F3448" w:rsidRDefault="00AC1E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 Nabywca lokalu przyjmuje do wiadomości, że dla budynku znajdującego się na nieruchomości przy ul. Mickiewicza 93 nie sporządzono świadectwa charakterystyki energetycznej.</w:t>
      </w:r>
    </w:p>
    <w:p w:rsidR="002F3448" w:rsidRDefault="002F3448">
      <w:pPr>
        <w:pStyle w:val="Tretekstu"/>
        <w:tabs>
          <w:tab w:val="left" w:pos="435"/>
        </w:tabs>
        <w:spacing w:line="276" w:lineRule="auto"/>
        <w:rPr>
          <w:rFonts w:ascii="Times New Roman" w:hAnsi="Times New Roman" w:cs="Times New Roman"/>
        </w:rPr>
      </w:pPr>
    </w:p>
    <w:p w:rsidR="002F3448" w:rsidRDefault="00AC1E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§4.1. Nieruchomość położona przy ul. Mickiewicza 93 w Toruni</w:t>
      </w:r>
      <w:r>
        <w:rPr>
          <w:rFonts w:ascii="Times New Roman" w:hAnsi="Times New Roman" w:cs="Times New Roman"/>
        </w:rPr>
        <w:t>u  jest usytuowana na terenie, dla którego brak jest miejscowego planu zagospodarowania przestrzennego. Zgodnie ze studium uwarunkowań i kierunków zagospodarowania przestrzennego miasta, zatwierdzonym uchwałą Rady Miasta Torunia  Nr 805/18 z dnia 25 styczn</w:t>
      </w:r>
      <w:r>
        <w:rPr>
          <w:rFonts w:ascii="Times New Roman" w:hAnsi="Times New Roman" w:cs="Times New Roman"/>
        </w:rPr>
        <w:t>ia 2018r roku,  lokale są położone w budynku usytuowanym na obszarze zabudowy mieszkaniowej wielorodzinnej.</w:t>
      </w:r>
    </w:p>
    <w:p w:rsidR="002F3448" w:rsidRDefault="00AC1E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 Budynek należy do zabudowy Bydgoskiego Przedmieścia wpisanego do rejestru zabytków decyzją nr A/1596 Kujawsko-Pomorskiego Wojewódzki</w:t>
      </w:r>
      <w:r>
        <w:rPr>
          <w:rFonts w:ascii="Times New Roman" w:hAnsi="Times New Roman" w:cs="Times New Roman"/>
        </w:rPr>
        <w:t>ego Konserwatora Zabytków z dnia 25 lipca 2011r. Wszelkie prace przy budynku dotyczące bryły, elewacji, dachu, stolarki okiennej i drzwiowej, w tym, kolorystyki, a także wokół budynku tj. wszelkich ogrodzeń, drzewostanu, zagospodarowania działki itp. należ</w:t>
      </w:r>
      <w:r>
        <w:rPr>
          <w:rFonts w:ascii="Times New Roman" w:hAnsi="Times New Roman" w:cs="Times New Roman"/>
        </w:rPr>
        <w:t>y uzgadniać z Miejskim Konserwatorem Zabytków.</w:t>
      </w:r>
    </w:p>
    <w:p w:rsidR="002F3448" w:rsidRDefault="00AC1E0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F3448" w:rsidRDefault="00AC1E09">
      <w:pPr>
        <w:pStyle w:val="Tretekstu"/>
        <w:tabs>
          <w:tab w:val="left" w:pos="424"/>
        </w:tabs>
        <w:spacing w:line="36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§5. </w:t>
      </w:r>
      <w:r>
        <w:rPr>
          <w:rFonts w:ascii="Times New Roman" w:eastAsia="Times New Roman" w:hAnsi="Times New Roman" w:cs="Times New Roman"/>
        </w:rPr>
        <w:t>Ustala się następujące warunki i kolejność przetargów:</w:t>
      </w:r>
    </w:p>
    <w:tbl>
      <w:tblPr>
        <w:tblW w:w="9191" w:type="dxa"/>
        <w:tblInd w:w="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23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668"/>
        <w:gridCol w:w="1985"/>
        <w:gridCol w:w="2268"/>
        <w:gridCol w:w="1701"/>
      </w:tblGrid>
      <w:tr w:rsidR="002F3448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F3448" w:rsidRDefault="00AC1E09">
            <w:pPr>
              <w:pStyle w:val="Zawartotabeli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….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F3448" w:rsidRDefault="00AC1E09">
            <w:pPr>
              <w:pStyle w:val="Zawartotabeli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Lokal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2F3448" w:rsidRDefault="00AC1E09">
            <w:pPr>
              <w:pStyle w:val="Zawartotabeli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Pow. lokalu  (m</w:t>
            </w:r>
            <w:r>
              <w:rPr>
                <w:b/>
                <w:vertAlign w:val="superscript"/>
                <w:lang w:eastAsia="en-US"/>
              </w:rPr>
              <w:t>2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28" w:type="dxa"/>
            </w:tcMar>
          </w:tcPr>
          <w:p w:rsidR="002F3448" w:rsidRDefault="00AC1E09">
            <w:pPr>
              <w:pStyle w:val="Zawartotabeli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wywoławcza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F3448" w:rsidRDefault="00AC1E09">
            <w:pPr>
              <w:pStyle w:val="Zawartotabeli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wadium</w:t>
            </w:r>
          </w:p>
        </w:tc>
      </w:tr>
      <w:tr w:rsidR="002F3448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3" w:type="dxa"/>
              <w:right w:w="28" w:type="dxa"/>
            </w:tcMar>
          </w:tcPr>
          <w:p w:rsidR="002F3448" w:rsidRDefault="00AC1E09">
            <w:pPr>
              <w:pStyle w:val="Zawartotabeli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28" w:type="dxa"/>
            </w:tcMar>
          </w:tcPr>
          <w:p w:rsidR="002F3448" w:rsidRDefault="00AC1E09">
            <w:pPr>
              <w:pStyle w:val="Zawartotabeli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ul. Mickiewicza 93 m. 13A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3" w:type="dxa"/>
              <w:right w:w="28" w:type="dxa"/>
            </w:tcMar>
          </w:tcPr>
          <w:p w:rsidR="002F3448" w:rsidRDefault="00AC1E09">
            <w:pPr>
              <w:pStyle w:val="Zawartotabeli"/>
              <w:spacing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3" w:type="dxa"/>
              <w:right w:w="28" w:type="dxa"/>
            </w:tcMar>
          </w:tcPr>
          <w:p w:rsidR="002F3448" w:rsidRDefault="00AC1E0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150.000,-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3" w:type="dxa"/>
              <w:right w:w="28" w:type="dxa"/>
            </w:tcMar>
          </w:tcPr>
          <w:p w:rsidR="002F3448" w:rsidRDefault="00AC1E09">
            <w:pPr>
              <w:pStyle w:val="Zawartotabeli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15.000,-</w:t>
            </w:r>
          </w:p>
        </w:tc>
      </w:tr>
      <w:tr w:rsidR="002F3448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3" w:type="dxa"/>
              <w:right w:w="28" w:type="dxa"/>
            </w:tcMar>
          </w:tcPr>
          <w:p w:rsidR="002F3448" w:rsidRDefault="00AC1E09">
            <w:pPr>
              <w:pStyle w:val="Zawartotabeli"/>
              <w:spacing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28" w:type="dxa"/>
            </w:tcMar>
          </w:tcPr>
          <w:p w:rsidR="002F3448" w:rsidRDefault="00AC1E09">
            <w:pPr>
              <w:pStyle w:val="Zawartotabeli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ul. Mickiewicza 93 lok. 14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3" w:type="dxa"/>
              <w:right w:w="28" w:type="dxa"/>
            </w:tcMar>
          </w:tcPr>
          <w:p w:rsidR="002F3448" w:rsidRDefault="00AC1E09">
            <w:pPr>
              <w:pStyle w:val="Zawartotabeli"/>
              <w:spacing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90,00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3" w:type="dxa"/>
              <w:right w:w="28" w:type="dxa"/>
            </w:tcMar>
          </w:tcPr>
          <w:p w:rsidR="002F3448" w:rsidRDefault="00AC1E0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200.000,-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3" w:type="dxa"/>
              <w:right w:w="28" w:type="dxa"/>
            </w:tcMar>
          </w:tcPr>
          <w:p w:rsidR="002F3448" w:rsidRDefault="00AC1E09">
            <w:pPr>
              <w:pStyle w:val="Zawartotabeli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20.000,-</w:t>
            </w:r>
          </w:p>
        </w:tc>
      </w:tr>
    </w:tbl>
    <w:p w:rsidR="002F3448" w:rsidRDefault="00AC1E09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25 sierpnia 2021r., </w:t>
      </w:r>
      <w:r>
        <w:rPr>
          <w:rFonts w:ascii="Times New Roman" w:hAnsi="Times New Roman" w:cs="Times New Roman"/>
          <w:b/>
        </w:rPr>
        <w:t>włącznie.</w:t>
      </w:r>
      <w:r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</w:p>
    <w:p w:rsidR="002F3448" w:rsidRDefault="00AC1E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</w:t>
      </w:r>
      <w:r>
        <w:rPr>
          <w:rFonts w:ascii="Times New Roman" w:hAnsi="Times New Roman" w:cs="Times New Roman"/>
        </w:rPr>
        <w:t xml:space="preserve">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:rsidR="002F3448" w:rsidRDefault="00AC1E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Komisja przetargowa w dniu 27 sierpnia 2021r. stwierdzi dokonanie wpłaty wadium na podstawie wyciągu bankowego z wskazanego konta i sporządzi wykaz osób, które spełniły ten warunek.</w:t>
      </w:r>
    </w:p>
    <w:p w:rsidR="002F3448" w:rsidRDefault="002F3448">
      <w:pPr>
        <w:spacing w:line="276" w:lineRule="auto"/>
        <w:jc w:val="both"/>
        <w:rPr>
          <w:rFonts w:ascii="Times New Roman" w:hAnsi="Times New Roman" w:cs="Times New Roman"/>
        </w:rPr>
      </w:pPr>
    </w:p>
    <w:p w:rsidR="002F3448" w:rsidRDefault="00AC1E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§7.1. Uczestnicy </w:t>
      </w:r>
      <w:r>
        <w:rPr>
          <w:rFonts w:ascii="Times New Roman" w:hAnsi="Times New Roman" w:cs="Times New Roman"/>
        </w:rPr>
        <w:t>przetargu i osoby działające w ich imieniu winni przed przystąpieniem do licytacji przedstawić Komisji Przetargowej:</w:t>
      </w:r>
    </w:p>
    <w:p w:rsidR="002F3448" w:rsidRDefault="00AC1E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2F3448" w:rsidRDefault="00AC1E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</w:t>
      </w:r>
      <w:r>
        <w:rPr>
          <w:rFonts w:ascii="Times New Roman" w:hAnsi="Times New Roman" w:cs="Times New Roman"/>
        </w:rPr>
        <w:t xml:space="preserve"> prawnymi, którym ustawa przyznała zdolność prawną: aktualny wypis z właściwego rejestru oraz upoważnienie organu uprawnionego do reprezentowania podmiotu;</w:t>
      </w:r>
    </w:p>
    <w:p w:rsidR="002F3448" w:rsidRDefault="00AC1E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pełnomocnicy - pełnomocnictwo do uczestnictwa w przetargu (w formie pisemnej) lub pełnomocnictwo </w:t>
      </w:r>
      <w:r>
        <w:rPr>
          <w:rFonts w:ascii="Times New Roman" w:hAnsi="Times New Roman" w:cs="Times New Roman"/>
        </w:rPr>
        <w:t>do nabycia nieruchomości (w formie aktu notarialnego);</w:t>
      </w:r>
    </w:p>
    <w:p w:rsidR="002F3448" w:rsidRDefault="00AC1E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współmałżonka.</w:t>
      </w:r>
    </w:p>
    <w:p w:rsidR="002F3448" w:rsidRDefault="00AC1E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</w:t>
      </w:r>
      <w:r>
        <w:rPr>
          <w:rFonts w:ascii="Times New Roman" w:hAnsi="Times New Roman" w:cs="Times New Roman"/>
        </w:rPr>
        <w:t>ie nie dopuszczeniem do uczestnictwa w przetargu.</w:t>
      </w:r>
    </w:p>
    <w:p w:rsidR="002F3448" w:rsidRDefault="00AC1E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</w:t>
      </w:r>
      <w:r>
        <w:rPr>
          <w:rFonts w:ascii="Times New Roman" w:hAnsi="Times New Roman" w:cs="Times New Roman"/>
        </w:rPr>
        <w:t xml:space="preserve"> bezstronności Komisji Przetargowej.</w:t>
      </w:r>
    </w:p>
    <w:p w:rsidR="002F3448" w:rsidRDefault="002F3448">
      <w:pPr>
        <w:spacing w:line="276" w:lineRule="auto"/>
        <w:jc w:val="both"/>
        <w:rPr>
          <w:rFonts w:ascii="Times New Roman" w:hAnsi="Times New Roman" w:cs="Times New Roman"/>
        </w:rPr>
      </w:pPr>
    </w:p>
    <w:p w:rsidR="002F3448" w:rsidRDefault="00AC1E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2F3448" w:rsidRDefault="00AC1E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</w:t>
      </w:r>
      <w:r>
        <w:rPr>
          <w:rFonts w:ascii="Times New Roman" w:hAnsi="Times New Roman" w:cs="Times New Roman"/>
        </w:rPr>
        <w:t>ją kolejne postąpienie w wysokości nie niższej jak 1 % ceny wywoławczej, z zaokrągleniem w górę do pełnych dziesiątek złotych.</w:t>
      </w:r>
    </w:p>
    <w:p w:rsidR="002F3448" w:rsidRDefault="002F3448">
      <w:pPr>
        <w:spacing w:line="276" w:lineRule="auto"/>
        <w:jc w:val="both"/>
        <w:rPr>
          <w:rFonts w:ascii="Times New Roman" w:hAnsi="Times New Roman" w:cs="Times New Roman"/>
        </w:rPr>
      </w:pPr>
    </w:p>
    <w:p w:rsidR="002F3448" w:rsidRDefault="00AC1E0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2F3448" w:rsidRDefault="00AC1E0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</w:t>
      </w:r>
      <w:r>
        <w:rPr>
          <w:rFonts w:ascii="Times New Roman" w:hAnsi="Times New Roman" w:cs="Times New Roman"/>
        </w:rPr>
        <w:t>wanej ceny dalsze postąpienia nie zostaną przyjęte.</w:t>
      </w:r>
    </w:p>
    <w:p w:rsidR="002F3448" w:rsidRDefault="00AC1E09">
      <w:p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§10. Sprzedaż lokalu podlega zwolnieniu z podatku VAT na podstawie art. 43 ust. 1</w:t>
      </w:r>
      <w:r>
        <w:rPr>
          <w:rFonts w:ascii="Times New Roman" w:hAnsi="Times New Roman" w:cs="Times New Roman"/>
        </w:rPr>
        <w:br/>
        <w:t xml:space="preserve">pkt 10 ustawy o podatku od towarów i usług.  </w:t>
      </w:r>
    </w:p>
    <w:p w:rsidR="002F3448" w:rsidRDefault="00AC1E09">
      <w:p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F3448" w:rsidRDefault="00AC1E0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</w:t>
      </w:r>
      <w:r>
        <w:rPr>
          <w:rFonts w:ascii="Times New Roman" w:hAnsi="Times New Roman" w:cs="Times New Roman"/>
        </w:rPr>
        <w:t>żeli przynajmniej jeden uczestnik zaoferuje co najmniej jedno postąpienie powyżej ceny wywoławczej.</w:t>
      </w:r>
    </w:p>
    <w:p w:rsidR="002F3448" w:rsidRDefault="002F3448">
      <w:pPr>
        <w:spacing w:line="320" w:lineRule="exact"/>
        <w:jc w:val="both"/>
        <w:rPr>
          <w:rFonts w:ascii="Times New Roman" w:hAnsi="Times New Roman" w:cs="Times New Roman"/>
        </w:rPr>
      </w:pPr>
    </w:p>
    <w:p w:rsidR="002F3448" w:rsidRDefault="00AC1E0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§12. Wadium wpłacone przez uczestnika, który przetarg wygrał zalicza się na poczet ceny sprzedaży z chwilą zawarcia umowy sprzedaży w formie aktu notarial</w:t>
      </w:r>
      <w:r>
        <w:rPr>
          <w:rFonts w:ascii="Times New Roman" w:hAnsi="Times New Roman" w:cs="Times New Roman"/>
        </w:rPr>
        <w:t xml:space="preserve">nego. Wadium ulega przepadkowi w wypadku uchylenia się od zawarcia aktu notarialnego przez uczestnika, który przetarg wygrał. </w:t>
      </w:r>
    </w:p>
    <w:p w:rsidR="002F3448" w:rsidRDefault="002F3448">
      <w:pPr>
        <w:spacing w:line="320" w:lineRule="exact"/>
        <w:jc w:val="both"/>
        <w:rPr>
          <w:rFonts w:ascii="Times New Roman" w:hAnsi="Times New Roman" w:cs="Times New Roman"/>
        </w:rPr>
      </w:pPr>
    </w:p>
    <w:p w:rsidR="002F3448" w:rsidRDefault="00AC1E0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</w:t>
      </w:r>
      <w:r>
        <w:rPr>
          <w:rFonts w:ascii="Times New Roman" w:hAnsi="Times New Roman" w:cs="Times New Roman"/>
        </w:rPr>
        <w:t>ważnienia lub rozstrzygnięcia przetargu, zwrócone przelewem  - w wysokości nominalnej, na wskazane przez nich na piśmie konto. W przypadku braku pisemnego wskazania - najpóźniej w dniu przetargu - rachunku bankowego, na które ma być dokonany zwrot wadium z</w:t>
      </w:r>
      <w:r>
        <w:rPr>
          <w:rFonts w:ascii="Times New Roman" w:hAnsi="Times New Roman" w:cs="Times New Roman"/>
        </w:rPr>
        <w:t>ostanie zwrócone na konto, z którego wpłynęło,</w:t>
      </w:r>
      <w:r>
        <w:rPr>
          <w:rFonts w:ascii="Times New Roman" w:hAnsi="Times New Roman" w:cs="Times New Roman"/>
        </w:rPr>
        <w:br/>
        <w:t>o ile przelew został dokonany z konta bankowego.</w:t>
      </w:r>
    </w:p>
    <w:p w:rsidR="002F3448" w:rsidRDefault="002F3448">
      <w:pPr>
        <w:spacing w:line="320" w:lineRule="exact"/>
        <w:jc w:val="both"/>
        <w:rPr>
          <w:rFonts w:ascii="Times New Roman" w:hAnsi="Times New Roman" w:cs="Times New Roman"/>
        </w:rPr>
      </w:pPr>
    </w:p>
    <w:p w:rsidR="002F3448" w:rsidRDefault="00AC1E0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2F3448" w:rsidRDefault="00AC1E0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Protokół stanowi podstawę zawarcia aktu notarialnego.</w:t>
      </w:r>
    </w:p>
    <w:p w:rsidR="002F3448" w:rsidRDefault="002F344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2F3448" w:rsidRDefault="00AC1E0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§15.1. </w:t>
      </w:r>
      <w:r>
        <w:rPr>
          <w:rStyle w:val="alb"/>
          <w:rFonts w:ascii="Times New Roman" w:hAnsi="Times New Roman" w:cs="Times New Roman"/>
        </w:rPr>
        <w:t xml:space="preserve">Gmina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>wiadomi  osobę ustaloną jako nabywca nieruchomości o miejscu</w:t>
      </w:r>
      <w:r>
        <w:rPr>
          <w:rFonts w:ascii="Times New Roman" w:hAnsi="Times New Roman" w:cs="Times New Roman"/>
        </w:rPr>
        <w:br/>
        <w:t>i terminie zawarcia umowy sprzedaży  nieruchomości, najpóźniej w ciągu 21 dni od dnia rozstrzygnięcia przetargu. Wyznaczony termin nie może być krótszy niż 7 dni od dnia doręczenia zawiadomienia.</w:t>
      </w:r>
    </w:p>
    <w:p w:rsidR="002F3448" w:rsidRDefault="00AC1E09">
      <w:pPr>
        <w:spacing w:line="276" w:lineRule="auto"/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Umowa nabycia nieruchomości, w formie aktu notarialnego, winna zostać zawarta najpóźniej w terminie dwóch miesięcy od dnia rozstrzygnięcia przetargu. W przypadku wystąpienia wyjątkowych  okoliczności, których osoba ustalona jako nabywca</w:t>
      </w:r>
      <w:r>
        <w:rPr>
          <w:rFonts w:ascii="Times New Roman" w:hAnsi="Times New Roman" w:cs="Times New Roman"/>
        </w:rPr>
        <w:t xml:space="preserve"> nieruchomości nie mogła przewidzieć w dniu przetargu, Prezydent Miasta może zadecydować o przesunięciu  terminu zawarcia umowy. </w:t>
      </w:r>
    </w:p>
    <w:p w:rsidR="002F3448" w:rsidRDefault="00AC1E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 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</w:t>
      </w:r>
      <w:r>
        <w:rPr>
          <w:rFonts w:ascii="Times New Roman" w:hAnsi="Times New Roman" w:cs="Times New Roman"/>
        </w:rPr>
        <w:t>iejscu i w terminie podanych w zawiadomieniu, o którym mowa w ust. 1, z zastrzeżeniem ust. 2, Gmina może odstąpić od zawarcia umowy, a wpłacone wadium nie podlega zwrotowi. W zawiadomieniu zamieszcza się informację o tym uprawnieniu.</w:t>
      </w:r>
    </w:p>
    <w:p w:rsidR="002F3448" w:rsidRDefault="002F3448">
      <w:pPr>
        <w:spacing w:line="320" w:lineRule="exact"/>
        <w:ind w:left="15"/>
        <w:jc w:val="both"/>
        <w:rPr>
          <w:rFonts w:ascii="Times New Roman" w:hAnsi="Times New Roman" w:cs="Times New Roman"/>
        </w:rPr>
      </w:pPr>
    </w:p>
    <w:p w:rsidR="002F3448" w:rsidRDefault="00AC1E0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§16. Zwycięzca </w:t>
      </w:r>
      <w:r>
        <w:rPr>
          <w:rFonts w:ascii="Times New Roman" w:hAnsi="Times New Roman" w:cs="Times New Roman"/>
        </w:rPr>
        <w:t>przetargu zobowiązany jest zapłacić ustaloną w przetargu cenę sprzedaży lokalu, pomniejszoną o wpłacone wadium przelewem na rachunek bankowy Urzędu Miasta Torunia BANK MILLENNIUM S.A. O/Toruń Nr 95 11602202 0000 0000 6171 9127 przed zawarciem aktu notarial</w:t>
      </w:r>
      <w:r>
        <w:rPr>
          <w:rFonts w:ascii="Times New Roman" w:hAnsi="Times New Roman" w:cs="Times New Roman"/>
        </w:rPr>
        <w:t>nego, w terminie i w sposób umożliwiający potwierdzenie wpływu środków pieniężnych na wyżej wskazane konto.</w:t>
      </w:r>
    </w:p>
    <w:p w:rsidR="002F3448" w:rsidRDefault="002F3448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2F3448" w:rsidRDefault="00AC1E0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§17. Nabycie nieruchomości przez cudzoziemca następuje z uwzględnieniem przepisów ustawy z dnia 24 marca 1920 roku o nabywaniu nieruchomości przez</w:t>
      </w:r>
      <w:r>
        <w:rPr>
          <w:rFonts w:ascii="Times New Roman" w:hAnsi="Times New Roman" w:cs="Times New Roman"/>
        </w:rPr>
        <w:t xml:space="preserve"> cudzoziemców. </w:t>
      </w:r>
    </w:p>
    <w:p w:rsidR="002F3448" w:rsidRDefault="002F3448">
      <w:pPr>
        <w:spacing w:line="320" w:lineRule="exact"/>
        <w:jc w:val="both"/>
        <w:rPr>
          <w:rFonts w:ascii="Times New Roman" w:hAnsi="Times New Roman" w:cs="Times New Roman"/>
        </w:rPr>
      </w:pPr>
    </w:p>
    <w:p w:rsidR="002F3448" w:rsidRDefault="00AC1E0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2F3448" w:rsidRDefault="002F3448">
      <w:pPr>
        <w:spacing w:line="320" w:lineRule="exact"/>
        <w:jc w:val="both"/>
        <w:rPr>
          <w:rFonts w:ascii="Times New Roman" w:hAnsi="Times New Roman" w:cs="Times New Roman"/>
        </w:rPr>
      </w:pPr>
    </w:p>
    <w:p w:rsidR="002F3448" w:rsidRDefault="00AC1E0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2F3448" w:rsidRDefault="002F3448">
      <w:pPr>
        <w:spacing w:line="320" w:lineRule="exact"/>
        <w:jc w:val="both"/>
        <w:rPr>
          <w:rFonts w:ascii="Times New Roman" w:hAnsi="Times New Roman" w:cs="Times New Roman"/>
        </w:rPr>
      </w:pPr>
    </w:p>
    <w:p w:rsidR="002F3448" w:rsidRDefault="00AC1E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</w:t>
      </w:r>
      <w:r>
        <w:rPr>
          <w:rFonts w:ascii="Times New Roman" w:hAnsi="Times New Roman" w:cs="Times New Roman"/>
        </w:rPr>
        <w:t>tanie lokal odbyć się może na koszt i wniosek nabywcy.</w:t>
      </w:r>
    </w:p>
    <w:p w:rsidR="002F3448" w:rsidRDefault="002F3448">
      <w:pPr>
        <w:spacing w:line="276" w:lineRule="auto"/>
        <w:jc w:val="both"/>
        <w:rPr>
          <w:rFonts w:ascii="Times New Roman" w:hAnsi="Times New Roman" w:cs="Times New Roman"/>
        </w:rPr>
      </w:pPr>
    </w:p>
    <w:p w:rsidR="002F3448" w:rsidRDefault="00AC1E0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§20. Prezydent Miasta Torunia może z ważnych powodów odwołać przetarg.</w:t>
      </w:r>
    </w:p>
    <w:p w:rsidR="002F3448" w:rsidRDefault="002F3448">
      <w:pPr>
        <w:spacing w:line="320" w:lineRule="exact"/>
        <w:jc w:val="both"/>
        <w:rPr>
          <w:rFonts w:ascii="Times New Roman" w:hAnsi="Times New Roman" w:cs="Times New Roman"/>
        </w:rPr>
      </w:pPr>
    </w:p>
    <w:p w:rsidR="002F3448" w:rsidRDefault="00AC1E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§21. Uczestnik przetargu może zaskarżyć czynności związane z przeprowadzeniem przetargu do Prezydenta Miasta Torunia. Skarga w</w:t>
      </w:r>
      <w:r>
        <w:rPr>
          <w:rFonts w:ascii="Times New Roman" w:hAnsi="Times New Roman" w:cs="Times New Roman"/>
        </w:rPr>
        <w:t xml:space="preserve">inna być wniesiona w terminie 7 dni od dnia ogłoszenia wyniku przetargu. </w:t>
      </w:r>
    </w:p>
    <w:p w:rsidR="002F3448" w:rsidRDefault="002F3448">
      <w:pPr>
        <w:spacing w:line="320" w:lineRule="exact"/>
        <w:jc w:val="both"/>
        <w:rPr>
          <w:rFonts w:ascii="Times New Roman" w:hAnsi="Times New Roman" w:cs="Times New Roman"/>
        </w:rPr>
      </w:pPr>
    </w:p>
    <w:p w:rsidR="002F3448" w:rsidRDefault="00AC1E0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rozpatrzy skargę w terminie 7 dni od dnia jej otrzymania. </w:t>
      </w:r>
    </w:p>
    <w:p w:rsidR="002F3448" w:rsidRDefault="002F3448">
      <w:pPr>
        <w:spacing w:line="320" w:lineRule="exact"/>
        <w:jc w:val="both"/>
        <w:rPr>
          <w:rFonts w:ascii="Times New Roman" w:hAnsi="Times New Roman" w:cs="Times New Roman"/>
        </w:rPr>
      </w:pPr>
    </w:p>
    <w:p w:rsidR="002F3448" w:rsidRDefault="00AC1E0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2F3448" w:rsidRDefault="00AC1E0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</w:t>
      </w:r>
    </w:p>
    <w:p w:rsidR="002F3448" w:rsidRDefault="002F3448">
      <w:pPr>
        <w:spacing w:line="320" w:lineRule="exact"/>
        <w:jc w:val="both"/>
        <w:rPr>
          <w:rFonts w:ascii="Times New Roman" w:hAnsi="Times New Roman" w:cs="Times New Roman"/>
        </w:rPr>
      </w:pPr>
    </w:p>
    <w:p w:rsidR="002F3448" w:rsidRDefault="002F3448">
      <w:pPr>
        <w:spacing w:line="320" w:lineRule="exact"/>
        <w:jc w:val="both"/>
        <w:rPr>
          <w:rFonts w:ascii="Times New Roman" w:hAnsi="Times New Roman" w:cs="Times New Roman"/>
        </w:rPr>
      </w:pPr>
    </w:p>
    <w:p w:rsidR="002F3448" w:rsidRDefault="00AC1E09">
      <w:pPr>
        <w:spacing w:line="320" w:lineRule="exact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</w:r>
    </w:p>
    <w:p w:rsidR="002F3448" w:rsidRDefault="002F3448">
      <w:pPr>
        <w:rPr>
          <w:rFonts w:hint="eastAsia"/>
        </w:rPr>
      </w:pPr>
    </w:p>
    <w:p w:rsidR="002F3448" w:rsidRDefault="002F3448">
      <w:pPr>
        <w:rPr>
          <w:rFonts w:hint="eastAsia"/>
        </w:rPr>
      </w:pPr>
    </w:p>
    <w:sectPr w:rsidR="002F34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660AD"/>
    <w:multiLevelType w:val="multilevel"/>
    <w:tmpl w:val="166A5856"/>
    <w:lvl w:ilvl="0">
      <w:start w:val="1"/>
      <w:numFmt w:val="decimal"/>
      <w:lvlText w:val="%1)"/>
      <w:lvlJc w:val="left"/>
      <w:pPr>
        <w:ind w:left="786" w:hanging="360"/>
      </w:pPr>
      <w:rPr>
        <w:sz w:val="18"/>
        <w:vertAlign w:val="superscrip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E3111E"/>
    <w:multiLevelType w:val="multilevel"/>
    <w:tmpl w:val="AB86C8E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E8D2670"/>
    <w:multiLevelType w:val="multilevel"/>
    <w:tmpl w:val="BCCA470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48"/>
    <w:rsid w:val="002F3448"/>
    <w:rsid w:val="00A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0B27B-643C-40E4-A360-88263B94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C9E"/>
    <w:pPr>
      <w:widowControl w:val="0"/>
      <w:suppressAutoHyphens/>
      <w:spacing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915C9E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lb">
    <w:name w:val="a_lb"/>
    <w:basedOn w:val="Domylnaczcionkaakapitu"/>
    <w:qFormat/>
    <w:rsid w:val="00915C9E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C600C0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5777D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qFormat/>
    <w:rPr>
      <w:sz w:val="18"/>
      <w:vertAlign w:val="superscript"/>
    </w:rPr>
  </w:style>
  <w:style w:type="character" w:customStyle="1" w:styleId="ListLabel2">
    <w:name w:val="ListLabel 2"/>
    <w:qFormat/>
    <w:rPr>
      <w:b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915C9E"/>
    <w:pPr>
      <w:widowControl/>
      <w:suppressAutoHyphens w:val="0"/>
      <w:jc w:val="both"/>
    </w:pPr>
    <w:rPr>
      <w:rFonts w:asciiTheme="minorHAnsi" w:eastAsiaTheme="minorHAnsi" w:hAnsiTheme="minorHAnsi" w:cstheme="minorBidi"/>
      <w:szCs w:val="22"/>
      <w:lang w:eastAsia="en-US" w:bidi="ar-S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915C9E"/>
    <w:pPr>
      <w:ind w:left="720"/>
      <w:contextualSpacing/>
    </w:pPr>
    <w:rPr>
      <w:rFonts w:ascii="Times New Roman" w:eastAsia="Lucida Sans Unicode" w:hAnsi="Times New Roman" w:cs="Times New Roman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C600C0"/>
    <w:pPr>
      <w:spacing w:after="120" w:line="480" w:lineRule="auto"/>
      <w:ind w:left="283"/>
    </w:pPr>
    <w:rPr>
      <w:szCs w:val="21"/>
    </w:rPr>
  </w:style>
  <w:style w:type="paragraph" w:customStyle="1" w:styleId="Zawartotabeli">
    <w:name w:val="Zawartość tabeli"/>
    <w:basedOn w:val="Tretekstu"/>
    <w:qFormat/>
    <w:rsid w:val="00C600C0"/>
    <w:pPr>
      <w:suppressLineNumbers/>
      <w:spacing w:after="120"/>
    </w:pPr>
    <w:rPr>
      <w:rFonts w:ascii="Times New Roman" w:eastAsia="Lucida Sans Unicode" w:hAnsi="Times New Roman" w:cs="Times New Roman"/>
      <w:lang w:eastAsia="pl-PL"/>
    </w:rPr>
  </w:style>
  <w:style w:type="paragraph" w:customStyle="1" w:styleId="Zawartotabeli0">
    <w:name w:val="Zawarto?? tabeli"/>
    <w:basedOn w:val="Normalny"/>
    <w:qFormat/>
    <w:rsid w:val="00C600C0"/>
    <w:pPr>
      <w:suppressLineNumbers/>
    </w:pPr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577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23A0D-49BC-4403-92CF-EDEE1262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1982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i.wieckowska</dc:creator>
  <cp:lastModifiedBy>m.wisniewska</cp:lastModifiedBy>
  <cp:revision>2</cp:revision>
  <cp:lastPrinted>2021-06-23T11:54:00Z</cp:lastPrinted>
  <dcterms:created xsi:type="dcterms:W3CDTF">2021-07-13T11:35:00Z</dcterms:created>
  <dcterms:modified xsi:type="dcterms:W3CDTF">2021-07-13T11:35:00Z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