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9E" w:rsidRDefault="00915C9E" w:rsidP="00915C9E">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 xml:space="preserve">ZARZĄDZENIE NR </w:t>
      </w:r>
      <w:r w:rsidR="000F1B8C">
        <w:rPr>
          <w:rFonts w:ascii="Times New Roman" w:hAnsi="Times New Roman" w:cs="Times New Roman"/>
          <w:b/>
        </w:rPr>
        <w:t>183</w:t>
      </w:r>
    </w:p>
    <w:p w:rsidR="00915C9E" w:rsidRDefault="00915C9E" w:rsidP="00915C9E">
      <w:pPr>
        <w:spacing w:line="360" w:lineRule="auto"/>
        <w:jc w:val="center"/>
        <w:rPr>
          <w:rFonts w:ascii="Times New Roman" w:hAnsi="Times New Roman" w:cs="Times New Roman"/>
          <w:b/>
        </w:rPr>
      </w:pPr>
      <w:r>
        <w:rPr>
          <w:rFonts w:ascii="Times New Roman" w:hAnsi="Times New Roman" w:cs="Times New Roman"/>
          <w:b/>
        </w:rPr>
        <w:t>PREZYDENTA MIASTA TORUNIA</w:t>
      </w:r>
    </w:p>
    <w:p w:rsidR="00915C9E" w:rsidRDefault="00915C9E" w:rsidP="00915C9E">
      <w:pPr>
        <w:spacing w:line="360" w:lineRule="auto"/>
        <w:jc w:val="center"/>
        <w:rPr>
          <w:rFonts w:ascii="Times New Roman" w:hAnsi="Times New Roman" w:cs="Times New Roman"/>
          <w:b/>
        </w:rPr>
      </w:pPr>
      <w:r>
        <w:rPr>
          <w:rFonts w:ascii="Times New Roman" w:hAnsi="Times New Roman" w:cs="Times New Roman"/>
          <w:b/>
        </w:rPr>
        <w:t xml:space="preserve">z dnia  </w:t>
      </w:r>
      <w:r w:rsidR="000F1B8C">
        <w:rPr>
          <w:rFonts w:ascii="Times New Roman" w:hAnsi="Times New Roman" w:cs="Times New Roman"/>
          <w:b/>
        </w:rPr>
        <w:t xml:space="preserve">18.08.2021 r. </w:t>
      </w:r>
    </w:p>
    <w:p w:rsidR="00915C9E" w:rsidRDefault="00915C9E" w:rsidP="00915C9E">
      <w:pPr>
        <w:jc w:val="both"/>
        <w:rPr>
          <w:rFonts w:ascii="Times New Roman" w:hAnsi="Times New Roman" w:cs="Times New Roman"/>
          <w:b/>
        </w:rPr>
      </w:pPr>
    </w:p>
    <w:p w:rsidR="00915C9E" w:rsidRPr="00915C9E" w:rsidRDefault="00915C9E" w:rsidP="00915C9E">
      <w:pPr>
        <w:pStyle w:val="Tretekstu"/>
        <w:spacing w:line="276" w:lineRule="auto"/>
        <w:rPr>
          <w:rFonts w:ascii="Times New Roman" w:hAnsi="Times New Roman" w:cs="Times New Roman"/>
          <w:b/>
        </w:rPr>
      </w:pPr>
      <w:r w:rsidRPr="00EA6105">
        <w:rPr>
          <w:rFonts w:ascii="Times New Roman" w:hAnsi="Times New Roman" w:cs="Times New Roman"/>
          <w:b/>
        </w:rPr>
        <w:t>w sprawie ustalenia regulaminu I przetarg</w:t>
      </w:r>
      <w:r w:rsidR="00950F9A">
        <w:rPr>
          <w:rFonts w:ascii="Times New Roman" w:hAnsi="Times New Roman" w:cs="Times New Roman"/>
          <w:b/>
        </w:rPr>
        <w:t>u</w:t>
      </w:r>
      <w:r>
        <w:rPr>
          <w:rFonts w:ascii="Times New Roman" w:hAnsi="Times New Roman" w:cs="Times New Roman"/>
          <w:b/>
        </w:rPr>
        <w:t xml:space="preserve"> </w:t>
      </w:r>
      <w:r w:rsidRPr="00EA6105">
        <w:rPr>
          <w:rFonts w:ascii="Times New Roman" w:hAnsi="Times New Roman" w:cs="Times New Roman"/>
          <w:b/>
        </w:rPr>
        <w:t>ustn</w:t>
      </w:r>
      <w:r w:rsidR="00950F9A">
        <w:rPr>
          <w:rFonts w:ascii="Times New Roman" w:hAnsi="Times New Roman" w:cs="Times New Roman"/>
          <w:b/>
        </w:rPr>
        <w:t>ego</w:t>
      </w:r>
      <w:r w:rsidRPr="00EA6105">
        <w:rPr>
          <w:rFonts w:ascii="Times New Roman" w:hAnsi="Times New Roman" w:cs="Times New Roman"/>
          <w:b/>
        </w:rPr>
        <w:t xml:space="preserve"> nieograniczon</w:t>
      </w:r>
      <w:r w:rsidR="00950F9A">
        <w:rPr>
          <w:rFonts w:ascii="Times New Roman" w:hAnsi="Times New Roman" w:cs="Times New Roman"/>
          <w:b/>
        </w:rPr>
        <w:t>ego</w:t>
      </w:r>
      <w:r w:rsidRPr="00EA6105">
        <w:rPr>
          <w:rFonts w:ascii="Times New Roman" w:hAnsi="Times New Roman" w:cs="Times New Roman"/>
          <w:b/>
        </w:rPr>
        <w:t xml:space="preserve"> na sprzedaż </w:t>
      </w:r>
      <w:r>
        <w:rPr>
          <w:rFonts w:ascii="Times New Roman" w:hAnsi="Times New Roman" w:cs="Times New Roman"/>
          <w:b/>
        </w:rPr>
        <w:t xml:space="preserve"> lokal</w:t>
      </w:r>
      <w:r w:rsidR="00950F9A">
        <w:rPr>
          <w:rFonts w:ascii="Times New Roman" w:hAnsi="Times New Roman" w:cs="Times New Roman"/>
          <w:b/>
        </w:rPr>
        <w:t xml:space="preserve">u mieszkalnego nr </w:t>
      </w:r>
      <w:r w:rsidR="00B84C57">
        <w:rPr>
          <w:rFonts w:ascii="Times New Roman" w:hAnsi="Times New Roman" w:cs="Times New Roman"/>
          <w:b/>
        </w:rPr>
        <w:t>2</w:t>
      </w:r>
      <w:r>
        <w:rPr>
          <w:rFonts w:ascii="Times New Roman" w:hAnsi="Times New Roman" w:cs="Times New Roman"/>
          <w:b/>
        </w:rPr>
        <w:t xml:space="preserve">, </w:t>
      </w:r>
      <w:r w:rsidR="00950F9A">
        <w:rPr>
          <w:rFonts w:ascii="Times New Roman" w:hAnsi="Times New Roman" w:cs="Times New Roman"/>
          <w:b/>
        </w:rPr>
        <w:t>usytuowanego</w:t>
      </w:r>
      <w:r w:rsidR="00950F9A" w:rsidRPr="00915C9E">
        <w:rPr>
          <w:b/>
        </w:rPr>
        <w:t xml:space="preserve"> </w:t>
      </w:r>
      <w:r w:rsidR="00950F9A">
        <w:rPr>
          <w:rFonts w:ascii="Times New Roman" w:hAnsi="Times New Roman" w:cs="Times New Roman"/>
          <w:b/>
          <w:szCs w:val="24"/>
        </w:rPr>
        <w:t xml:space="preserve">w budynku położonym przy </w:t>
      </w:r>
      <w:r w:rsidR="00B84C57">
        <w:rPr>
          <w:rFonts w:ascii="Times New Roman" w:hAnsi="Times New Roman" w:cs="Times New Roman"/>
          <w:b/>
          <w:szCs w:val="24"/>
        </w:rPr>
        <w:t>Rynku Nowomiejskim 23</w:t>
      </w:r>
      <w:r w:rsidR="00950F9A">
        <w:rPr>
          <w:rFonts w:ascii="Times New Roman" w:hAnsi="Times New Roman" w:cs="Times New Roman"/>
          <w:b/>
          <w:szCs w:val="24"/>
        </w:rPr>
        <w:br/>
        <w:t xml:space="preserve">w Toruniu, </w:t>
      </w:r>
      <w:r>
        <w:rPr>
          <w:rFonts w:ascii="Times New Roman" w:hAnsi="Times New Roman" w:cs="Times New Roman"/>
          <w:b/>
        </w:rPr>
        <w:t>stanowiąc</w:t>
      </w:r>
      <w:r w:rsidR="00950F9A">
        <w:rPr>
          <w:rFonts w:ascii="Times New Roman" w:hAnsi="Times New Roman" w:cs="Times New Roman"/>
          <w:b/>
        </w:rPr>
        <w:t>ego</w:t>
      </w:r>
      <w:r>
        <w:rPr>
          <w:rFonts w:ascii="Times New Roman" w:hAnsi="Times New Roman" w:cs="Times New Roman"/>
          <w:b/>
        </w:rPr>
        <w:t xml:space="preserve"> własność Gminy Miasta Toruń, </w:t>
      </w:r>
      <w:r w:rsidRPr="00EA6105">
        <w:rPr>
          <w:rFonts w:ascii="Times New Roman" w:hAnsi="Times New Roman" w:cs="Times New Roman"/>
          <w:b/>
        </w:rPr>
        <w:t>oraz powołania Komisji do przeprowadzenia  przetarg</w:t>
      </w:r>
      <w:r w:rsidR="00950F9A">
        <w:rPr>
          <w:rFonts w:ascii="Times New Roman" w:hAnsi="Times New Roman" w:cs="Times New Roman"/>
          <w:b/>
        </w:rPr>
        <w:t>u.</w:t>
      </w:r>
    </w:p>
    <w:p w:rsidR="00915C9E" w:rsidRPr="0000726E" w:rsidRDefault="00915C9E" w:rsidP="00915C9E">
      <w:pPr>
        <w:rPr>
          <w:rFonts w:ascii="Times New Roman" w:hAnsi="Times New Roman" w:cs="Times New Roman"/>
        </w:rPr>
      </w:pPr>
    </w:p>
    <w:p w:rsidR="00915C9E" w:rsidRPr="00950F9A" w:rsidRDefault="00915C9E" w:rsidP="00915C9E">
      <w:pPr>
        <w:jc w:val="both"/>
        <w:rPr>
          <w:rFonts w:ascii="Times New Roman" w:hAnsi="Times New Roman" w:cs="Times New Roman"/>
        </w:rPr>
      </w:pPr>
      <w:r w:rsidRPr="0000726E">
        <w:rPr>
          <w:rFonts w:ascii="Times New Roman" w:hAnsi="Times New Roman" w:cs="Times New Roman"/>
        </w:rPr>
        <w:t>Na podstawie art. 30 ust. 1 ustawy z dnia 8 marca 1990 roku o samorządzie gminnym  (Dz. U. z 202</w:t>
      </w:r>
      <w:r w:rsidR="00A233FC">
        <w:rPr>
          <w:rFonts w:ascii="Times New Roman" w:hAnsi="Times New Roman" w:cs="Times New Roman"/>
        </w:rPr>
        <w:t>1</w:t>
      </w:r>
      <w:r w:rsidRPr="0000726E">
        <w:rPr>
          <w:rFonts w:ascii="Times New Roman" w:hAnsi="Times New Roman" w:cs="Times New Roman"/>
        </w:rPr>
        <w:t xml:space="preserve">r., poz. </w:t>
      </w:r>
      <w:r w:rsidR="00A233FC">
        <w:rPr>
          <w:rFonts w:ascii="Times New Roman" w:hAnsi="Times New Roman" w:cs="Times New Roman"/>
        </w:rPr>
        <w:t>1372</w:t>
      </w:r>
      <w:r w:rsidRPr="0000726E">
        <w:rPr>
          <w:rFonts w:ascii="Times New Roman" w:hAnsi="Times New Roman" w:cs="Times New Roman"/>
        </w:rPr>
        <w:t xml:space="preserve">) oraz Uchwały Nr </w:t>
      </w:r>
      <w:r w:rsidR="00B84C57">
        <w:rPr>
          <w:rFonts w:ascii="Times New Roman" w:hAnsi="Times New Roman" w:cs="Times New Roman"/>
        </w:rPr>
        <w:t>29</w:t>
      </w:r>
      <w:r w:rsidRPr="0000726E">
        <w:rPr>
          <w:rFonts w:ascii="Times New Roman" w:hAnsi="Times New Roman" w:cs="Times New Roman"/>
        </w:rPr>
        <w:t>/</w:t>
      </w:r>
      <w:r w:rsidR="00B84C57">
        <w:rPr>
          <w:rFonts w:ascii="Times New Roman" w:hAnsi="Times New Roman" w:cs="Times New Roman"/>
        </w:rPr>
        <w:t>19</w:t>
      </w:r>
      <w:r w:rsidRPr="0000726E">
        <w:rPr>
          <w:rFonts w:ascii="Times New Roman" w:hAnsi="Times New Roman" w:cs="Times New Roman"/>
        </w:rPr>
        <w:t xml:space="preserve"> Rady Miasta Torunia z dnia</w:t>
      </w:r>
      <w:r w:rsidR="00A233FC">
        <w:rPr>
          <w:rFonts w:ascii="Times New Roman" w:hAnsi="Times New Roman" w:cs="Times New Roman"/>
        </w:rPr>
        <w:t xml:space="preserve"> </w:t>
      </w:r>
      <w:r w:rsidR="00B84C57">
        <w:rPr>
          <w:rFonts w:ascii="Times New Roman" w:hAnsi="Times New Roman" w:cs="Times New Roman"/>
        </w:rPr>
        <w:t>10</w:t>
      </w:r>
      <w:r w:rsidRPr="0000726E">
        <w:rPr>
          <w:rFonts w:ascii="Times New Roman" w:hAnsi="Times New Roman" w:cs="Times New Roman"/>
        </w:rPr>
        <w:t xml:space="preserve"> </w:t>
      </w:r>
      <w:r w:rsidR="00B84C57">
        <w:rPr>
          <w:rFonts w:ascii="Times New Roman" w:hAnsi="Times New Roman" w:cs="Times New Roman"/>
        </w:rPr>
        <w:t>stycznia</w:t>
      </w:r>
      <w:r w:rsidRPr="0000726E">
        <w:rPr>
          <w:rFonts w:ascii="Times New Roman" w:hAnsi="Times New Roman" w:cs="Times New Roman"/>
        </w:rPr>
        <w:t xml:space="preserve"> </w:t>
      </w:r>
      <w:r w:rsidR="00B84C57">
        <w:rPr>
          <w:rFonts w:ascii="Times New Roman" w:hAnsi="Times New Roman" w:cs="Times New Roman"/>
        </w:rPr>
        <w:t>2019r</w:t>
      </w:r>
      <w:r w:rsidRPr="0000726E">
        <w:rPr>
          <w:rFonts w:ascii="Times New Roman" w:hAnsi="Times New Roman" w:cs="Times New Roman"/>
        </w:rPr>
        <w:t xml:space="preserve">. w sprawie </w:t>
      </w:r>
      <w:r w:rsidRPr="00950F9A">
        <w:rPr>
          <w:rFonts w:ascii="Times New Roman" w:hAnsi="Times New Roman" w:cs="Times New Roman"/>
        </w:rPr>
        <w:t xml:space="preserve">sprzedaży </w:t>
      </w:r>
      <w:r w:rsidR="00950F9A" w:rsidRPr="00950F9A">
        <w:rPr>
          <w:rFonts w:ascii="Times New Roman" w:hAnsi="Times New Roman" w:cs="Times New Roman"/>
        </w:rPr>
        <w:t xml:space="preserve">lokalu mieszkalnego nr </w:t>
      </w:r>
      <w:r w:rsidR="00B84C57">
        <w:rPr>
          <w:rFonts w:ascii="Times New Roman" w:hAnsi="Times New Roman" w:cs="Times New Roman"/>
        </w:rPr>
        <w:t>2</w:t>
      </w:r>
      <w:r w:rsidR="00950F9A" w:rsidRPr="00950F9A">
        <w:rPr>
          <w:rFonts w:ascii="Times New Roman" w:hAnsi="Times New Roman" w:cs="Times New Roman"/>
        </w:rPr>
        <w:t xml:space="preserve">, </w:t>
      </w:r>
      <w:r w:rsidR="00B84C57" w:rsidRPr="00950F9A">
        <w:rPr>
          <w:rFonts w:ascii="Times New Roman" w:hAnsi="Times New Roman" w:cs="Times New Roman"/>
        </w:rPr>
        <w:t xml:space="preserve">stanowiącego własność Gminy Miasta Toruń </w:t>
      </w:r>
      <w:r w:rsidR="00B84C57">
        <w:rPr>
          <w:rFonts w:ascii="Times New Roman" w:hAnsi="Times New Roman" w:cs="Times New Roman"/>
        </w:rPr>
        <w:t xml:space="preserve">wchodzącego w skład nieruchomości budynkowej położonej w Toruniu </w:t>
      </w:r>
      <w:r w:rsidR="00950F9A" w:rsidRPr="00950F9A">
        <w:rPr>
          <w:rFonts w:ascii="Times New Roman" w:hAnsi="Times New Roman" w:cs="Times New Roman"/>
        </w:rPr>
        <w:t xml:space="preserve">przy </w:t>
      </w:r>
      <w:r w:rsidR="00B84C57">
        <w:rPr>
          <w:rFonts w:ascii="Times New Roman" w:hAnsi="Times New Roman" w:cs="Times New Roman"/>
        </w:rPr>
        <w:t>Rynku Nowomiejskim 23</w:t>
      </w:r>
      <w:r w:rsidR="00950F9A">
        <w:rPr>
          <w:rFonts w:ascii="Times New Roman" w:hAnsi="Times New Roman" w:cs="Times New Roman"/>
        </w:rPr>
        <w:t>,</w:t>
      </w:r>
      <w:r w:rsidR="00950F9A" w:rsidRPr="00950F9A">
        <w:rPr>
          <w:rFonts w:ascii="Times New Roman" w:hAnsi="Times New Roman" w:cs="Times New Roman"/>
        </w:rPr>
        <w:t xml:space="preserve"> </w:t>
      </w:r>
      <w:r w:rsidRPr="00950F9A">
        <w:rPr>
          <w:rFonts w:ascii="Times New Roman" w:hAnsi="Times New Roman" w:cs="Times New Roman"/>
        </w:rPr>
        <w:t>zarządza się, co następuje:</w:t>
      </w:r>
    </w:p>
    <w:p w:rsidR="00915C9E" w:rsidRDefault="00915C9E" w:rsidP="00915C9E">
      <w:pPr>
        <w:jc w:val="both"/>
        <w:rPr>
          <w:rFonts w:ascii="Times New Roman" w:hAnsi="Times New Roman" w:cs="Times New Roman"/>
        </w:rPr>
      </w:pPr>
    </w:p>
    <w:p w:rsidR="00915C9E" w:rsidRPr="00915C9E" w:rsidRDefault="00915C9E" w:rsidP="00915C9E">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 xml:space="preserve">§1. Powołać Komisję do przeprowadzenia </w:t>
      </w:r>
      <w:r w:rsidRPr="00915C9E">
        <w:rPr>
          <w:rFonts w:ascii="Times New Roman" w:hAnsi="Times New Roman" w:cs="Times New Roman"/>
        </w:rPr>
        <w:t>I przetarg</w:t>
      </w:r>
      <w:r w:rsidR="00950F9A">
        <w:rPr>
          <w:rFonts w:ascii="Times New Roman" w:hAnsi="Times New Roman" w:cs="Times New Roman"/>
        </w:rPr>
        <w:t>u</w:t>
      </w:r>
      <w:r w:rsidRPr="00915C9E">
        <w:rPr>
          <w:rFonts w:ascii="Times New Roman" w:hAnsi="Times New Roman" w:cs="Times New Roman"/>
        </w:rPr>
        <w:t xml:space="preserve"> ustn</w:t>
      </w:r>
      <w:r w:rsidR="00950F9A">
        <w:rPr>
          <w:rFonts w:ascii="Times New Roman" w:hAnsi="Times New Roman" w:cs="Times New Roman"/>
        </w:rPr>
        <w:t>ego</w:t>
      </w:r>
      <w:r w:rsidRPr="00915C9E">
        <w:rPr>
          <w:rFonts w:ascii="Times New Roman" w:hAnsi="Times New Roman" w:cs="Times New Roman"/>
        </w:rPr>
        <w:t xml:space="preserve"> nieograniczon</w:t>
      </w:r>
      <w:r w:rsidR="00950F9A">
        <w:rPr>
          <w:rFonts w:ascii="Times New Roman" w:hAnsi="Times New Roman" w:cs="Times New Roman"/>
        </w:rPr>
        <w:t>ego</w:t>
      </w:r>
      <w:r w:rsidR="00950F9A">
        <w:rPr>
          <w:rFonts w:ascii="Times New Roman" w:hAnsi="Times New Roman" w:cs="Times New Roman"/>
        </w:rPr>
        <w:br/>
      </w:r>
      <w:r w:rsidRPr="00915C9E">
        <w:rPr>
          <w:rFonts w:ascii="Times New Roman" w:hAnsi="Times New Roman" w:cs="Times New Roman"/>
        </w:rPr>
        <w:t xml:space="preserve">na sprzedaż  </w:t>
      </w:r>
      <w:r w:rsidR="00950F9A" w:rsidRPr="00950F9A">
        <w:rPr>
          <w:rFonts w:ascii="Times New Roman" w:hAnsi="Times New Roman" w:cs="Times New Roman"/>
        </w:rPr>
        <w:t xml:space="preserve">lokalu mieszkalnego nr </w:t>
      </w:r>
      <w:r w:rsidR="00B84C57">
        <w:rPr>
          <w:rFonts w:ascii="Times New Roman" w:hAnsi="Times New Roman" w:cs="Times New Roman"/>
        </w:rPr>
        <w:t>2</w:t>
      </w:r>
      <w:r w:rsidR="00950F9A" w:rsidRPr="00950F9A">
        <w:rPr>
          <w:rFonts w:ascii="Times New Roman" w:hAnsi="Times New Roman" w:cs="Times New Roman"/>
        </w:rPr>
        <w:t>, usytuowanego</w:t>
      </w:r>
      <w:r w:rsidR="00950F9A" w:rsidRPr="00950F9A">
        <w:t xml:space="preserve"> </w:t>
      </w:r>
      <w:r w:rsidR="00950F9A" w:rsidRPr="00950F9A">
        <w:rPr>
          <w:rFonts w:ascii="Times New Roman" w:hAnsi="Times New Roman" w:cs="Times New Roman"/>
        </w:rPr>
        <w:t xml:space="preserve">w budynku położonym przy </w:t>
      </w:r>
      <w:r w:rsidR="00B84C57">
        <w:rPr>
          <w:rFonts w:ascii="Times New Roman" w:hAnsi="Times New Roman" w:cs="Times New Roman"/>
        </w:rPr>
        <w:t>Rynku Nowomiejskim 23</w:t>
      </w:r>
      <w:r w:rsidR="00950F9A" w:rsidRPr="00950F9A">
        <w:rPr>
          <w:rFonts w:ascii="Times New Roman" w:hAnsi="Times New Roman" w:cs="Times New Roman"/>
        </w:rPr>
        <w:t xml:space="preserve"> w Toruniu</w:t>
      </w:r>
      <w:r w:rsidR="00950F9A">
        <w:rPr>
          <w:rFonts w:ascii="Times New Roman" w:hAnsi="Times New Roman" w:cs="Times New Roman"/>
        </w:rPr>
        <w:t>,</w:t>
      </w:r>
      <w:r w:rsidR="00950F9A" w:rsidRPr="00950F9A">
        <w:rPr>
          <w:rFonts w:ascii="Times New Roman" w:hAnsi="Times New Roman" w:cs="Times New Roman"/>
        </w:rPr>
        <w:t xml:space="preserve"> stanowiącego własność Gminy Miasta Toruń </w:t>
      </w:r>
      <w:r w:rsidRPr="00915C9E">
        <w:rPr>
          <w:rFonts w:ascii="Times New Roman" w:hAnsi="Times New Roman" w:cs="Times New Roman"/>
        </w:rPr>
        <w:t>w następującym składzie:</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1) Przewodniczący Komisji        - Iwona Więckowska;</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2) Członek Komisji                     - Robert Dąbrowski;</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 xml:space="preserve">3) Członek Komisji                     - </w:t>
      </w:r>
      <w:r w:rsidR="00B84C57">
        <w:rPr>
          <w:rFonts w:ascii="Times New Roman" w:hAnsi="Times New Roman" w:cs="Times New Roman"/>
        </w:rPr>
        <w:t>Małgorzata</w:t>
      </w:r>
      <w:r w:rsidR="00DE2B4A">
        <w:rPr>
          <w:rFonts w:ascii="Times New Roman" w:hAnsi="Times New Roman" w:cs="Times New Roman"/>
        </w:rPr>
        <w:t xml:space="preserve"> </w:t>
      </w:r>
      <w:r w:rsidR="00B84C57">
        <w:rPr>
          <w:rFonts w:ascii="Times New Roman" w:hAnsi="Times New Roman" w:cs="Times New Roman"/>
        </w:rPr>
        <w:t>Stępińska</w:t>
      </w:r>
      <w:r>
        <w:rPr>
          <w:rFonts w:ascii="Times New Roman" w:hAnsi="Times New Roman" w:cs="Times New Roman"/>
        </w:rPr>
        <w:t>;</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 xml:space="preserve">4) Członek Komisji                     - </w:t>
      </w:r>
      <w:r w:rsidR="001E5C5C">
        <w:rPr>
          <w:rFonts w:ascii="Times New Roman" w:hAnsi="Times New Roman" w:cs="Times New Roman"/>
        </w:rPr>
        <w:t>Katarzyna Kierys</w:t>
      </w:r>
      <w:r>
        <w:rPr>
          <w:rFonts w:ascii="Times New Roman" w:hAnsi="Times New Roman" w:cs="Times New Roman"/>
        </w:rPr>
        <w:t>.</w:t>
      </w:r>
    </w:p>
    <w:p w:rsidR="00915C9E" w:rsidRDefault="00915C9E" w:rsidP="00915C9E">
      <w:pPr>
        <w:spacing w:line="276" w:lineRule="auto"/>
        <w:jc w:val="both"/>
        <w:rPr>
          <w:rFonts w:ascii="Times New Roman" w:hAnsi="Times New Roman" w:cs="Times New Roman"/>
        </w:rPr>
      </w:pPr>
    </w:p>
    <w:p w:rsidR="00915C9E" w:rsidRDefault="00915C9E" w:rsidP="00915C9E">
      <w:pPr>
        <w:tabs>
          <w:tab w:val="left" w:pos="0"/>
        </w:tabs>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§2. Komisja przeprowadzi przetarg,  zgodnie z Regulaminem, stanowiącym załącznik do niniejszego zarządzenia.</w:t>
      </w:r>
    </w:p>
    <w:p w:rsidR="00915C9E" w:rsidRDefault="00915C9E" w:rsidP="00915C9E">
      <w:pPr>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§3. Przetarg odbęd</w:t>
      </w:r>
      <w:r w:rsidR="00950F9A">
        <w:rPr>
          <w:rFonts w:ascii="Times New Roman" w:hAnsi="Times New Roman" w:cs="Times New Roman"/>
        </w:rPr>
        <w:t xml:space="preserve">zie </w:t>
      </w:r>
      <w:r>
        <w:rPr>
          <w:rFonts w:ascii="Times New Roman" w:hAnsi="Times New Roman" w:cs="Times New Roman"/>
        </w:rPr>
        <w:t xml:space="preserve">się w </w:t>
      </w:r>
      <w:r w:rsidR="00DE2B4A">
        <w:rPr>
          <w:rFonts w:ascii="Times New Roman" w:hAnsi="Times New Roman" w:cs="Times New Roman"/>
        </w:rPr>
        <w:t>Wydziale</w:t>
      </w:r>
      <w:r>
        <w:rPr>
          <w:rFonts w:ascii="Times New Roman" w:hAnsi="Times New Roman" w:cs="Times New Roman"/>
        </w:rPr>
        <w:t xml:space="preserve"> Gospodarki Nieruchomościami Urzędu Miasta Torunia,  przy ulicy Grudziądzkiej 126 „B” w sali konferencyjnej nr 115, na pierwszym piętrze.</w:t>
      </w:r>
    </w:p>
    <w:p w:rsidR="00915C9E" w:rsidRDefault="00915C9E" w:rsidP="00915C9E">
      <w:pPr>
        <w:spacing w:line="276" w:lineRule="auto"/>
        <w:jc w:val="both"/>
        <w:rPr>
          <w:rFonts w:ascii="Times New Roman" w:hAnsi="Times New Roman" w:cs="Times New Roman"/>
        </w:rPr>
      </w:pPr>
    </w:p>
    <w:p w:rsidR="00915C9E" w:rsidRDefault="00915C9E" w:rsidP="00915C9E">
      <w:pPr>
        <w:tabs>
          <w:tab w:val="left" w:pos="393"/>
        </w:tabs>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§4. Wykonanie zarządzenia powierza się Dyrektorowi Wydziału Gospodarki Nieruchomościami</w:t>
      </w:r>
      <w:r w:rsidR="00DE2B4A">
        <w:rPr>
          <w:rFonts w:ascii="Times New Roman" w:hAnsi="Times New Roman" w:cs="Times New Roman"/>
        </w:rPr>
        <w:t>.</w:t>
      </w:r>
    </w:p>
    <w:p w:rsidR="00915C9E" w:rsidRDefault="00915C9E" w:rsidP="00915C9E">
      <w:pPr>
        <w:tabs>
          <w:tab w:val="left" w:pos="393"/>
        </w:tabs>
        <w:jc w:val="both"/>
        <w:rPr>
          <w:rFonts w:ascii="Times New Roman" w:eastAsia="Liberation Serif" w:hAnsi="Times New Roman" w:cs="Times New Roman"/>
        </w:rPr>
      </w:pPr>
      <w:r>
        <w:rPr>
          <w:rFonts w:ascii="Times New Roman" w:eastAsia="Liberation Serif" w:hAnsi="Times New Roman" w:cs="Times New Roman"/>
        </w:rPr>
        <w:t xml:space="preserve"> </w:t>
      </w:r>
    </w:p>
    <w:p w:rsidR="00915C9E" w:rsidRDefault="00915C9E" w:rsidP="00915C9E">
      <w:pPr>
        <w:spacing w:line="360" w:lineRule="auto"/>
        <w:jc w:val="both"/>
        <w:rPr>
          <w:rFonts w:ascii="Times New Roman" w:eastAsia="Liberation Serif" w:hAnsi="Times New Roman" w:cs="Times New Roman"/>
        </w:rPr>
      </w:pPr>
      <w:r>
        <w:rPr>
          <w:rFonts w:ascii="Times New Roman" w:eastAsia="Liberation Serif" w:hAnsi="Times New Roman" w:cs="Times New Roman"/>
        </w:rPr>
        <w:t xml:space="preserve">    </w:t>
      </w:r>
      <w:r>
        <w:rPr>
          <w:rFonts w:ascii="Times New Roman" w:hAnsi="Times New Roman" w:cs="Times New Roman"/>
        </w:rPr>
        <w:t>§5. Zarządzenie wchodzi w życie z dniem podjęcia.</w:t>
      </w:r>
    </w:p>
    <w:p w:rsidR="00915C9E" w:rsidRDefault="00915C9E" w:rsidP="00915C9E">
      <w:pPr>
        <w:spacing w:line="340" w:lineRule="exact"/>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ab/>
      </w:r>
    </w:p>
    <w:p w:rsidR="0005777D" w:rsidRDefault="0005777D" w:rsidP="00915C9E">
      <w:pPr>
        <w:spacing w:line="340" w:lineRule="exact"/>
        <w:jc w:val="both"/>
        <w:rPr>
          <w:rFonts w:ascii="Times New Roman" w:hAnsi="Times New Roman" w:cs="Times New Roman"/>
        </w:rPr>
      </w:pPr>
    </w:p>
    <w:p w:rsidR="0005777D" w:rsidRDefault="0005777D" w:rsidP="00915C9E">
      <w:pPr>
        <w:spacing w:line="340" w:lineRule="exact"/>
        <w:jc w:val="both"/>
        <w:rPr>
          <w:rFonts w:ascii="Times New Roman" w:hAnsi="Times New Roman" w:cs="Times New Roman"/>
        </w:rPr>
      </w:pPr>
    </w:p>
    <w:p w:rsidR="00915C9E" w:rsidRDefault="00915C9E" w:rsidP="00915C9E">
      <w:pPr>
        <w:spacing w:line="340" w:lineRule="exact"/>
        <w:jc w:val="both"/>
        <w:rPr>
          <w:rFonts w:ascii="Times New Roman" w:hAnsi="Times New Roman" w:cs="Times New Roman"/>
        </w:rPr>
      </w:pPr>
    </w:p>
    <w:p w:rsidR="00915C9E" w:rsidRDefault="00915C9E" w:rsidP="00915C9E">
      <w:pPr>
        <w:pStyle w:val="Tretekstu"/>
        <w:rPr>
          <w:rFonts w:ascii="Times New Roman" w:hAnsi="Times New Roman" w:cs="Times New Roman"/>
          <w:szCs w:val="24"/>
          <w:vertAlign w:val="superscript"/>
        </w:rPr>
      </w:pPr>
    </w:p>
    <w:p w:rsidR="00A233FC" w:rsidRDefault="00A233FC" w:rsidP="00915C9E">
      <w:pPr>
        <w:pStyle w:val="Tretekstu"/>
        <w:rPr>
          <w:rFonts w:ascii="Times New Roman" w:hAnsi="Times New Roman" w:cs="Times New Roman"/>
          <w:szCs w:val="24"/>
          <w:vertAlign w:val="superscript"/>
        </w:rPr>
      </w:pPr>
    </w:p>
    <w:p w:rsidR="00A233FC" w:rsidRPr="00ED6BC7" w:rsidRDefault="00A233FC" w:rsidP="00915C9E">
      <w:pPr>
        <w:pStyle w:val="Tretekstu"/>
        <w:rPr>
          <w:rFonts w:ascii="Times New Roman" w:hAnsi="Times New Roman" w:cs="Times New Roman"/>
          <w:szCs w:val="24"/>
          <w:vertAlign w:val="superscript"/>
        </w:rPr>
      </w:pPr>
    </w:p>
    <w:p w:rsidR="00950F9A" w:rsidRDefault="00950F9A" w:rsidP="00915C9E">
      <w:pPr>
        <w:spacing w:line="340" w:lineRule="exact"/>
        <w:jc w:val="right"/>
        <w:rPr>
          <w:rFonts w:ascii="Times New Roman" w:hAnsi="Times New Roman" w:cs="Times New Roman"/>
        </w:rPr>
      </w:pPr>
    </w:p>
    <w:p w:rsidR="00915C9E" w:rsidRDefault="00915C9E" w:rsidP="00915C9E">
      <w:pPr>
        <w:spacing w:line="340" w:lineRule="exact"/>
        <w:jc w:val="right"/>
        <w:rPr>
          <w:rFonts w:ascii="Times New Roman" w:hAnsi="Times New Roman" w:cs="Times New Roman"/>
        </w:rPr>
      </w:pPr>
      <w:r>
        <w:rPr>
          <w:rFonts w:ascii="Times New Roman" w:hAnsi="Times New Roman" w:cs="Times New Roman"/>
        </w:rPr>
        <w:lastRenderedPageBreak/>
        <w:t xml:space="preserve">Załącznik do Zarządzenia  PMT nr </w:t>
      </w:r>
      <w:r w:rsidR="000F1B8C">
        <w:rPr>
          <w:rFonts w:ascii="Times New Roman" w:hAnsi="Times New Roman" w:cs="Times New Roman"/>
        </w:rPr>
        <w:t xml:space="preserve">183 </w:t>
      </w:r>
    </w:p>
    <w:p w:rsidR="00915C9E" w:rsidRPr="001B61D0" w:rsidRDefault="00915C9E" w:rsidP="00915C9E">
      <w:pPr>
        <w:spacing w:line="340" w:lineRule="exact"/>
        <w:jc w:val="right"/>
        <w:rPr>
          <w:rFonts w:ascii="Times New Roman" w:hAnsi="Times New Roman" w:cs="Times New Roman"/>
        </w:rPr>
      </w:pPr>
      <w:r>
        <w:rPr>
          <w:rFonts w:ascii="Times New Roman" w:hAnsi="Times New Roman" w:cs="Times New Roman"/>
        </w:rPr>
        <w:t xml:space="preserve">z dnia </w:t>
      </w:r>
      <w:r w:rsidR="000F1B8C">
        <w:rPr>
          <w:rFonts w:ascii="Times New Roman" w:hAnsi="Times New Roman" w:cs="Times New Roman"/>
        </w:rPr>
        <w:t xml:space="preserve">18.08.2021 r. </w:t>
      </w:r>
    </w:p>
    <w:p w:rsidR="00915C9E" w:rsidRDefault="00915C9E" w:rsidP="00915C9E">
      <w:pPr>
        <w:spacing w:line="320" w:lineRule="exact"/>
        <w:jc w:val="center"/>
        <w:rPr>
          <w:rFonts w:ascii="Times New Roman" w:hAnsi="Times New Roman" w:cs="Times New Roman"/>
          <w:b/>
        </w:rPr>
      </w:pPr>
      <w:r>
        <w:rPr>
          <w:rFonts w:ascii="Times New Roman" w:hAnsi="Times New Roman" w:cs="Times New Roman"/>
          <w:b/>
        </w:rPr>
        <w:t>REGULAMIN I PRZETARG</w:t>
      </w:r>
      <w:r w:rsidR="00950F9A">
        <w:rPr>
          <w:rFonts w:ascii="Times New Roman" w:hAnsi="Times New Roman" w:cs="Times New Roman"/>
          <w:b/>
        </w:rPr>
        <w:t>U</w:t>
      </w:r>
    </w:p>
    <w:p w:rsidR="00915C9E" w:rsidRDefault="00915C9E" w:rsidP="00915C9E">
      <w:pPr>
        <w:spacing w:line="320" w:lineRule="exact"/>
        <w:jc w:val="center"/>
        <w:rPr>
          <w:rFonts w:ascii="Times New Roman" w:hAnsi="Times New Roman" w:cs="Times New Roman"/>
          <w:b/>
        </w:rPr>
      </w:pPr>
    </w:p>
    <w:p w:rsidR="00915C9E" w:rsidRDefault="00915C9E" w:rsidP="00915C9E">
      <w:pPr>
        <w:pStyle w:val="Tretekstu"/>
        <w:spacing w:line="276" w:lineRule="auto"/>
        <w:rPr>
          <w:rFonts w:ascii="Times New Roman" w:hAnsi="Times New Roman" w:cs="Times New Roman"/>
          <w:szCs w:val="24"/>
        </w:rPr>
      </w:pPr>
      <w:r>
        <w:rPr>
          <w:rFonts w:ascii="Times New Roman" w:hAnsi="Times New Roman" w:cs="Times New Roman"/>
          <w:szCs w:val="24"/>
        </w:rPr>
        <w:tab/>
        <w:t>§1.1. Przetarg ogłasza, organizuje i przeprowadza Prezydent Miasta Torunia na zasadach ogólnych, określonych w ustawie z dnia 21 sierpnia 1997 roku o gospodarce nieruchomościami oraz w Rozporządzeniu Rady Ministrów z dnia 14 września 2004 roku</w:t>
      </w:r>
      <w:r>
        <w:rPr>
          <w:rFonts w:ascii="Times New Roman" w:hAnsi="Times New Roman" w:cs="Times New Roman"/>
          <w:szCs w:val="24"/>
        </w:rPr>
        <w:br/>
        <w:t xml:space="preserve">w sprawie sposobu i trybu przeprowadzenia przetargów oraz rokowań na zbycie nieruchomości i </w:t>
      </w:r>
      <w:r w:rsidR="001E5C5C" w:rsidRPr="0000726E">
        <w:rPr>
          <w:rFonts w:ascii="Times New Roman" w:hAnsi="Times New Roman" w:cs="Times New Roman"/>
        </w:rPr>
        <w:t>Uchwały</w:t>
      </w:r>
      <w:r w:rsidR="00B84C57">
        <w:rPr>
          <w:rFonts w:ascii="Times New Roman" w:hAnsi="Times New Roman" w:cs="Times New Roman"/>
        </w:rPr>
        <w:t xml:space="preserve"> </w:t>
      </w:r>
      <w:r w:rsidR="00B84C57" w:rsidRPr="0000726E">
        <w:rPr>
          <w:rFonts w:ascii="Times New Roman" w:hAnsi="Times New Roman" w:cs="Times New Roman"/>
        </w:rPr>
        <w:t xml:space="preserve">Nr </w:t>
      </w:r>
      <w:r w:rsidR="00B84C57">
        <w:rPr>
          <w:rFonts w:ascii="Times New Roman" w:hAnsi="Times New Roman" w:cs="Times New Roman"/>
        </w:rPr>
        <w:t>29</w:t>
      </w:r>
      <w:r w:rsidR="00B84C57" w:rsidRPr="0000726E">
        <w:rPr>
          <w:rFonts w:ascii="Times New Roman" w:hAnsi="Times New Roman" w:cs="Times New Roman"/>
        </w:rPr>
        <w:t>/</w:t>
      </w:r>
      <w:r w:rsidR="00B84C57">
        <w:rPr>
          <w:rFonts w:ascii="Times New Roman" w:hAnsi="Times New Roman" w:cs="Times New Roman"/>
        </w:rPr>
        <w:t>19</w:t>
      </w:r>
      <w:r w:rsidR="00B84C57" w:rsidRPr="0000726E">
        <w:rPr>
          <w:rFonts w:ascii="Times New Roman" w:hAnsi="Times New Roman" w:cs="Times New Roman"/>
        </w:rPr>
        <w:t xml:space="preserve"> Rady Miasta Torunia z dnia</w:t>
      </w:r>
      <w:r w:rsidR="00B84C57">
        <w:rPr>
          <w:rFonts w:ascii="Times New Roman" w:hAnsi="Times New Roman" w:cs="Times New Roman"/>
        </w:rPr>
        <w:t xml:space="preserve"> 10</w:t>
      </w:r>
      <w:r w:rsidR="00B84C57" w:rsidRPr="0000726E">
        <w:rPr>
          <w:rFonts w:ascii="Times New Roman" w:hAnsi="Times New Roman" w:cs="Times New Roman"/>
        </w:rPr>
        <w:t xml:space="preserve"> </w:t>
      </w:r>
      <w:r w:rsidR="00B84C57">
        <w:rPr>
          <w:rFonts w:ascii="Times New Roman" w:hAnsi="Times New Roman" w:cs="Times New Roman"/>
        </w:rPr>
        <w:t>stycznia</w:t>
      </w:r>
      <w:r w:rsidR="00B84C57" w:rsidRPr="0000726E">
        <w:rPr>
          <w:rFonts w:ascii="Times New Roman" w:hAnsi="Times New Roman" w:cs="Times New Roman"/>
        </w:rPr>
        <w:t xml:space="preserve"> </w:t>
      </w:r>
      <w:r w:rsidR="00B84C57">
        <w:rPr>
          <w:rFonts w:ascii="Times New Roman" w:hAnsi="Times New Roman" w:cs="Times New Roman"/>
        </w:rPr>
        <w:t>2019r</w:t>
      </w:r>
      <w:r w:rsidR="00B84C57" w:rsidRPr="0000726E">
        <w:rPr>
          <w:rFonts w:ascii="Times New Roman" w:hAnsi="Times New Roman" w:cs="Times New Roman"/>
        </w:rPr>
        <w:t xml:space="preserve">. w sprawie </w:t>
      </w:r>
      <w:r w:rsidR="00B84C57" w:rsidRPr="00950F9A">
        <w:rPr>
          <w:rFonts w:ascii="Times New Roman" w:hAnsi="Times New Roman" w:cs="Times New Roman"/>
        </w:rPr>
        <w:t xml:space="preserve">sprzedaży lokalu mieszkalnego nr </w:t>
      </w:r>
      <w:r w:rsidR="00B84C57">
        <w:rPr>
          <w:rFonts w:ascii="Times New Roman" w:hAnsi="Times New Roman" w:cs="Times New Roman"/>
        </w:rPr>
        <w:t>2</w:t>
      </w:r>
      <w:r w:rsidR="00B84C57" w:rsidRPr="00950F9A">
        <w:rPr>
          <w:rFonts w:ascii="Times New Roman" w:hAnsi="Times New Roman" w:cs="Times New Roman"/>
        </w:rPr>
        <w:t xml:space="preserve">, stanowiącego własność Gminy Miasta Toruń </w:t>
      </w:r>
      <w:r w:rsidR="00B84C57">
        <w:rPr>
          <w:rFonts w:ascii="Times New Roman" w:hAnsi="Times New Roman" w:cs="Times New Roman"/>
        </w:rPr>
        <w:t xml:space="preserve">wchodzącego w skład nieruchomości budynkowej położonej w Toruniu </w:t>
      </w:r>
      <w:r w:rsidR="00B84C57" w:rsidRPr="00950F9A">
        <w:rPr>
          <w:rFonts w:ascii="Times New Roman" w:hAnsi="Times New Roman" w:cs="Times New Roman"/>
        </w:rPr>
        <w:t xml:space="preserve">przy </w:t>
      </w:r>
      <w:r w:rsidR="00B84C57">
        <w:rPr>
          <w:rFonts w:ascii="Times New Roman" w:hAnsi="Times New Roman" w:cs="Times New Roman"/>
        </w:rPr>
        <w:t>Rynku Nowomiejskim 23,</w:t>
      </w:r>
      <w:r w:rsidR="001E5C5C" w:rsidRPr="0000726E">
        <w:rPr>
          <w:rFonts w:ascii="Times New Roman" w:hAnsi="Times New Roman" w:cs="Times New Roman"/>
        </w:rPr>
        <w:t xml:space="preserve"> </w:t>
      </w:r>
      <w:r>
        <w:rPr>
          <w:rFonts w:ascii="Times New Roman" w:hAnsi="Times New Roman" w:cs="Times New Roman"/>
          <w:szCs w:val="24"/>
        </w:rPr>
        <w:t>a także niniejszego Regulaminu.</w:t>
      </w:r>
    </w:p>
    <w:p w:rsidR="00915C9E" w:rsidRDefault="00915C9E" w:rsidP="00915C9E">
      <w:pPr>
        <w:spacing w:line="320" w:lineRule="exact"/>
        <w:ind w:firstLine="284"/>
        <w:jc w:val="both"/>
        <w:rPr>
          <w:rFonts w:ascii="Times New Roman" w:hAnsi="Times New Roman" w:cs="Times New Roman"/>
        </w:rPr>
      </w:pPr>
      <w:r>
        <w:rPr>
          <w:rFonts w:ascii="Times New Roman" w:eastAsia="Liberation Serif" w:hAnsi="Times New Roman" w:cs="Times New Roman"/>
        </w:rPr>
        <w:t xml:space="preserve">       </w:t>
      </w:r>
      <w:r>
        <w:rPr>
          <w:rFonts w:ascii="Times New Roman" w:hAnsi="Times New Roman" w:cs="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915C9E" w:rsidRDefault="00915C9E" w:rsidP="00915C9E">
      <w:pPr>
        <w:spacing w:line="320" w:lineRule="exact"/>
        <w:ind w:firstLine="284"/>
        <w:jc w:val="both"/>
        <w:rPr>
          <w:rFonts w:ascii="Times New Roman" w:hAnsi="Times New Roman" w:cs="Times New Roman"/>
        </w:rPr>
      </w:pPr>
    </w:p>
    <w:p w:rsidR="001E5C5C" w:rsidRPr="00BC2C84" w:rsidRDefault="00915C9E" w:rsidP="001E5C5C">
      <w:pPr>
        <w:spacing w:line="320" w:lineRule="exact"/>
        <w:jc w:val="both"/>
        <w:rPr>
          <w:rFonts w:ascii="Times New Roman" w:hAnsi="Times New Roman" w:cs="Times New Roman"/>
          <w:b/>
        </w:rPr>
      </w:pPr>
      <w:r>
        <w:rPr>
          <w:rFonts w:ascii="Times New Roman" w:hAnsi="Times New Roman" w:cs="Times New Roman"/>
        </w:rPr>
        <w:tab/>
        <w:t xml:space="preserve">§2. Komisja Przetargowa przeprowadzi przetarg w dniu  </w:t>
      </w:r>
      <w:r w:rsidR="00B84C57" w:rsidRPr="00B84C57">
        <w:rPr>
          <w:rFonts w:ascii="Times New Roman" w:hAnsi="Times New Roman" w:cs="Times New Roman"/>
          <w:b/>
        </w:rPr>
        <w:t>23</w:t>
      </w:r>
      <w:r>
        <w:rPr>
          <w:rFonts w:ascii="Times New Roman" w:hAnsi="Times New Roman" w:cs="Times New Roman"/>
          <w:b/>
        </w:rPr>
        <w:t xml:space="preserve"> </w:t>
      </w:r>
      <w:r w:rsidR="00B84C57">
        <w:rPr>
          <w:rFonts w:ascii="Times New Roman" w:hAnsi="Times New Roman" w:cs="Times New Roman"/>
          <w:b/>
        </w:rPr>
        <w:t>listopada 2021r.</w:t>
      </w:r>
      <w:r>
        <w:rPr>
          <w:rFonts w:ascii="Times New Roman" w:hAnsi="Times New Roman" w:cs="Times New Roman"/>
          <w:b/>
        </w:rPr>
        <w:t xml:space="preserve"> </w:t>
      </w:r>
      <w:r w:rsidR="001E5C5C" w:rsidRPr="00950F9A">
        <w:rPr>
          <w:rFonts w:ascii="Times New Roman" w:hAnsi="Times New Roman" w:cs="Times New Roman"/>
          <w:b/>
        </w:rPr>
        <w:t>o</w:t>
      </w:r>
      <w:r w:rsidR="001E5C5C" w:rsidRPr="00582222">
        <w:rPr>
          <w:rFonts w:ascii="Times New Roman" w:hAnsi="Times New Roman" w:cs="Times New Roman"/>
          <w:b/>
        </w:rPr>
        <w:t xml:space="preserve"> godz. </w:t>
      </w:r>
      <w:r w:rsidR="00BC2C84" w:rsidRPr="00BC2C84">
        <w:rPr>
          <w:rFonts w:ascii="Times New Roman" w:hAnsi="Times New Roman" w:cs="Times New Roman"/>
          <w:b/>
        </w:rPr>
        <w:t>10</w:t>
      </w:r>
      <w:r w:rsidR="00950F9A" w:rsidRPr="00BC2C84">
        <w:rPr>
          <w:rFonts w:ascii="Times New Roman" w:hAnsi="Times New Roman" w:cs="Times New Roman"/>
          <w:b/>
        </w:rPr>
        <w:t>.</w:t>
      </w:r>
      <w:r w:rsidR="00BC2C84" w:rsidRPr="00BC2C84">
        <w:rPr>
          <w:rFonts w:ascii="Times New Roman" w:hAnsi="Times New Roman" w:cs="Times New Roman"/>
          <w:b/>
        </w:rPr>
        <w:t>00</w:t>
      </w:r>
    </w:p>
    <w:p w:rsidR="00915C9E" w:rsidRPr="00BC2C84" w:rsidRDefault="00915C9E" w:rsidP="00915C9E">
      <w:pPr>
        <w:spacing w:line="320" w:lineRule="exact"/>
        <w:jc w:val="both"/>
        <w:rPr>
          <w:rFonts w:ascii="Times New Roman" w:hAnsi="Times New Roman" w:cs="Times New Roman"/>
        </w:rPr>
      </w:pPr>
    </w:p>
    <w:p w:rsidR="00BC2C84" w:rsidRPr="00BC2C84" w:rsidRDefault="00915C9E" w:rsidP="00BC2C84">
      <w:pPr>
        <w:spacing w:line="276" w:lineRule="auto"/>
        <w:ind w:firstLine="708"/>
        <w:jc w:val="both"/>
        <w:rPr>
          <w:rFonts w:ascii="Times New Roman" w:hAnsi="Times New Roman" w:cs="Times New Roman"/>
        </w:rPr>
      </w:pPr>
      <w:r w:rsidRPr="00BC2C84">
        <w:rPr>
          <w:rFonts w:ascii="Times New Roman" w:hAnsi="Times New Roman" w:cs="Times New Roman"/>
        </w:rPr>
        <w:t xml:space="preserve"> §3.1. Przedmiotem przetarg</w:t>
      </w:r>
      <w:r w:rsidR="00950F9A" w:rsidRPr="00BC2C84">
        <w:rPr>
          <w:rFonts w:ascii="Times New Roman" w:hAnsi="Times New Roman" w:cs="Times New Roman"/>
        </w:rPr>
        <w:t>u</w:t>
      </w:r>
      <w:r w:rsidRPr="00BC2C84">
        <w:rPr>
          <w:rFonts w:ascii="Times New Roman" w:hAnsi="Times New Roman" w:cs="Times New Roman"/>
        </w:rPr>
        <w:t xml:space="preserve"> jest sprzedaż</w:t>
      </w:r>
      <w:r w:rsidR="00950F9A" w:rsidRPr="00BC2C84">
        <w:rPr>
          <w:rFonts w:ascii="Times New Roman" w:hAnsi="Times New Roman" w:cs="Times New Roman"/>
        </w:rPr>
        <w:t xml:space="preserve"> lokalu mieszkalnego nr </w:t>
      </w:r>
      <w:r w:rsidR="00B84C57" w:rsidRPr="00BC2C84">
        <w:rPr>
          <w:rFonts w:ascii="Times New Roman" w:hAnsi="Times New Roman" w:cs="Times New Roman"/>
        </w:rPr>
        <w:t>2</w:t>
      </w:r>
      <w:r w:rsidR="00950F9A" w:rsidRPr="00BC2C84">
        <w:rPr>
          <w:rFonts w:ascii="Times New Roman" w:hAnsi="Times New Roman" w:cs="Times New Roman"/>
        </w:rPr>
        <w:t xml:space="preserve"> </w:t>
      </w:r>
      <w:r w:rsidR="00BC2C84" w:rsidRPr="00BC2C84">
        <w:rPr>
          <w:rFonts w:ascii="Times New Roman" w:hAnsi="Times New Roman" w:cs="Times New Roman"/>
        </w:rPr>
        <w:t>o powierzchni użytkowej 46,96 m</w:t>
      </w:r>
      <w:r w:rsidR="00BC2C84" w:rsidRPr="00BC2C84">
        <w:rPr>
          <w:rFonts w:ascii="Times New Roman" w:hAnsi="Times New Roman" w:cs="Times New Roman"/>
          <w:vertAlign w:val="superscript"/>
        </w:rPr>
        <w:t>2</w:t>
      </w:r>
      <w:r w:rsidR="00BC2C84" w:rsidRPr="00BC2C84">
        <w:rPr>
          <w:rFonts w:ascii="Times New Roman" w:hAnsi="Times New Roman" w:cs="Times New Roman"/>
        </w:rPr>
        <w:t>, wraz z przynależnymi dwoma pomieszczeniami piwnicznymi o łącznej powierzchni 9,85 m</w:t>
      </w:r>
      <w:r w:rsidR="00BC2C84" w:rsidRPr="00BC2C84">
        <w:rPr>
          <w:rFonts w:ascii="Times New Roman" w:hAnsi="Times New Roman" w:cs="Times New Roman"/>
          <w:vertAlign w:val="superscript"/>
        </w:rPr>
        <w:t>2</w:t>
      </w:r>
      <w:r w:rsidR="00BC2C84" w:rsidRPr="00BC2C84">
        <w:rPr>
          <w:rFonts w:ascii="Times New Roman" w:hAnsi="Times New Roman" w:cs="Times New Roman"/>
        </w:rPr>
        <w:t xml:space="preserve">,  stanowiącego własność Gminy Miasta Toruń,  </w:t>
      </w:r>
      <w:r w:rsidR="0049159C">
        <w:rPr>
          <w:rFonts w:ascii="Times New Roman" w:hAnsi="Times New Roman" w:cs="Times New Roman"/>
        </w:rPr>
        <w:t xml:space="preserve">dla którego została urządzona księga wieczysta KW Nr TO1T/00138003/7, </w:t>
      </w:r>
      <w:r w:rsidR="00BC2C84" w:rsidRPr="00BC2C84">
        <w:rPr>
          <w:rFonts w:ascii="Times New Roman" w:hAnsi="Times New Roman" w:cs="Times New Roman"/>
        </w:rPr>
        <w:t>usytuowanego  na parterze  oficyny budynku mieszkalnego wielorodzinnego, posadowionego w Toruniu przy Rynku Nowomiejskim 23, na nieruchomości oznaczonej geodezyjnie numerem dział</w:t>
      </w:r>
      <w:r w:rsidR="0049159C">
        <w:rPr>
          <w:rFonts w:ascii="Times New Roman" w:hAnsi="Times New Roman" w:cs="Times New Roman"/>
        </w:rPr>
        <w:t xml:space="preserve">ki 166 </w:t>
      </w:r>
      <w:r w:rsidR="0049159C">
        <w:rPr>
          <w:rFonts w:ascii="Times New Roman" w:hAnsi="Times New Roman" w:cs="Times New Roman"/>
        </w:rPr>
        <w:br/>
      </w:r>
      <w:r w:rsidR="00BC2C84" w:rsidRPr="00BC2C84">
        <w:rPr>
          <w:rFonts w:ascii="Times New Roman" w:hAnsi="Times New Roman" w:cs="Times New Roman"/>
        </w:rPr>
        <w:t>o powierzchni 0,0222 ha, zapisanej w księdze wieczystej KW Nr TO1T/00002813/6 wraz</w:t>
      </w:r>
      <w:r w:rsidR="00BC2C84" w:rsidRPr="00BC2C84">
        <w:rPr>
          <w:rFonts w:ascii="Times New Roman" w:hAnsi="Times New Roman" w:cs="Times New Roman"/>
        </w:rPr>
        <w:br/>
        <w:t xml:space="preserve">z udziałem w nieruchomości wspólnej wynoszącym  5681/34147 części we własności części wspólnych budynku i urządzeń nie służących wyłącznie do użytku właścicieli lokali oraz we własności gruntu. </w:t>
      </w:r>
    </w:p>
    <w:p w:rsidR="00E23ECF" w:rsidRDefault="00915C9E" w:rsidP="00BC2C84">
      <w:pPr>
        <w:pStyle w:val="Tekstpodstawowywcity2"/>
        <w:tabs>
          <w:tab w:val="decimal" w:pos="0"/>
        </w:tabs>
        <w:spacing w:line="276" w:lineRule="auto"/>
        <w:ind w:left="0"/>
        <w:jc w:val="both"/>
        <w:rPr>
          <w:rFonts w:ascii="Times New Roman" w:hAnsi="Times New Roman" w:cs="Times New Roman"/>
        </w:rPr>
      </w:pPr>
      <w:r>
        <w:rPr>
          <w:rFonts w:ascii="Times New Roman" w:eastAsia="Times New Roman" w:hAnsi="Times New Roman" w:cs="Times New Roman"/>
          <w:color w:val="000000" w:themeColor="text1"/>
        </w:rPr>
        <w:t xml:space="preserve">      </w:t>
      </w:r>
      <w:r w:rsidR="000C3E6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0C3E60">
        <w:rPr>
          <w:rFonts w:ascii="Times New Roman" w:hAnsi="Times New Roman" w:cs="Times New Roman"/>
          <w:color w:val="000000" w:themeColor="text1"/>
        </w:rPr>
        <w:t xml:space="preserve">2. </w:t>
      </w:r>
      <w:r w:rsidR="00BC2C84" w:rsidRPr="00C233DF">
        <w:rPr>
          <w:rFonts w:ascii="Times New Roman" w:hAnsi="Times New Roman" w:cs="Times New Roman"/>
          <w:szCs w:val="24"/>
        </w:rPr>
        <w:t>Lokal mieszkalny nr</w:t>
      </w:r>
      <w:r w:rsidR="00BC2C84">
        <w:rPr>
          <w:rFonts w:ascii="Times New Roman" w:hAnsi="Times New Roman" w:cs="Times New Roman"/>
          <w:szCs w:val="24"/>
        </w:rPr>
        <w:t xml:space="preserve"> 2, składa się z dwóch pokoi o powierzchniach 15,50 m</w:t>
      </w:r>
      <w:r w:rsidR="00BC2C84" w:rsidRPr="00FD7BD2">
        <w:rPr>
          <w:rFonts w:ascii="Times New Roman" w:hAnsi="Times New Roman" w:cs="Times New Roman"/>
          <w:szCs w:val="24"/>
          <w:vertAlign w:val="superscript"/>
        </w:rPr>
        <w:t>2</w:t>
      </w:r>
      <w:r w:rsidR="00BC2C84">
        <w:rPr>
          <w:rFonts w:ascii="Times New Roman" w:hAnsi="Times New Roman" w:cs="Times New Roman"/>
          <w:szCs w:val="24"/>
        </w:rPr>
        <w:t xml:space="preserve"> i 11,76 m</w:t>
      </w:r>
      <w:r w:rsidR="00BC2C84" w:rsidRPr="00FD7BD2">
        <w:rPr>
          <w:rFonts w:ascii="Times New Roman" w:hAnsi="Times New Roman" w:cs="Times New Roman"/>
          <w:szCs w:val="24"/>
          <w:vertAlign w:val="superscript"/>
        </w:rPr>
        <w:t>2</w:t>
      </w:r>
      <w:r w:rsidR="00BC2C84">
        <w:rPr>
          <w:rFonts w:ascii="Times New Roman" w:hAnsi="Times New Roman" w:cs="Times New Roman"/>
          <w:szCs w:val="24"/>
        </w:rPr>
        <w:t>, przedpokoju, kuchni, łazienki. Powierzchnia użytkowa lokalu wynosi 46,96 m</w:t>
      </w:r>
      <w:r w:rsidR="00BC2C84" w:rsidRPr="00423CBF">
        <w:rPr>
          <w:rFonts w:ascii="Times New Roman" w:hAnsi="Times New Roman" w:cs="Times New Roman"/>
          <w:szCs w:val="24"/>
          <w:vertAlign w:val="superscript"/>
        </w:rPr>
        <w:t>2</w:t>
      </w:r>
      <w:r w:rsidR="00BC2C84">
        <w:rPr>
          <w:rFonts w:ascii="Times New Roman" w:hAnsi="Times New Roman" w:cs="Times New Roman"/>
          <w:szCs w:val="24"/>
        </w:rPr>
        <w:t xml:space="preserve">. Wejście do lokalu z klatki schodowej. Stolarka drzwiowa i okienna w lokalu mieszkalnym drewniana – stara, wymaga konserwacji lub wymiany, drzwi wewnętrzne płycinowe. W pokoju  i w kuchni posadzka betonowa, ściany tynkowane, malowane – do remontu, przedpokój: posadzka betonowa, na ścianach panele </w:t>
      </w:r>
      <w:proofErr w:type="spellStart"/>
      <w:r w:rsidR="00BC2C84">
        <w:rPr>
          <w:rFonts w:ascii="Times New Roman" w:hAnsi="Times New Roman" w:cs="Times New Roman"/>
          <w:szCs w:val="24"/>
        </w:rPr>
        <w:t>pcv</w:t>
      </w:r>
      <w:proofErr w:type="spellEnd"/>
      <w:r w:rsidR="00BC2C84">
        <w:rPr>
          <w:rFonts w:ascii="Times New Roman" w:hAnsi="Times New Roman" w:cs="Times New Roman"/>
          <w:szCs w:val="24"/>
        </w:rPr>
        <w:t xml:space="preserve"> – stare, ze śladami zużycia, łazienka: na podłodze i w części na ścianach płytki ceramiczne – stare, w pozostałej części ściany tynkowane, malowane – do remontu. W kuchni znajduje się wyjście na mały ogrodowy dziedziniec</w:t>
      </w:r>
      <w:r w:rsidR="00CE3C7F">
        <w:rPr>
          <w:rFonts w:ascii="Times New Roman" w:hAnsi="Times New Roman" w:cs="Times New Roman"/>
          <w:szCs w:val="24"/>
        </w:rPr>
        <w:t>, do korzystania</w:t>
      </w:r>
      <w:r w:rsidR="00A233FC">
        <w:rPr>
          <w:rFonts w:ascii="Times New Roman" w:hAnsi="Times New Roman" w:cs="Times New Roman"/>
          <w:szCs w:val="24"/>
        </w:rPr>
        <w:t>,</w:t>
      </w:r>
      <w:r w:rsidR="00CE3C7F">
        <w:rPr>
          <w:rFonts w:ascii="Times New Roman" w:hAnsi="Times New Roman" w:cs="Times New Roman"/>
          <w:szCs w:val="24"/>
        </w:rPr>
        <w:t xml:space="preserve"> z którego jest </w:t>
      </w:r>
      <w:r w:rsidR="00A233FC">
        <w:rPr>
          <w:rFonts w:ascii="Times New Roman" w:hAnsi="Times New Roman" w:cs="Times New Roman"/>
          <w:szCs w:val="24"/>
        </w:rPr>
        <w:t>uprawniany</w:t>
      </w:r>
      <w:r w:rsidR="00CE3C7F">
        <w:rPr>
          <w:rFonts w:ascii="Times New Roman" w:hAnsi="Times New Roman" w:cs="Times New Roman"/>
          <w:szCs w:val="24"/>
        </w:rPr>
        <w:t xml:space="preserve"> wyłącznie właściciel </w:t>
      </w:r>
      <w:r w:rsidR="00A233FC">
        <w:rPr>
          <w:rFonts w:ascii="Times New Roman" w:hAnsi="Times New Roman" w:cs="Times New Roman"/>
          <w:szCs w:val="24"/>
        </w:rPr>
        <w:t>lokalu</w:t>
      </w:r>
      <w:r w:rsidR="00CE3C7F">
        <w:rPr>
          <w:rFonts w:ascii="Times New Roman" w:hAnsi="Times New Roman" w:cs="Times New Roman"/>
          <w:szCs w:val="24"/>
        </w:rPr>
        <w:t xml:space="preserve"> nr 2 zgo</w:t>
      </w:r>
      <w:r w:rsidR="00A233FC">
        <w:rPr>
          <w:rFonts w:ascii="Times New Roman" w:hAnsi="Times New Roman" w:cs="Times New Roman"/>
          <w:szCs w:val="24"/>
        </w:rPr>
        <w:t>d</w:t>
      </w:r>
      <w:r w:rsidR="00CE3C7F">
        <w:rPr>
          <w:rFonts w:ascii="Times New Roman" w:hAnsi="Times New Roman" w:cs="Times New Roman"/>
          <w:szCs w:val="24"/>
        </w:rPr>
        <w:t>nie z zapisami</w:t>
      </w:r>
      <w:r w:rsidR="00A233FC">
        <w:rPr>
          <w:rFonts w:ascii="Times New Roman" w:hAnsi="Times New Roman" w:cs="Times New Roman"/>
          <w:szCs w:val="24"/>
        </w:rPr>
        <w:br/>
      </w:r>
      <w:r w:rsidR="00CE3C7F">
        <w:rPr>
          <w:rFonts w:ascii="Times New Roman" w:hAnsi="Times New Roman" w:cs="Times New Roman"/>
          <w:szCs w:val="24"/>
        </w:rPr>
        <w:t>ust. 7.</w:t>
      </w:r>
      <w:r w:rsidR="00BC2C84">
        <w:rPr>
          <w:rFonts w:ascii="Times New Roman" w:hAnsi="Times New Roman" w:cs="Times New Roman"/>
          <w:szCs w:val="24"/>
        </w:rPr>
        <w:t xml:space="preserve"> Lokal jest wyposażony w instalacje: elektryczną, wodno-kanalizacyjną, gazową, indywidualnego ogrzewania gazowego (dwufunkcyjny piec gazowy w kuchni, stan techniczny pieca nieznany, grzejniki różnego typu ze śladami zużycia). </w:t>
      </w:r>
      <w:r w:rsidR="00BC2C84" w:rsidRPr="00FB0F34">
        <w:rPr>
          <w:rFonts w:ascii="Times New Roman" w:hAnsi="Times New Roman" w:cs="Times New Roman"/>
          <w:szCs w:val="24"/>
        </w:rPr>
        <w:t>Rzeczoznawca ocenił standard lokalu – do remontu.</w:t>
      </w:r>
      <w:r w:rsidR="00BC2C84" w:rsidRPr="00FB0F34">
        <w:rPr>
          <w:rFonts w:ascii="Times New Roman" w:hAnsi="Times New Roman" w:cs="Times New Roman"/>
          <w:szCs w:val="24"/>
        </w:rPr>
        <w:tab/>
      </w:r>
      <w:r w:rsidR="000C3E60">
        <w:rPr>
          <w:rFonts w:ascii="Times New Roman" w:hAnsi="Times New Roman" w:cs="Times New Roman"/>
        </w:rPr>
        <w:t xml:space="preserve">  </w:t>
      </w:r>
    </w:p>
    <w:p w:rsidR="001E5C5C" w:rsidRPr="00BC2C84" w:rsidRDefault="00E23ECF" w:rsidP="00BC2C84">
      <w:pPr>
        <w:pStyle w:val="Tekstpodstawowywcity2"/>
        <w:tabs>
          <w:tab w:val="decimal" w:pos="0"/>
        </w:tabs>
        <w:spacing w:line="276" w:lineRule="auto"/>
        <w:ind w:left="0"/>
        <w:jc w:val="both"/>
        <w:rPr>
          <w:rFonts w:ascii="Times New Roman" w:hAnsi="Times New Roman" w:cs="Times New Roman"/>
          <w:szCs w:val="24"/>
        </w:rPr>
      </w:pPr>
      <w:r>
        <w:rPr>
          <w:rFonts w:ascii="Times New Roman" w:hAnsi="Times New Roman" w:cs="Times New Roman"/>
        </w:rPr>
        <w:lastRenderedPageBreak/>
        <w:tab/>
      </w:r>
      <w:r w:rsidR="000C3E60">
        <w:rPr>
          <w:rFonts w:ascii="Times New Roman" w:hAnsi="Times New Roman" w:cs="Times New Roman"/>
        </w:rPr>
        <w:t xml:space="preserve"> </w:t>
      </w:r>
      <w:r w:rsidR="001E5C5C">
        <w:rPr>
          <w:rFonts w:ascii="Times New Roman" w:hAnsi="Times New Roman" w:cs="Times New Roman"/>
        </w:rPr>
        <w:t xml:space="preserve">4. </w:t>
      </w:r>
      <w:r w:rsidR="001E5C5C" w:rsidRPr="001E5C5C">
        <w:rPr>
          <w:rFonts w:ascii="Times New Roman" w:hAnsi="Times New Roman" w:cs="Times New Roman"/>
        </w:rPr>
        <w:t>Lokal uzyskał status lokal</w:t>
      </w:r>
      <w:r w:rsidR="000C3E60">
        <w:rPr>
          <w:rFonts w:ascii="Times New Roman" w:hAnsi="Times New Roman" w:cs="Times New Roman"/>
        </w:rPr>
        <w:t>u</w:t>
      </w:r>
      <w:r w:rsidR="001E5C5C" w:rsidRPr="001E5C5C">
        <w:rPr>
          <w:rFonts w:ascii="Times New Roman" w:hAnsi="Times New Roman" w:cs="Times New Roman"/>
        </w:rPr>
        <w:t xml:space="preserve"> samodzieln</w:t>
      </w:r>
      <w:r w:rsidR="000C3E60">
        <w:rPr>
          <w:rFonts w:ascii="Times New Roman" w:hAnsi="Times New Roman" w:cs="Times New Roman"/>
        </w:rPr>
        <w:t>ego</w:t>
      </w:r>
      <w:r w:rsidR="001E5C5C" w:rsidRPr="001E5C5C">
        <w:rPr>
          <w:rFonts w:ascii="Times New Roman" w:hAnsi="Times New Roman" w:cs="Times New Roman"/>
        </w:rPr>
        <w:t xml:space="preserve"> przez co spełniona została podstawowa przesłanka umożliwiająca </w:t>
      </w:r>
      <w:r w:rsidR="000C3E60">
        <w:rPr>
          <w:rFonts w:ascii="Times New Roman" w:hAnsi="Times New Roman" w:cs="Times New Roman"/>
        </w:rPr>
        <w:t>jego</w:t>
      </w:r>
      <w:r w:rsidR="001E5C5C" w:rsidRPr="001E5C5C">
        <w:rPr>
          <w:rFonts w:ascii="Times New Roman" w:hAnsi="Times New Roman" w:cs="Times New Roman"/>
        </w:rPr>
        <w:t xml:space="preserve"> sprzedaż.</w:t>
      </w:r>
    </w:p>
    <w:p w:rsidR="0049159C" w:rsidRDefault="00C600C0" w:rsidP="0049159C">
      <w:pPr>
        <w:pStyle w:val="Tekstpodstawowywcity2"/>
        <w:tabs>
          <w:tab w:val="decimal" w:pos="0"/>
        </w:tabs>
        <w:spacing w:line="276" w:lineRule="auto"/>
        <w:ind w:left="0"/>
        <w:jc w:val="both"/>
        <w:rPr>
          <w:rFonts w:ascii="Times New Roman" w:hAnsi="Times New Roman" w:cs="Times New Roman"/>
        </w:rPr>
      </w:pPr>
      <w:r>
        <w:rPr>
          <w:rFonts w:ascii="Times New Roman" w:hAnsi="Times New Roman" w:cs="Times New Roman"/>
        </w:rPr>
        <w:tab/>
      </w:r>
      <w:r w:rsidR="000C3E60">
        <w:rPr>
          <w:rFonts w:ascii="Times New Roman" w:hAnsi="Times New Roman" w:cs="Times New Roman"/>
        </w:rPr>
        <w:t xml:space="preserve">   </w:t>
      </w:r>
      <w:r>
        <w:rPr>
          <w:rFonts w:ascii="Times New Roman" w:hAnsi="Times New Roman" w:cs="Times New Roman"/>
        </w:rPr>
        <w:t xml:space="preserve">5. </w:t>
      </w:r>
      <w:r w:rsidR="0049159C">
        <w:rPr>
          <w:rFonts w:ascii="Times New Roman" w:hAnsi="Times New Roman" w:cs="Times New Roman"/>
        </w:rPr>
        <w:t>Budynek oficyny</w:t>
      </w:r>
      <w:r w:rsidR="00E23ECF">
        <w:rPr>
          <w:rFonts w:ascii="Times New Roman" w:hAnsi="Times New Roman" w:cs="Times New Roman"/>
        </w:rPr>
        <w:t>,</w:t>
      </w:r>
      <w:r w:rsidR="0049159C">
        <w:rPr>
          <w:rFonts w:ascii="Times New Roman" w:hAnsi="Times New Roman" w:cs="Times New Roman"/>
        </w:rPr>
        <w:t xml:space="preserve"> </w:t>
      </w:r>
      <w:r w:rsidR="00E23ECF">
        <w:rPr>
          <w:rFonts w:ascii="Times New Roman" w:hAnsi="Times New Roman" w:cs="Times New Roman"/>
        </w:rPr>
        <w:t xml:space="preserve">w którym znajduje się lokal nr 2 </w:t>
      </w:r>
      <w:r w:rsidR="0049159C">
        <w:rPr>
          <w:rFonts w:ascii="Times New Roman" w:hAnsi="Times New Roman" w:cs="Times New Roman"/>
        </w:rPr>
        <w:t xml:space="preserve">jest murowany, wiek ponad 120 lat. W części od strony Rynku </w:t>
      </w:r>
      <w:r w:rsidR="00E23ECF">
        <w:rPr>
          <w:rFonts w:ascii="Times New Roman" w:hAnsi="Times New Roman" w:cs="Times New Roman"/>
        </w:rPr>
        <w:t>budynek frontowy</w:t>
      </w:r>
      <w:r w:rsidR="0049159C">
        <w:rPr>
          <w:rFonts w:ascii="Times New Roman" w:hAnsi="Times New Roman" w:cs="Times New Roman"/>
        </w:rPr>
        <w:t xml:space="preserve"> jest czterokondygnacyjny, w części oficyny dwukondygnacyjny. W budynku o łącznej powierzchni 341,47 m</w:t>
      </w:r>
      <w:r w:rsidR="0049159C" w:rsidRPr="00FD7BD2">
        <w:rPr>
          <w:rFonts w:ascii="Times New Roman" w:hAnsi="Times New Roman" w:cs="Times New Roman"/>
          <w:vertAlign w:val="superscript"/>
        </w:rPr>
        <w:t>2</w:t>
      </w:r>
      <w:r w:rsidR="0049159C">
        <w:rPr>
          <w:rFonts w:ascii="Times New Roman" w:hAnsi="Times New Roman" w:cs="Times New Roman"/>
        </w:rPr>
        <w:t xml:space="preserve"> znajdują się dwa lokale użytkowe i 5 lokali mieszkalnych. Zbyte zostały 4 lokale mieszkalne Budynek jest wyposażony w instalacje: wodno-kanalizacyjną, gazową elektryczną, domofon. Obiekt podlega ochronie konserwatorskiej</w:t>
      </w:r>
      <w:r w:rsidR="00E23ECF">
        <w:rPr>
          <w:rFonts w:ascii="Times New Roman" w:hAnsi="Times New Roman" w:cs="Times New Roman"/>
        </w:rPr>
        <w:t xml:space="preserve"> </w:t>
      </w:r>
      <w:r w:rsidR="0049159C">
        <w:rPr>
          <w:rFonts w:ascii="Times New Roman" w:hAnsi="Times New Roman" w:cs="Times New Roman"/>
        </w:rPr>
        <w:t>(jest wpisany do gminnej ewiden</w:t>
      </w:r>
      <w:r w:rsidR="00E23ECF">
        <w:rPr>
          <w:rFonts w:ascii="Times New Roman" w:hAnsi="Times New Roman" w:cs="Times New Roman"/>
        </w:rPr>
        <w:t>cji zabytków). Budynek wymaga cz</w:t>
      </w:r>
      <w:r w:rsidR="0049159C">
        <w:rPr>
          <w:rFonts w:ascii="Times New Roman" w:hAnsi="Times New Roman" w:cs="Times New Roman"/>
        </w:rPr>
        <w:t>ęściowego remontu, m.in. klatki schodowej</w:t>
      </w:r>
      <w:r w:rsidR="00E23ECF">
        <w:rPr>
          <w:rFonts w:ascii="Times New Roman" w:hAnsi="Times New Roman" w:cs="Times New Roman"/>
        </w:rPr>
        <w:t xml:space="preserve"> </w:t>
      </w:r>
      <w:r w:rsidR="0049159C">
        <w:rPr>
          <w:rFonts w:ascii="Times New Roman" w:hAnsi="Times New Roman" w:cs="Times New Roman"/>
        </w:rPr>
        <w:t>w oficynie, elewacji tylnej.</w:t>
      </w:r>
    </w:p>
    <w:p w:rsidR="00915C9E" w:rsidRDefault="00915C9E" w:rsidP="000C3E60">
      <w:pPr>
        <w:pStyle w:val="Tekstpodstawowywcity2"/>
        <w:tabs>
          <w:tab w:val="decimal" w:pos="0"/>
        </w:tabs>
        <w:spacing w:line="276" w:lineRule="auto"/>
        <w:ind w:left="0"/>
        <w:jc w:val="both"/>
        <w:rPr>
          <w:rFonts w:ascii="Times New Roman" w:hAnsi="Times New Roman" w:cs="Times New Roman"/>
        </w:rPr>
      </w:pPr>
      <w:r>
        <w:rPr>
          <w:rFonts w:ascii="Times New Roman" w:hAnsi="Times New Roman" w:cs="Times New Roman"/>
        </w:rPr>
        <w:tab/>
      </w:r>
      <w:r w:rsidR="00C600C0">
        <w:rPr>
          <w:rFonts w:ascii="Times New Roman" w:hAnsi="Times New Roman" w:cs="Times New Roman"/>
        </w:rPr>
        <w:t>6</w:t>
      </w:r>
      <w:r>
        <w:rPr>
          <w:rFonts w:ascii="Times New Roman" w:hAnsi="Times New Roman" w:cs="Times New Roman"/>
        </w:rPr>
        <w:t xml:space="preserve">. Nabywca lokalu przyjmuje do wiadomości, że dla budynku znajdującego się na nieruchomości przy </w:t>
      </w:r>
      <w:r w:rsidR="00DB3F86">
        <w:rPr>
          <w:rFonts w:ascii="Times New Roman" w:hAnsi="Times New Roman" w:cs="Times New Roman"/>
        </w:rPr>
        <w:t>Rynku Nowomiejskim 23</w:t>
      </w:r>
      <w:r>
        <w:rPr>
          <w:rFonts w:ascii="Times New Roman" w:hAnsi="Times New Roman" w:cs="Times New Roman"/>
        </w:rPr>
        <w:t xml:space="preserve"> nie sporządzono świadectwa charakterystyki energetycznej.</w:t>
      </w:r>
    </w:p>
    <w:p w:rsidR="00CE3C7F" w:rsidRPr="00CE3C7F" w:rsidRDefault="0079238B" w:rsidP="0079238B">
      <w:pPr>
        <w:pStyle w:val="Tekstpodstawowywcity2"/>
        <w:tabs>
          <w:tab w:val="decimal" w:pos="0"/>
        </w:tabs>
        <w:spacing w:line="276" w:lineRule="auto"/>
        <w:ind w:left="0"/>
        <w:jc w:val="both"/>
        <w:rPr>
          <w:rFonts w:ascii="Times New Roman" w:hAnsi="Times New Roman" w:cs="Times New Roman"/>
          <w:szCs w:val="24"/>
        </w:rPr>
      </w:pPr>
      <w:r>
        <w:rPr>
          <w:rFonts w:ascii="Times New Roman" w:hAnsi="Times New Roman" w:cs="Times New Roman"/>
          <w:szCs w:val="24"/>
        </w:rPr>
        <w:tab/>
        <w:t xml:space="preserve">7. </w:t>
      </w:r>
      <w:r w:rsidR="00CE3C7F">
        <w:rPr>
          <w:rFonts w:ascii="Times New Roman" w:hAnsi="Times New Roman" w:cs="Times New Roman"/>
          <w:szCs w:val="24"/>
        </w:rPr>
        <w:t>Zgodnie z wpisem w dziale III księgi wieczystej KW Nr TO1T/00002813/6 w</w:t>
      </w:r>
      <w:r w:rsidRPr="0079238B">
        <w:rPr>
          <w:rFonts w:ascii="Times New Roman" w:hAnsi="Times New Roman" w:cs="Times New Roman"/>
          <w:szCs w:val="24"/>
        </w:rPr>
        <w:t xml:space="preserve">łaściciel lokalu mieszkalnego nr 2, dla którego została urządzona księga lokalowa KW Nr TO1T/00138003/7 </w:t>
      </w:r>
      <w:r w:rsidR="00CE3C7F">
        <w:rPr>
          <w:rFonts w:ascii="Times New Roman" w:hAnsi="Times New Roman" w:cs="Times New Roman"/>
          <w:szCs w:val="24"/>
        </w:rPr>
        <w:t xml:space="preserve">otrzymuje </w:t>
      </w:r>
      <w:r w:rsidRPr="0079238B">
        <w:rPr>
          <w:rFonts w:ascii="Times New Roman" w:hAnsi="Times New Roman" w:cs="Times New Roman"/>
          <w:szCs w:val="24"/>
        </w:rPr>
        <w:t xml:space="preserve">do wyłącznego korzystania </w:t>
      </w:r>
      <w:r>
        <w:rPr>
          <w:rFonts w:ascii="Times New Roman" w:hAnsi="Times New Roman" w:cs="Times New Roman"/>
          <w:szCs w:val="24"/>
        </w:rPr>
        <w:t>częś</w:t>
      </w:r>
      <w:r w:rsidR="00CE3C7F">
        <w:rPr>
          <w:rFonts w:ascii="Times New Roman" w:hAnsi="Times New Roman" w:cs="Times New Roman"/>
          <w:szCs w:val="24"/>
        </w:rPr>
        <w:t>ć</w:t>
      </w:r>
      <w:r w:rsidR="00A233FC">
        <w:rPr>
          <w:rFonts w:ascii="Times New Roman" w:hAnsi="Times New Roman" w:cs="Times New Roman"/>
          <w:szCs w:val="24"/>
        </w:rPr>
        <w:t xml:space="preserve"> gruntu stanowiącego </w:t>
      </w:r>
      <w:r w:rsidRPr="0079238B">
        <w:rPr>
          <w:rFonts w:ascii="Times New Roman" w:hAnsi="Times New Roman" w:cs="Times New Roman"/>
          <w:szCs w:val="24"/>
        </w:rPr>
        <w:t>nieruchomość wspólną o pow. ca. 30 m</w:t>
      </w:r>
      <w:r w:rsidRPr="0079238B">
        <w:rPr>
          <w:rFonts w:ascii="Times New Roman" w:hAnsi="Times New Roman" w:cs="Times New Roman"/>
          <w:szCs w:val="24"/>
          <w:vertAlign w:val="superscript"/>
        </w:rPr>
        <w:t>2</w:t>
      </w:r>
      <w:r w:rsidRPr="0079238B">
        <w:rPr>
          <w:rFonts w:ascii="Times New Roman" w:hAnsi="Times New Roman" w:cs="Times New Roman"/>
          <w:szCs w:val="24"/>
        </w:rPr>
        <w:t>, położonego w północno-wschodniej części działki nr 166 w obrębie nr 17, przylegającego do oficyny budynku mieszkalnego wielorodzinnego przy Rynku Nowomiejskim 23 w Toruniu, w której na parterze usytuowany jest lokal nr 2</w:t>
      </w:r>
      <w:r w:rsidR="00CE3C7F">
        <w:rPr>
          <w:rFonts w:ascii="Times New Roman" w:hAnsi="Times New Roman" w:cs="Times New Roman"/>
          <w:szCs w:val="24"/>
        </w:rPr>
        <w:t>. Właściciel lokalu nr 2 jest uprawniony do wykorzystywania części działki nr 166 w zakresie opisanym powyżej</w:t>
      </w:r>
      <w:r>
        <w:rPr>
          <w:rFonts w:ascii="Times New Roman" w:hAnsi="Times New Roman" w:cs="Times New Roman"/>
          <w:szCs w:val="24"/>
        </w:rPr>
        <w:t xml:space="preserve"> </w:t>
      </w:r>
      <w:r w:rsidRPr="0079238B">
        <w:rPr>
          <w:rFonts w:ascii="Times New Roman" w:hAnsi="Times New Roman" w:cs="Times New Roman"/>
          <w:szCs w:val="24"/>
        </w:rPr>
        <w:t>wyłącznie pod funkcje terenu rekreacyjnego bez prawa do jakiejkolwiek zabudowy oraz udostępniania na rzecz osób trzecich oraz bez możliwości przetrzymywania na ww. terenie jakichkolwiek zwierząt, ptaków. Ponadto właściciel lokalu jest zobowiązany do zagospodarowania i utrzymywania terenu w należytym stanie na własny koszt i własnym staraniem bez prawa do roszczenia o zwrot poniesionych nakładów. Prace konserwująco – naprawcze muru ogrodzeniowego wymagają uzgodnień z Miejskim Konserwatorem Zabytków.</w:t>
      </w:r>
    </w:p>
    <w:p w:rsidR="000C3E60" w:rsidRDefault="00915C9E" w:rsidP="000C3E60">
      <w:pPr>
        <w:pStyle w:val="Tekstpodstawowywcity2"/>
        <w:tabs>
          <w:tab w:val="decimal" w:pos="0"/>
        </w:tabs>
        <w:spacing w:line="276" w:lineRule="auto"/>
        <w:ind w:left="0"/>
        <w:jc w:val="both"/>
        <w:rPr>
          <w:rFonts w:ascii="Times New Roman" w:hAnsi="Times New Roman" w:cs="Times New Roman"/>
          <w:szCs w:val="24"/>
        </w:rPr>
      </w:pPr>
      <w:r>
        <w:rPr>
          <w:rFonts w:ascii="Times New Roman" w:hAnsi="Times New Roman" w:cs="Times New Roman"/>
        </w:rPr>
        <w:tab/>
        <w:t>§4.1</w:t>
      </w:r>
      <w:r w:rsidR="000C3E60" w:rsidRPr="000C3E60">
        <w:rPr>
          <w:rFonts w:ascii="Times New Roman" w:hAnsi="Times New Roman" w:cs="Times New Roman"/>
        </w:rPr>
        <w:t xml:space="preserve"> </w:t>
      </w:r>
      <w:r w:rsidR="000C3E60">
        <w:rPr>
          <w:rFonts w:ascii="Times New Roman" w:hAnsi="Times New Roman" w:cs="Times New Roman"/>
          <w:szCs w:val="24"/>
        </w:rPr>
        <w:t xml:space="preserve">Budynek przy </w:t>
      </w:r>
      <w:r w:rsidR="00DB3F86">
        <w:rPr>
          <w:rFonts w:ascii="Times New Roman" w:hAnsi="Times New Roman" w:cs="Times New Roman"/>
          <w:szCs w:val="24"/>
        </w:rPr>
        <w:t>Rynku Nowomiejskim</w:t>
      </w:r>
      <w:r w:rsidR="000C3E60">
        <w:rPr>
          <w:rFonts w:ascii="Times New Roman" w:hAnsi="Times New Roman" w:cs="Times New Roman"/>
          <w:szCs w:val="24"/>
        </w:rPr>
        <w:t xml:space="preserve"> jest położony w obrębie średniowiecznego zespołu miejskiego, wpisanego w dniu </w:t>
      </w:r>
      <w:r w:rsidR="00DB3F86">
        <w:rPr>
          <w:rFonts w:ascii="Times New Roman" w:hAnsi="Times New Roman" w:cs="Times New Roman"/>
          <w:szCs w:val="24"/>
        </w:rPr>
        <w:t>4</w:t>
      </w:r>
      <w:r w:rsidR="000C3E60">
        <w:rPr>
          <w:rFonts w:ascii="Times New Roman" w:hAnsi="Times New Roman" w:cs="Times New Roman"/>
          <w:szCs w:val="24"/>
        </w:rPr>
        <w:t xml:space="preserve"> grudnia 1997r. na listę Światowego Dziedzictwa Kulturowego i Naturalnego  UNESCO oraz do rejestru zabytków Stare </w:t>
      </w:r>
      <w:r w:rsidR="00DB3F86">
        <w:rPr>
          <w:rFonts w:ascii="Times New Roman" w:hAnsi="Times New Roman" w:cs="Times New Roman"/>
          <w:szCs w:val="24"/>
        </w:rPr>
        <w:t xml:space="preserve">i Nowe Miasto decyzją nr A/1372 </w:t>
      </w:r>
      <w:r w:rsidR="000C3E60">
        <w:rPr>
          <w:rFonts w:ascii="Times New Roman" w:hAnsi="Times New Roman" w:cs="Times New Roman"/>
          <w:szCs w:val="24"/>
        </w:rPr>
        <w:t>z  dnia 29 grudnia 1952r. Powyższe oznacza, że prac</w:t>
      </w:r>
      <w:r w:rsidR="00DB3F86">
        <w:rPr>
          <w:rFonts w:ascii="Times New Roman" w:hAnsi="Times New Roman" w:cs="Times New Roman"/>
          <w:szCs w:val="24"/>
        </w:rPr>
        <w:t xml:space="preserve">e remontowo-budowlane planowane </w:t>
      </w:r>
      <w:r w:rsidR="000C3E60">
        <w:rPr>
          <w:rFonts w:ascii="Times New Roman" w:hAnsi="Times New Roman" w:cs="Times New Roman"/>
          <w:szCs w:val="24"/>
        </w:rPr>
        <w:t>do wykonania w budynku podlegają uzgodnieniu z M</w:t>
      </w:r>
      <w:r w:rsidR="00DB3F86">
        <w:rPr>
          <w:rFonts w:ascii="Times New Roman" w:hAnsi="Times New Roman" w:cs="Times New Roman"/>
          <w:szCs w:val="24"/>
        </w:rPr>
        <w:t xml:space="preserve">iejskim Konserwatorem Zabytków, </w:t>
      </w:r>
      <w:r w:rsidR="000C3E60">
        <w:rPr>
          <w:rFonts w:ascii="Times New Roman" w:hAnsi="Times New Roman" w:cs="Times New Roman"/>
          <w:szCs w:val="24"/>
        </w:rPr>
        <w:t>w szczególności dotyczy to zmiany stolarki okiennej i drzwiowej w lokalu.</w:t>
      </w:r>
    </w:p>
    <w:p w:rsidR="00C600C0" w:rsidRPr="00463489" w:rsidRDefault="000C3E60" w:rsidP="00463489">
      <w:pPr>
        <w:pStyle w:val="Tekstpodstawowywcity2"/>
        <w:tabs>
          <w:tab w:val="decimal" w:pos="0"/>
        </w:tabs>
        <w:spacing w:line="276" w:lineRule="auto"/>
        <w:ind w:left="0"/>
        <w:jc w:val="both"/>
        <w:rPr>
          <w:rFonts w:ascii="Times New Roman" w:hAnsi="Times New Roman" w:cs="Times New Roman"/>
          <w:szCs w:val="24"/>
        </w:rPr>
      </w:pPr>
      <w:r>
        <w:rPr>
          <w:rFonts w:ascii="Times New Roman" w:hAnsi="Times New Roman" w:cs="Times New Roman"/>
          <w:szCs w:val="24"/>
        </w:rPr>
        <w:tab/>
        <w:t xml:space="preserve">2. Nieruchomość położona przy </w:t>
      </w:r>
      <w:r w:rsidR="00DB3F86">
        <w:rPr>
          <w:rFonts w:ascii="Times New Roman" w:hAnsi="Times New Roman" w:cs="Times New Roman"/>
          <w:szCs w:val="24"/>
        </w:rPr>
        <w:t>Rynku Nowomiejskim 23</w:t>
      </w:r>
      <w:r>
        <w:rPr>
          <w:rFonts w:ascii="Times New Roman" w:hAnsi="Times New Roman" w:cs="Times New Roman"/>
          <w:szCs w:val="24"/>
        </w:rPr>
        <w:t xml:space="preserve"> w Toruniu  jest usytuowana na terenie, dla którego brak jest miejscowego planu zagospodarowania przestrzennego. Zgodnie ze studium uwarunkowań i kierunków zagospodarowania przestrzennego miasta, zatwierdzonym uchwałą Rady Miasta Torunia  Nr  805/18 z dnia 25 stycznia 2018r.,  lokal jest położony w budynku usytuowanym na obszarze wielofunkcyjnym.</w:t>
      </w:r>
    </w:p>
    <w:tbl>
      <w:tblPr>
        <w:tblpPr w:leftFromText="141" w:rightFromText="141" w:vertAnchor="text" w:horzAnchor="page" w:tblpX="3457" w:tblpY="287"/>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8"/>
        <w:gridCol w:w="1701"/>
      </w:tblGrid>
      <w:tr w:rsidR="00504250" w:rsidRPr="0046303F" w:rsidTr="00504250">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28" w:type="dxa"/>
            </w:tcMar>
            <w:hideMark/>
          </w:tcPr>
          <w:p w:rsidR="00504250" w:rsidRPr="0046303F" w:rsidRDefault="00504250" w:rsidP="00504250">
            <w:pPr>
              <w:pStyle w:val="TableContents"/>
              <w:spacing w:after="0"/>
              <w:jc w:val="center"/>
              <w:rPr>
                <w:b/>
                <w:lang w:eastAsia="en-US"/>
              </w:rPr>
            </w:pPr>
            <w:r w:rsidRPr="0046303F">
              <w:rPr>
                <w:b/>
                <w:lang w:eastAsia="en-US"/>
              </w:rPr>
              <w:t>Cena wywoławcza</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0" w:type="dxa"/>
            </w:tcMar>
            <w:hideMark/>
          </w:tcPr>
          <w:p w:rsidR="00504250" w:rsidRPr="0046303F" w:rsidRDefault="00504250" w:rsidP="00504250">
            <w:pPr>
              <w:pStyle w:val="TableContents"/>
              <w:spacing w:after="0"/>
              <w:jc w:val="center"/>
              <w:rPr>
                <w:b/>
                <w:lang w:eastAsia="en-US"/>
              </w:rPr>
            </w:pPr>
            <w:r w:rsidRPr="0046303F">
              <w:rPr>
                <w:b/>
                <w:lang w:eastAsia="en-US"/>
              </w:rPr>
              <w:t>wadium</w:t>
            </w:r>
          </w:p>
        </w:tc>
      </w:tr>
      <w:tr w:rsidR="00504250" w:rsidRPr="0046303F" w:rsidTr="00504250">
        <w:tc>
          <w:tcPr>
            <w:tcW w:w="2268"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504250" w:rsidRPr="0046303F" w:rsidRDefault="00A233FC" w:rsidP="00504250">
            <w:pPr>
              <w:jc w:val="center"/>
              <w:rPr>
                <w:rFonts w:ascii="Times New Roman" w:hAnsi="Times New Roman" w:cs="Times New Roman"/>
                <w:lang w:eastAsia="en-US"/>
              </w:rPr>
            </w:pPr>
            <w:r>
              <w:rPr>
                <w:rFonts w:ascii="Times New Roman" w:hAnsi="Times New Roman" w:cs="Times New Roman"/>
                <w:lang w:eastAsia="en-US"/>
              </w:rPr>
              <w:t>190</w:t>
            </w:r>
            <w:r w:rsidR="00504250">
              <w:rPr>
                <w:rFonts w:ascii="Times New Roman" w:hAnsi="Times New Roman" w:cs="Times New Roman"/>
                <w:lang w:eastAsia="en-US"/>
              </w:rPr>
              <w:t>.000</w:t>
            </w:r>
            <w:r w:rsidR="00504250" w:rsidRPr="0046303F">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rsidR="00504250" w:rsidRPr="0046303F" w:rsidRDefault="00A233FC" w:rsidP="00504250">
            <w:pPr>
              <w:pStyle w:val="Zawartotabeli"/>
              <w:jc w:val="center"/>
              <w:rPr>
                <w:szCs w:val="24"/>
                <w:lang w:eastAsia="en-US"/>
              </w:rPr>
            </w:pPr>
            <w:r>
              <w:rPr>
                <w:szCs w:val="24"/>
                <w:lang w:eastAsia="en-US"/>
              </w:rPr>
              <w:t>19</w:t>
            </w:r>
            <w:r w:rsidR="00504250" w:rsidRPr="0046303F">
              <w:rPr>
                <w:szCs w:val="24"/>
                <w:lang w:eastAsia="en-US"/>
              </w:rPr>
              <w:t>.000,-</w:t>
            </w:r>
          </w:p>
        </w:tc>
      </w:tr>
    </w:tbl>
    <w:p w:rsidR="00C600C0" w:rsidRDefault="00C600C0" w:rsidP="00C600C0">
      <w:pPr>
        <w:pStyle w:val="Tekstpodstawowy"/>
        <w:tabs>
          <w:tab w:val="left" w:pos="424"/>
        </w:tabs>
        <w:spacing w:after="0" w:line="360" w:lineRule="auto"/>
        <w:ind w:firstLine="567"/>
        <w:rPr>
          <w:rFonts w:ascii="Times New Roman" w:eastAsia="Times New Roman" w:hAnsi="Times New Roman" w:cs="Times New Roman"/>
        </w:rPr>
      </w:pPr>
      <w:r w:rsidRPr="00EA6105">
        <w:rPr>
          <w:rFonts w:ascii="Times New Roman" w:hAnsi="Times New Roman" w:cs="Times New Roman"/>
        </w:rPr>
        <w:t>§5</w:t>
      </w:r>
      <w:r>
        <w:rPr>
          <w:rFonts w:ascii="Times New Roman" w:hAnsi="Times New Roman" w:cs="Times New Roman"/>
        </w:rPr>
        <w:t>.</w:t>
      </w:r>
      <w:r w:rsidRPr="00EA6105">
        <w:rPr>
          <w:rFonts w:ascii="Times New Roman" w:hAnsi="Times New Roman" w:cs="Times New Roman"/>
        </w:rPr>
        <w:t xml:space="preserve"> </w:t>
      </w:r>
      <w:r w:rsidRPr="0046303F">
        <w:rPr>
          <w:rFonts w:ascii="Times New Roman" w:eastAsia="Times New Roman" w:hAnsi="Times New Roman" w:cs="Times New Roman"/>
        </w:rPr>
        <w:t xml:space="preserve">Ustala się następujące warunki i </w:t>
      </w:r>
      <w:r w:rsidR="000C3E60">
        <w:rPr>
          <w:rFonts w:ascii="Times New Roman" w:eastAsia="Times New Roman" w:hAnsi="Times New Roman" w:cs="Times New Roman"/>
        </w:rPr>
        <w:t>przetargu</w:t>
      </w:r>
      <w:r w:rsidRPr="0046303F">
        <w:rPr>
          <w:rFonts w:ascii="Times New Roman" w:eastAsia="Times New Roman" w:hAnsi="Times New Roman" w:cs="Times New Roman"/>
        </w:rPr>
        <w:t>:</w:t>
      </w:r>
    </w:p>
    <w:p w:rsidR="00504250" w:rsidRDefault="00504250" w:rsidP="00C600C0">
      <w:pPr>
        <w:pStyle w:val="Tekstpodstawowy"/>
        <w:tabs>
          <w:tab w:val="left" w:pos="424"/>
        </w:tabs>
        <w:spacing w:after="0" w:line="360" w:lineRule="auto"/>
        <w:ind w:firstLine="567"/>
        <w:rPr>
          <w:rFonts w:ascii="Times New Roman" w:eastAsia="Times New Roman" w:hAnsi="Times New Roman" w:cs="Times New Roman"/>
        </w:rPr>
      </w:pPr>
    </w:p>
    <w:p w:rsidR="00504250" w:rsidRDefault="00915C9E" w:rsidP="00915C9E">
      <w:pPr>
        <w:spacing w:line="276" w:lineRule="auto"/>
        <w:jc w:val="both"/>
        <w:rPr>
          <w:rFonts w:ascii="Times New Roman" w:hAnsi="Times New Roman" w:cs="Times New Roman"/>
        </w:rPr>
      </w:pPr>
      <w:r>
        <w:rPr>
          <w:rFonts w:ascii="Times New Roman" w:hAnsi="Times New Roman" w:cs="Times New Roman"/>
        </w:rPr>
        <w:tab/>
      </w:r>
    </w:p>
    <w:p w:rsidR="00915C9E" w:rsidRDefault="00915C9E" w:rsidP="00504250">
      <w:pPr>
        <w:spacing w:line="276" w:lineRule="auto"/>
        <w:ind w:firstLine="567"/>
        <w:jc w:val="both"/>
        <w:rPr>
          <w:rFonts w:ascii="Times New Roman" w:hAnsi="Times New Roman" w:cs="Times New Roman"/>
          <w:b/>
        </w:rPr>
      </w:pPr>
      <w:r>
        <w:rPr>
          <w:rFonts w:ascii="Times New Roman" w:hAnsi="Times New Roman" w:cs="Times New Roman"/>
        </w:rPr>
        <w:t xml:space="preserve">§6.1. W przetargu mogą wziąć udział podmioty, które wpłacą wadium w pieniądzu przelewem na konto Urzędu Miasta Torunia - BANK MILLENNIUM S.A. O/Toruń nr 62 1160  </w:t>
      </w:r>
      <w:r>
        <w:rPr>
          <w:rFonts w:ascii="Times New Roman" w:hAnsi="Times New Roman" w:cs="Times New Roman"/>
        </w:rPr>
        <w:lastRenderedPageBreak/>
        <w:t xml:space="preserve">2202  0000  0003  3943  1400 w terminie </w:t>
      </w:r>
      <w:r>
        <w:rPr>
          <w:rFonts w:ascii="Times New Roman" w:hAnsi="Times New Roman" w:cs="Times New Roman"/>
          <w:b/>
        </w:rPr>
        <w:t xml:space="preserve">do dnia </w:t>
      </w:r>
      <w:r w:rsidR="00504250">
        <w:rPr>
          <w:rFonts w:ascii="Times New Roman" w:hAnsi="Times New Roman" w:cs="Times New Roman"/>
          <w:b/>
        </w:rPr>
        <w:t>1</w:t>
      </w:r>
      <w:r w:rsidR="00A233FC">
        <w:rPr>
          <w:rFonts w:ascii="Times New Roman" w:hAnsi="Times New Roman" w:cs="Times New Roman"/>
          <w:b/>
        </w:rPr>
        <w:t>7</w:t>
      </w:r>
      <w:r>
        <w:rPr>
          <w:rFonts w:ascii="Times New Roman" w:hAnsi="Times New Roman" w:cs="Times New Roman"/>
          <w:b/>
        </w:rPr>
        <w:t xml:space="preserve"> </w:t>
      </w:r>
      <w:r w:rsidR="00A233FC">
        <w:rPr>
          <w:rFonts w:ascii="Times New Roman" w:hAnsi="Times New Roman" w:cs="Times New Roman"/>
          <w:b/>
        </w:rPr>
        <w:t>listopada</w:t>
      </w:r>
      <w:r>
        <w:rPr>
          <w:rFonts w:ascii="Times New Roman" w:hAnsi="Times New Roman" w:cs="Times New Roman"/>
          <w:b/>
        </w:rPr>
        <w:t xml:space="preserve"> 2021r., włącznie.</w:t>
      </w:r>
      <w:r>
        <w:rPr>
          <w:rFonts w:ascii="Times New Roman" w:hAnsi="Times New Roman" w:cs="Times New Roman"/>
        </w:rPr>
        <w:t xml:space="preserve"> Za datę wpłaty wadium uznaje się dzień wpływu środków pieniężnych na konto Gminy.</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Podmioty, które wpłacą wadium w sposób niezgodny z postanowieniami ust. 1,</w:t>
      </w:r>
      <w:r>
        <w:rPr>
          <w:rFonts w:ascii="Times New Roman" w:hAnsi="Times New Roman" w:cs="Times New Roman"/>
        </w:rPr>
        <w:br/>
        <w:t>w szczególności gdy wadium zostanie wpłacone w gotówce w kasie Urzędu Miasta Torunia, nie zostaną dopuszczone do udziału w przetargu.</w:t>
      </w:r>
      <w:r>
        <w:rPr>
          <w:rFonts w:ascii="Times New Roman" w:hAnsi="Times New Roman" w:cs="Times New Roman"/>
          <w:b/>
        </w:rPr>
        <w:t xml:space="preserve"> </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 xml:space="preserve">3. Komisja przetargowa w dniu </w:t>
      </w:r>
      <w:r w:rsidR="00A233FC">
        <w:rPr>
          <w:rFonts w:ascii="Times New Roman" w:hAnsi="Times New Roman" w:cs="Times New Roman"/>
        </w:rPr>
        <w:t>19 listopada</w:t>
      </w:r>
      <w:r>
        <w:rPr>
          <w:rFonts w:ascii="Times New Roman" w:hAnsi="Times New Roman" w:cs="Times New Roman"/>
        </w:rPr>
        <w:t xml:space="preserve"> 2021r. stwierdzi dokonanie wpłaty wadium na podstawie wyciągu bankowego z wskazanego konta i sporządzi wykaz osób, które spełniły ten warunek.</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§7.1. Uczestnicy przetargu i osoby działające w ich imieniu winni przed przystąpieniem do licytacji przedstawić Komisji Przetargowej:</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1) wszyscy: dokument potwierdzający tożsamość tj. dowód osobisty lub paszport;</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2) osoby prawne i jednostki organizacyjne nie będące osobami prawnymi, którym ustawa przyznała zdolność prawną: aktualny wypis z właściwego rejestru oraz upoważnienie organu uprawnionego do reprezentowania podmiotu;</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3) pełnomocnicy - pełnomocnictwo do uczestnictwa w przetargu (w formie pisemnej) lub pełnomocnictwo do nabycia nieruchomości (w formie aktu notarialnego);</w:t>
      </w:r>
    </w:p>
    <w:p w:rsidR="00481F6F" w:rsidRDefault="00915C9E" w:rsidP="00915C9E">
      <w:pPr>
        <w:spacing w:line="276" w:lineRule="auto"/>
        <w:jc w:val="both"/>
        <w:rPr>
          <w:rFonts w:ascii="Times New Roman" w:hAnsi="Times New Roman" w:cs="Times New Roman"/>
        </w:rPr>
      </w:pPr>
      <w:r>
        <w:rPr>
          <w:rFonts w:ascii="Times New Roman" w:hAnsi="Times New Roman" w:cs="Times New Roman"/>
        </w:rPr>
        <w:t>4) małżonek zamierzający samodzielnie licytować nieruchomość nabywaną do majątku wspólnego – pisemną zgodę współmałżonka</w:t>
      </w:r>
      <w:r w:rsidR="00504250">
        <w:rPr>
          <w:rFonts w:ascii="Times New Roman" w:hAnsi="Times New Roman" w:cs="Times New Roman"/>
        </w:rPr>
        <w:t xml:space="preserve"> z</w:t>
      </w:r>
      <w:r w:rsidR="00481F6F">
        <w:rPr>
          <w:rFonts w:ascii="Times New Roman" w:hAnsi="Times New Roman" w:cs="Times New Roman"/>
        </w:rPr>
        <w:t>e wskazaniem ograniczenia</w:t>
      </w:r>
      <w:r w:rsidR="00504250">
        <w:rPr>
          <w:rFonts w:ascii="Times New Roman" w:hAnsi="Times New Roman" w:cs="Times New Roman"/>
        </w:rPr>
        <w:t xml:space="preserve"> </w:t>
      </w:r>
      <w:r w:rsidR="00481F6F">
        <w:rPr>
          <w:rFonts w:ascii="Times New Roman" w:hAnsi="Times New Roman" w:cs="Times New Roman"/>
        </w:rPr>
        <w:t>kwotowego</w:t>
      </w:r>
      <w:r w:rsidR="00463489">
        <w:rPr>
          <w:rFonts w:ascii="Times New Roman" w:hAnsi="Times New Roman" w:cs="Times New Roman"/>
        </w:rPr>
        <w:t xml:space="preserve"> </w:t>
      </w:r>
      <w:r w:rsidR="00504250">
        <w:rPr>
          <w:rFonts w:ascii="Times New Roman" w:hAnsi="Times New Roman" w:cs="Times New Roman"/>
        </w:rPr>
        <w:t xml:space="preserve">lub bez </w:t>
      </w:r>
      <w:r w:rsidR="00481F6F">
        <w:rPr>
          <w:rFonts w:ascii="Times New Roman" w:hAnsi="Times New Roman" w:cs="Times New Roman"/>
        </w:rPr>
        <w:t>ograniczenia</w:t>
      </w:r>
      <w:r w:rsidR="00504250">
        <w:rPr>
          <w:rFonts w:ascii="Times New Roman" w:hAnsi="Times New Roman" w:cs="Times New Roman"/>
        </w:rPr>
        <w:t xml:space="preserve"> </w:t>
      </w:r>
      <w:r w:rsidR="00481F6F">
        <w:rPr>
          <w:rFonts w:ascii="Times New Roman" w:hAnsi="Times New Roman" w:cs="Times New Roman"/>
        </w:rPr>
        <w:t>kwotowego.</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2. Nie przedłożenie wymaganych dokumentów wymienionych w ust. 1 skutkować będzie nie dopuszczeniem do uczestnictwa w przetargu.</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915C9E" w:rsidRDefault="00915C9E" w:rsidP="00915C9E">
      <w:pPr>
        <w:spacing w:line="276" w:lineRule="auto"/>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eastAsia="Times New Roman" w:hAnsi="Times New Roman" w:cs="Times New Roman"/>
          <w:b/>
        </w:rPr>
        <w:t xml:space="preserve"> </w:t>
      </w:r>
      <w:r>
        <w:rPr>
          <w:rFonts w:ascii="Times New Roman" w:hAnsi="Times New Roman" w:cs="Times New Roman"/>
          <w:b/>
        </w:rPr>
        <w:tab/>
      </w:r>
      <w:r>
        <w:rPr>
          <w:rFonts w:ascii="Times New Roman" w:hAnsi="Times New Roman" w:cs="Times New Roman"/>
        </w:rPr>
        <w:t>§8.1. Licytacja odbywa się przez podniesienie ręki osoby biorącej udział w przetargu oraz głośne podanie oferowanej ceny, będącej powiększeniem ceny wywoławczej o kolejne postąpienia.</w:t>
      </w: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2. Uczestnicy przetargu zgłaszają kolejne postąpienie w wysokości nie niższej jak 1 % ceny wywoławczej, z zaokrągleniem w górę do pełnych dziesiątek złotych.</w:t>
      </w:r>
    </w:p>
    <w:p w:rsidR="00915C9E" w:rsidRDefault="00915C9E" w:rsidP="00915C9E">
      <w:pPr>
        <w:spacing w:line="276" w:lineRule="auto"/>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9.1. O rozstrzygnięciu licytacji decyduje wielkość i kolejność zaoferowanej ceny.</w:t>
      </w: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2. Po trzecim wywołaniu najwyższej zaoferowanej ceny dalsze postąpienia nie zostaną przyjęte.</w:t>
      </w:r>
    </w:p>
    <w:p w:rsidR="00915C9E" w:rsidRDefault="00915C9E" w:rsidP="00915C9E">
      <w:pPr>
        <w:spacing w:line="320" w:lineRule="atLeast"/>
        <w:jc w:val="both"/>
        <w:rPr>
          <w:rFonts w:ascii="Times New Roman" w:hAnsi="Times New Roman" w:cs="Times New Roman"/>
        </w:rPr>
      </w:pPr>
      <w:r>
        <w:rPr>
          <w:rFonts w:ascii="Times New Roman" w:hAnsi="Times New Roman" w:cs="Times New Roman"/>
        </w:rPr>
        <w:tab/>
        <w:t>§10. Sprzedaż lokalu podlega zwolnieniu z podatku VAT na podstawie art. 43 ust. 1</w:t>
      </w:r>
      <w:r>
        <w:rPr>
          <w:rFonts w:ascii="Times New Roman" w:hAnsi="Times New Roman" w:cs="Times New Roman"/>
        </w:rPr>
        <w:br/>
        <w:t xml:space="preserve">pkt 10 ustawy o podatku od towarów i usług.  </w:t>
      </w:r>
    </w:p>
    <w:p w:rsidR="00915C9E" w:rsidRDefault="00915C9E" w:rsidP="00915C9E">
      <w:pPr>
        <w:spacing w:line="320" w:lineRule="atLeast"/>
        <w:jc w:val="both"/>
        <w:rPr>
          <w:rFonts w:ascii="Times New Roman" w:hAnsi="Times New Roman" w:cs="Times New Roman"/>
        </w:rPr>
      </w:pPr>
      <w:r>
        <w:rPr>
          <w:rFonts w:ascii="Times New Roman" w:hAnsi="Times New Roman" w:cs="Times New Roman"/>
        </w:rPr>
        <w:tab/>
      </w: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§11. Przetarg jest ważny bez względu na liczbę uczestników przetargu, jeżeli przynajmniej jeden uczestnik zaoferuje co najmniej jedno postąpienie powyżej ceny wywoławczej.</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§12. Wadium wpłacone przez uczestnika, który przetarg wygrał zalicza się na poczet ceny sprzedaży z chwilą zawarcia umowy sprzedaży w formie aktu notarialnego. Wadium ulega </w:t>
      </w:r>
      <w:r>
        <w:rPr>
          <w:rFonts w:ascii="Times New Roman" w:hAnsi="Times New Roman" w:cs="Times New Roman"/>
        </w:rPr>
        <w:lastRenderedPageBreak/>
        <w:t xml:space="preserve">przepadkowi w wypadku uchylenia się od zawarcia aktu notarialnego przez uczestnika, który przetarg wygrał. </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§13. Pozostałym uczestnikom przetargu wadium zostanie niezwłocznie, nie później niż przed upływem 3 dni od dnia odwołania, unieważnienia lub rozstrzygnięcia przetargu, zwrócone przelewem  - w wysokości nominalnej, na wskazane przez nich na piśmie konto. W przypadku braku pisemnego wskazania - najpóźniej w dniu przetargu - rachunku bankowego, na które ma być dokonany zwrot wadium zostanie zwrócone na konto, z którego wpłynęło,</w:t>
      </w:r>
      <w:r>
        <w:rPr>
          <w:rFonts w:ascii="Times New Roman" w:hAnsi="Times New Roman" w:cs="Times New Roman"/>
        </w:rPr>
        <w:br/>
        <w:t>o ile przelew został dokonany z konta bankowego.</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§14. 1. Protokół przetargu sporządza się  w 3 jednobrzmiących egzemplarzach. </w:t>
      </w: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      2. Protokół stanowi podstawę zawarcia aktu notarialnego.</w:t>
      </w:r>
    </w:p>
    <w:p w:rsidR="00915C9E" w:rsidRDefault="00915C9E" w:rsidP="00915C9E">
      <w:pPr>
        <w:spacing w:line="276" w:lineRule="auto"/>
        <w:ind w:firstLine="708"/>
        <w:jc w:val="both"/>
        <w:rPr>
          <w:rFonts w:ascii="Times New Roman" w:hAnsi="Times New Roman" w:cs="Times New Roman"/>
        </w:rPr>
      </w:pPr>
    </w:p>
    <w:p w:rsidR="00915C9E" w:rsidRPr="00613EF1" w:rsidRDefault="00915C9E" w:rsidP="00915C9E">
      <w:pPr>
        <w:spacing w:line="276" w:lineRule="auto"/>
        <w:ind w:firstLine="708"/>
        <w:jc w:val="both"/>
        <w:rPr>
          <w:rFonts w:ascii="Times New Roman" w:hAnsi="Times New Roman" w:cs="Times New Roman"/>
        </w:rPr>
      </w:pPr>
      <w:r w:rsidRPr="00613EF1">
        <w:rPr>
          <w:rFonts w:ascii="Times New Roman" w:hAnsi="Times New Roman" w:cs="Times New Roman"/>
        </w:rPr>
        <w:t xml:space="preserve">§15.1. </w:t>
      </w:r>
      <w:r w:rsidRPr="00613EF1">
        <w:rPr>
          <w:rStyle w:val="alb"/>
          <w:rFonts w:ascii="Times New Roman" w:hAnsi="Times New Roman" w:cs="Times New Roman"/>
        </w:rPr>
        <w:t xml:space="preserve">Gmina </w:t>
      </w:r>
      <w:r w:rsidRPr="00613EF1">
        <w:rPr>
          <w:rFonts w:ascii="Times New Roman" w:hAnsi="Times New Roman" w:cs="Times New Roman"/>
        </w:rPr>
        <w:t>zawiadomi  osobę ustaloną jako nabywca nieruchomości o miejscu</w:t>
      </w:r>
      <w:r>
        <w:rPr>
          <w:rFonts w:ascii="Times New Roman" w:hAnsi="Times New Roman" w:cs="Times New Roman"/>
        </w:rPr>
        <w:br/>
      </w:r>
      <w:r w:rsidRPr="00613EF1">
        <w:rPr>
          <w:rFonts w:ascii="Times New Roman" w:hAnsi="Times New Roman" w:cs="Times New Roman"/>
        </w:rPr>
        <w:t>i terminie zawarcia umowy sprzedaży  nieruchomości, najpóźniej w ciągu 21 dni od dnia rozstrzygnięcia przetargu. Wyznaczony termin nie może być krótszy niż 7 dni od dnia doręczenia zawiadomienia.</w:t>
      </w:r>
    </w:p>
    <w:p w:rsidR="00915C9E" w:rsidRPr="00613EF1" w:rsidRDefault="00915C9E" w:rsidP="00915C9E">
      <w:pPr>
        <w:spacing w:line="276" w:lineRule="auto"/>
        <w:jc w:val="both"/>
        <w:rPr>
          <w:rStyle w:val="alb"/>
          <w:rFonts w:ascii="Times New Roman" w:hAnsi="Times New Roman" w:cs="Times New Roman"/>
        </w:rPr>
      </w:pPr>
      <w:r>
        <w:rPr>
          <w:rFonts w:ascii="Times New Roman" w:hAnsi="Times New Roman" w:cs="Times New Roman"/>
        </w:rPr>
        <w:t xml:space="preserve">                </w:t>
      </w:r>
      <w:r w:rsidRPr="00613EF1">
        <w:rPr>
          <w:rFonts w:ascii="Times New Roman" w:hAnsi="Times New Roman" w:cs="Times New Roman"/>
        </w:rPr>
        <w:t xml:space="preserve">2. Umowa nabycia nieruchomości, w formie aktu notarialnego, winna zostać zawarta najpóźniej w terminie </w:t>
      </w:r>
      <w:r w:rsidR="00A233FC">
        <w:rPr>
          <w:rFonts w:ascii="Times New Roman" w:hAnsi="Times New Roman" w:cs="Times New Roman"/>
        </w:rPr>
        <w:t>do dnia 30 grudnia 2021r.</w:t>
      </w:r>
      <w:r w:rsidRPr="00613EF1">
        <w:rPr>
          <w:rFonts w:ascii="Times New Roman" w:hAnsi="Times New Roman" w:cs="Times New Roman"/>
        </w:rPr>
        <w:t xml:space="preserve"> W przypadku wystąpienia wyjątkowych  okoliczności, których osoba ustalona jako nabywca nieruchomości nie mogła przewidzieć w dniu przetargu, Prezydent Miasta może zadecydować</w:t>
      </w:r>
      <w:r>
        <w:rPr>
          <w:rFonts w:ascii="Times New Roman" w:hAnsi="Times New Roman" w:cs="Times New Roman"/>
        </w:rPr>
        <w:t xml:space="preserve"> </w:t>
      </w:r>
      <w:r w:rsidRPr="00613EF1">
        <w:rPr>
          <w:rFonts w:ascii="Times New Roman" w:hAnsi="Times New Roman" w:cs="Times New Roman"/>
        </w:rPr>
        <w:t xml:space="preserve">o przesunięciu  terminu zawarcia umowy. </w:t>
      </w:r>
    </w:p>
    <w:p w:rsidR="00915C9E" w:rsidRPr="00613EF1" w:rsidRDefault="00915C9E" w:rsidP="00915C9E">
      <w:pPr>
        <w:spacing w:line="276" w:lineRule="auto"/>
        <w:jc w:val="both"/>
        <w:rPr>
          <w:rFonts w:ascii="Times New Roman" w:hAnsi="Times New Roman" w:cs="Times New Roman"/>
        </w:rPr>
      </w:pPr>
      <w:r>
        <w:rPr>
          <w:rStyle w:val="alb"/>
          <w:rFonts w:ascii="Times New Roman" w:hAnsi="Times New Roman" w:cs="Times New Roman"/>
        </w:rPr>
        <w:t xml:space="preserve">                3</w:t>
      </w:r>
      <w:r w:rsidRPr="00613EF1">
        <w:rPr>
          <w:rStyle w:val="alb"/>
          <w:rFonts w:ascii="Times New Roman" w:hAnsi="Times New Roman" w:cs="Times New Roman"/>
        </w:rPr>
        <w:t xml:space="preserve">.  </w:t>
      </w:r>
      <w:r w:rsidRPr="00613EF1">
        <w:rPr>
          <w:rFonts w:ascii="Times New Roman" w:hAnsi="Times New Roman" w:cs="Times New Roman"/>
        </w:rPr>
        <w:t>Jeżeli osoba ustalona jako nabywca nieruchomości nie przystąpi bez usprawiedliwienia do zawarcia umowy w miejscu i w terminie podanych w zawiadomieniu, o którym mowa w ust. 1,</w:t>
      </w:r>
      <w:r>
        <w:rPr>
          <w:rFonts w:ascii="Times New Roman" w:hAnsi="Times New Roman" w:cs="Times New Roman"/>
        </w:rPr>
        <w:t xml:space="preserve"> </w:t>
      </w:r>
      <w:r w:rsidRPr="00613EF1">
        <w:rPr>
          <w:rFonts w:ascii="Times New Roman" w:hAnsi="Times New Roman" w:cs="Times New Roman"/>
        </w:rPr>
        <w:t>z zastrzeżeniem ust. 2, Gmina może odstąpić od zawarcia umowy, a wpłacone wadium nie podlega zwrotowi. W zawiadomieniu zamieszcza się informację o tym uprawnieniu.</w:t>
      </w:r>
    </w:p>
    <w:p w:rsidR="00915C9E" w:rsidRDefault="00915C9E" w:rsidP="00915C9E">
      <w:pPr>
        <w:spacing w:line="320" w:lineRule="exact"/>
        <w:ind w:left="15"/>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§16. Zwycięzca przetargu zobowiązany jest zapłacić ustaloną w przetargu cenę sprzedaży lokalu, pomniejszoną o wpłacone wadium przelewem na rachunek bankowy Urzędu Miasta Torunia BANK MILLENNIUM S.A. O/Toruń Nr 95 11602202 0000 0000 6171 9127 przed zawarciem aktu notarialnego, w terminie i w sposób umożliwiający potwierdzenie wpływu środków pieniężnych na wyżej wskazane konto.</w:t>
      </w:r>
    </w:p>
    <w:p w:rsidR="00915C9E" w:rsidRDefault="00915C9E" w:rsidP="00915C9E">
      <w:pPr>
        <w:spacing w:line="320" w:lineRule="exact"/>
        <w:ind w:firstLine="284"/>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§17. Nabycie nieruchomości przez cudzoziemca następuje z uwzględnieniem przepisów ustawy z dnia 24 marca 1920 roku o nabywaniu nieruchomości przez cudzoziemców. </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§18.  Koszty nabycia nieruchomości ponosi nabywający.</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§19. Geodezyjne dane nieruchomości zostały podane na podstawie informacji </w:t>
      </w:r>
      <w:r>
        <w:rPr>
          <w:rFonts w:ascii="Times New Roman" w:hAnsi="Times New Roman" w:cs="Times New Roman"/>
        </w:rPr>
        <w:br/>
        <w:t>z ewidencji gruntów i budynków.</w:t>
      </w:r>
    </w:p>
    <w:p w:rsidR="0005777D" w:rsidRDefault="0005777D" w:rsidP="00915C9E">
      <w:pPr>
        <w:spacing w:line="320" w:lineRule="exact"/>
        <w:jc w:val="both"/>
        <w:rPr>
          <w:rFonts w:ascii="Times New Roman" w:hAnsi="Times New Roman" w:cs="Times New Roman"/>
        </w:rPr>
      </w:pPr>
    </w:p>
    <w:p w:rsidR="00915C9E" w:rsidRDefault="00915C9E" w:rsidP="00915C9E">
      <w:pPr>
        <w:spacing w:line="276" w:lineRule="auto"/>
        <w:jc w:val="both"/>
        <w:rPr>
          <w:rFonts w:ascii="Times New Roman" w:hAnsi="Times New Roman" w:cs="Times New Roman"/>
        </w:rPr>
      </w:pPr>
      <w:r>
        <w:rPr>
          <w:rFonts w:ascii="Times New Roman" w:hAnsi="Times New Roman" w:cs="Times New Roman"/>
        </w:rPr>
        <w:tab/>
        <w:t>2. Okazanie przez geodetę granic nieruchomości, z której wyodrębniony zostanie lokal odbyć się może na koszt i wniosek nabywcy.</w:t>
      </w:r>
    </w:p>
    <w:p w:rsidR="0005777D" w:rsidRDefault="0005777D" w:rsidP="00915C9E">
      <w:pPr>
        <w:spacing w:line="276" w:lineRule="auto"/>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lastRenderedPageBreak/>
        <w:tab/>
        <w:t>§20. Prezydent Miasta Torunia może z ważnych powodów odwołać przetarg.</w:t>
      </w:r>
    </w:p>
    <w:p w:rsidR="0005777D" w:rsidRDefault="0005777D" w:rsidP="00915C9E">
      <w:pPr>
        <w:spacing w:line="320" w:lineRule="exact"/>
        <w:jc w:val="both"/>
        <w:rPr>
          <w:rFonts w:ascii="Times New Roman" w:hAnsi="Times New Roman" w:cs="Times New Roman"/>
        </w:rPr>
      </w:pPr>
    </w:p>
    <w:p w:rsidR="00915C9E" w:rsidRDefault="00915C9E" w:rsidP="0005777D">
      <w:pPr>
        <w:spacing w:line="276" w:lineRule="auto"/>
        <w:jc w:val="both"/>
        <w:rPr>
          <w:rFonts w:ascii="Times New Roman" w:hAnsi="Times New Roman" w:cs="Times New Roman"/>
        </w:rPr>
      </w:pPr>
      <w:r>
        <w:rPr>
          <w:rFonts w:ascii="Times New Roman" w:hAnsi="Times New Roman" w:cs="Times New Roman"/>
        </w:rPr>
        <w:tab/>
        <w:t xml:space="preserve">§21. Uczestnik przetargu może zaskarżyć czynności związane z przeprowadzeniem przetargu do Prezydenta Miasta Torunia. Skarga winna być wniesiona w terminie 7 dni od dnia ogłoszenia wyniku przetargu. </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§22. Prezydent Miasta rozpatrzy skargę w terminie 7 dni od dnia jej otrzymania. </w:t>
      </w:r>
    </w:p>
    <w:p w:rsidR="0005777D" w:rsidRDefault="0005777D" w:rsidP="00915C9E">
      <w:pPr>
        <w:spacing w:line="320" w:lineRule="exact"/>
        <w:jc w:val="both"/>
        <w:rPr>
          <w:rFonts w:ascii="Times New Roman" w:hAnsi="Times New Roman" w:cs="Times New Roman"/>
        </w:rPr>
      </w:pPr>
    </w:p>
    <w:p w:rsidR="00915C9E" w:rsidRDefault="00915C9E" w:rsidP="00915C9E">
      <w:pPr>
        <w:spacing w:line="320" w:lineRule="exact"/>
        <w:jc w:val="both"/>
        <w:rPr>
          <w:rFonts w:ascii="Times New Roman" w:hAnsi="Times New Roman" w:cs="Times New Roman"/>
        </w:rPr>
      </w:pPr>
      <w:r>
        <w:rPr>
          <w:rFonts w:ascii="Times New Roman" w:hAnsi="Times New Roman" w:cs="Times New Roman"/>
        </w:rPr>
        <w:tab/>
        <w:t xml:space="preserve">§23. Do czasu rozpatrzenia skargi wstrzymane zostają czynności związane ze zbyciem. </w:t>
      </w:r>
    </w:p>
    <w:p w:rsidR="00915C9E" w:rsidRPr="003C229E" w:rsidRDefault="00915C9E" w:rsidP="00915C9E">
      <w:pPr>
        <w:spacing w:line="320" w:lineRule="exact"/>
        <w:jc w:val="both"/>
        <w:rPr>
          <w:rFonts w:ascii="Times New Roman" w:hAnsi="Times New Roman" w:cs="Times New Roman"/>
        </w:rPr>
      </w:pPr>
      <w:r>
        <w:rPr>
          <w:rFonts w:ascii="Times New Roman" w:hAnsi="Times New Roman" w:cs="Times New Roman"/>
        </w:rPr>
        <w:t>IW</w:t>
      </w:r>
    </w:p>
    <w:p w:rsidR="00915C9E" w:rsidRDefault="00915C9E" w:rsidP="00915C9E">
      <w:pPr>
        <w:spacing w:line="320" w:lineRule="exact"/>
        <w:jc w:val="both"/>
        <w:rPr>
          <w:rFonts w:ascii="Times New Roman" w:hAnsi="Times New Roman" w:cs="Times New Roman"/>
        </w:rPr>
      </w:pPr>
    </w:p>
    <w:p w:rsidR="00915C9E" w:rsidRDefault="00915C9E" w:rsidP="00915C9E">
      <w:pPr>
        <w:spacing w:line="320" w:lineRule="exact"/>
        <w:jc w:val="both"/>
      </w:pPr>
    </w:p>
    <w:p w:rsidR="00C550FE" w:rsidRDefault="00C550FE"/>
    <w:sectPr w:rsidR="00C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44" w:hanging="360"/>
      </w:pPr>
    </w:lvl>
    <w:lvl w:ilvl="1">
      <w:start w:val="1"/>
      <w:numFmt w:val="lowerLetter"/>
      <w:lvlText w:val="%2."/>
      <w:lvlJc w:val="left"/>
      <w:pPr>
        <w:tabs>
          <w:tab w:val="num" w:pos="0"/>
        </w:tabs>
        <w:ind w:left="1064" w:hanging="360"/>
      </w:pPr>
    </w:lvl>
    <w:lvl w:ilvl="2">
      <w:start w:val="1"/>
      <w:numFmt w:val="lowerRoman"/>
      <w:lvlText w:val="%3."/>
      <w:lvlJc w:val="right"/>
      <w:pPr>
        <w:tabs>
          <w:tab w:val="num" w:pos="0"/>
        </w:tabs>
        <w:ind w:left="1784" w:hanging="180"/>
      </w:pPr>
    </w:lvl>
    <w:lvl w:ilvl="3">
      <w:start w:val="1"/>
      <w:numFmt w:val="decimal"/>
      <w:lvlText w:val="%4."/>
      <w:lvlJc w:val="left"/>
      <w:pPr>
        <w:tabs>
          <w:tab w:val="num" w:pos="0"/>
        </w:tabs>
        <w:ind w:left="2504" w:hanging="360"/>
      </w:pPr>
    </w:lvl>
    <w:lvl w:ilvl="4">
      <w:start w:val="1"/>
      <w:numFmt w:val="lowerLetter"/>
      <w:lvlText w:val="%5."/>
      <w:lvlJc w:val="left"/>
      <w:pPr>
        <w:tabs>
          <w:tab w:val="num" w:pos="0"/>
        </w:tabs>
        <w:ind w:left="3224" w:hanging="360"/>
      </w:pPr>
    </w:lvl>
    <w:lvl w:ilvl="5">
      <w:start w:val="1"/>
      <w:numFmt w:val="lowerRoman"/>
      <w:lvlText w:val="%6."/>
      <w:lvlJc w:val="right"/>
      <w:pPr>
        <w:tabs>
          <w:tab w:val="num" w:pos="0"/>
        </w:tabs>
        <w:ind w:left="3944" w:hanging="180"/>
      </w:pPr>
    </w:lvl>
    <w:lvl w:ilvl="6">
      <w:start w:val="1"/>
      <w:numFmt w:val="decimal"/>
      <w:lvlText w:val="%7."/>
      <w:lvlJc w:val="left"/>
      <w:pPr>
        <w:tabs>
          <w:tab w:val="num" w:pos="0"/>
        </w:tabs>
        <w:ind w:left="4664" w:hanging="360"/>
      </w:pPr>
    </w:lvl>
    <w:lvl w:ilvl="7">
      <w:start w:val="1"/>
      <w:numFmt w:val="lowerLetter"/>
      <w:lvlText w:val="%8."/>
      <w:lvlJc w:val="left"/>
      <w:pPr>
        <w:tabs>
          <w:tab w:val="num" w:pos="0"/>
        </w:tabs>
        <w:ind w:left="5384" w:hanging="360"/>
      </w:pPr>
    </w:lvl>
    <w:lvl w:ilvl="8">
      <w:start w:val="1"/>
      <w:numFmt w:val="lowerRoman"/>
      <w:lvlText w:val="%9."/>
      <w:lvlJc w:val="right"/>
      <w:pPr>
        <w:tabs>
          <w:tab w:val="num" w:pos="0"/>
        </w:tabs>
        <w:ind w:left="6104" w:hanging="180"/>
      </w:pPr>
    </w:lvl>
  </w:abstractNum>
  <w:abstractNum w:abstractNumId="1">
    <w:nsid w:val="2F813090"/>
    <w:multiLevelType w:val="hybridMultilevel"/>
    <w:tmpl w:val="060A2AD8"/>
    <w:lvl w:ilvl="0" w:tplc="E6945A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6805EC1"/>
    <w:multiLevelType w:val="hybridMultilevel"/>
    <w:tmpl w:val="3D020004"/>
    <w:lvl w:ilvl="0" w:tplc="F1CCC994">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56F23F78"/>
    <w:multiLevelType w:val="hybridMultilevel"/>
    <w:tmpl w:val="3C6097E0"/>
    <w:lvl w:ilvl="0" w:tplc="88EEA67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1895790"/>
    <w:multiLevelType w:val="hybridMultilevel"/>
    <w:tmpl w:val="DC0E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F1"/>
    <w:rsid w:val="0005777D"/>
    <w:rsid w:val="000C3E60"/>
    <w:rsid w:val="000F1B8C"/>
    <w:rsid w:val="001E5C5C"/>
    <w:rsid w:val="002A66DF"/>
    <w:rsid w:val="002A7BAF"/>
    <w:rsid w:val="00386BF1"/>
    <w:rsid w:val="00463489"/>
    <w:rsid w:val="00481F6F"/>
    <w:rsid w:val="0049159C"/>
    <w:rsid w:val="004E32FA"/>
    <w:rsid w:val="00504250"/>
    <w:rsid w:val="0079238B"/>
    <w:rsid w:val="00806A89"/>
    <w:rsid w:val="008154AE"/>
    <w:rsid w:val="00915C9E"/>
    <w:rsid w:val="00950F9A"/>
    <w:rsid w:val="00A233FC"/>
    <w:rsid w:val="00AE7B37"/>
    <w:rsid w:val="00B84C57"/>
    <w:rsid w:val="00BC2C84"/>
    <w:rsid w:val="00C10F41"/>
    <w:rsid w:val="00C271BB"/>
    <w:rsid w:val="00C550FE"/>
    <w:rsid w:val="00C600C0"/>
    <w:rsid w:val="00CE3C7F"/>
    <w:rsid w:val="00D22427"/>
    <w:rsid w:val="00D939F1"/>
    <w:rsid w:val="00DB3F86"/>
    <w:rsid w:val="00DE2B4A"/>
    <w:rsid w:val="00DE402A"/>
    <w:rsid w:val="00E23ECF"/>
    <w:rsid w:val="00E7492E"/>
    <w:rsid w:val="00E92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1354-4CFF-4698-9B88-861B45F1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C9E"/>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15C9E"/>
    <w:pPr>
      <w:spacing w:after="140" w:line="288" w:lineRule="auto"/>
    </w:pPr>
  </w:style>
  <w:style w:type="character" w:customStyle="1" w:styleId="TekstpodstawowyZnak">
    <w:name w:val="Tekst podstawowy Znak"/>
    <w:basedOn w:val="Domylnaczcionkaakapitu"/>
    <w:link w:val="Tekstpodstawowy"/>
    <w:qFormat/>
    <w:rsid w:val="00915C9E"/>
    <w:rPr>
      <w:rFonts w:ascii="Liberation Serif" w:eastAsia="SimSun" w:hAnsi="Liberation Serif" w:cs="Mangal"/>
      <w:kern w:val="2"/>
      <w:sz w:val="24"/>
      <w:szCs w:val="24"/>
      <w:lang w:eastAsia="zh-CN" w:bidi="hi-IN"/>
    </w:rPr>
  </w:style>
  <w:style w:type="paragraph" w:customStyle="1" w:styleId="Tretekstu">
    <w:name w:val="Treść tekstu"/>
    <w:basedOn w:val="Normalny"/>
    <w:rsid w:val="00915C9E"/>
    <w:pPr>
      <w:widowControl/>
      <w:suppressAutoHyphens w:val="0"/>
      <w:jc w:val="both"/>
    </w:pPr>
    <w:rPr>
      <w:rFonts w:asciiTheme="minorHAnsi" w:eastAsiaTheme="minorHAnsi" w:hAnsiTheme="minorHAnsi" w:cstheme="minorBidi"/>
      <w:kern w:val="0"/>
      <w:szCs w:val="22"/>
      <w:lang w:eastAsia="en-US" w:bidi="ar-SA"/>
    </w:rPr>
  </w:style>
  <w:style w:type="paragraph" w:styleId="Akapitzlist">
    <w:name w:val="List Paragraph"/>
    <w:basedOn w:val="Normalny"/>
    <w:qFormat/>
    <w:rsid w:val="00915C9E"/>
    <w:pPr>
      <w:autoSpaceDN w:val="0"/>
      <w:ind w:left="720"/>
      <w:contextualSpacing/>
    </w:pPr>
    <w:rPr>
      <w:rFonts w:ascii="Times New Roman" w:eastAsia="Lucida Sans Unicode" w:hAnsi="Times New Roman" w:cs="Times New Roman"/>
      <w:kern w:val="3"/>
      <w:lang w:eastAsia="pl-PL" w:bidi="ar-SA"/>
    </w:rPr>
  </w:style>
  <w:style w:type="character" w:customStyle="1" w:styleId="alb">
    <w:name w:val="a_lb"/>
    <w:basedOn w:val="Domylnaczcionkaakapitu"/>
    <w:rsid w:val="00915C9E"/>
  </w:style>
  <w:style w:type="paragraph" w:styleId="Tekstpodstawowywcity2">
    <w:name w:val="Body Text Indent 2"/>
    <w:basedOn w:val="Normalny"/>
    <w:link w:val="Tekstpodstawowywcity2Znak"/>
    <w:uiPriority w:val="99"/>
    <w:unhideWhenUsed/>
    <w:rsid w:val="00C600C0"/>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C600C0"/>
    <w:rPr>
      <w:rFonts w:ascii="Liberation Serif" w:eastAsia="SimSun" w:hAnsi="Liberation Serif" w:cs="Mangal"/>
      <w:kern w:val="2"/>
      <w:sz w:val="24"/>
      <w:szCs w:val="21"/>
      <w:lang w:eastAsia="zh-CN" w:bidi="hi-IN"/>
    </w:rPr>
  </w:style>
  <w:style w:type="paragraph" w:customStyle="1" w:styleId="TableContents">
    <w:name w:val="Table Contents"/>
    <w:basedOn w:val="Tekstpodstawowy"/>
    <w:rsid w:val="00C600C0"/>
    <w:pPr>
      <w:suppressLineNumbers/>
      <w:autoSpaceDN w:val="0"/>
      <w:spacing w:after="120" w:line="240" w:lineRule="auto"/>
    </w:pPr>
    <w:rPr>
      <w:rFonts w:ascii="Times New Roman" w:eastAsia="Lucida Sans Unicode" w:hAnsi="Times New Roman" w:cs="Times New Roman"/>
      <w:kern w:val="3"/>
      <w:lang w:eastAsia="pl-PL" w:bidi="ar-SA"/>
    </w:rPr>
  </w:style>
  <w:style w:type="paragraph" w:customStyle="1" w:styleId="Zawartotabeli">
    <w:name w:val="Zawarto?? tabeli"/>
    <w:basedOn w:val="Normalny"/>
    <w:rsid w:val="00C600C0"/>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Tekstdymka">
    <w:name w:val="Balloon Text"/>
    <w:basedOn w:val="Normalny"/>
    <w:link w:val="TekstdymkaZnak"/>
    <w:uiPriority w:val="99"/>
    <w:semiHidden/>
    <w:unhideWhenUsed/>
    <w:rsid w:val="0005777D"/>
    <w:rPr>
      <w:rFonts w:ascii="Segoe UI" w:hAnsi="Segoe UI"/>
      <w:sz w:val="18"/>
      <w:szCs w:val="16"/>
    </w:rPr>
  </w:style>
  <w:style w:type="character" w:customStyle="1" w:styleId="TekstdymkaZnak">
    <w:name w:val="Tekst dymka Znak"/>
    <w:basedOn w:val="Domylnaczcionkaakapitu"/>
    <w:link w:val="Tekstdymka"/>
    <w:uiPriority w:val="99"/>
    <w:semiHidden/>
    <w:rsid w:val="0005777D"/>
    <w:rPr>
      <w:rFonts w:ascii="Segoe UI" w:eastAsia="SimSun" w:hAnsi="Segoe UI" w:cs="Mangal"/>
      <w:kern w:val="2"/>
      <w:sz w:val="18"/>
      <w:szCs w:val="16"/>
      <w:lang w:eastAsia="zh-CN" w:bidi="hi-IN"/>
    </w:rPr>
  </w:style>
  <w:style w:type="paragraph" w:styleId="Tekstpodstawowy3">
    <w:name w:val="Body Text 3"/>
    <w:basedOn w:val="Normalny"/>
    <w:link w:val="Tekstpodstawowy3Znak"/>
    <w:uiPriority w:val="99"/>
    <w:semiHidden/>
    <w:unhideWhenUsed/>
    <w:rsid w:val="0079238B"/>
    <w:pPr>
      <w:spacing w:after="120"/>
    </w:pPr>
    <w:rPr>
      <w:sz w:val="16"/>
      <w:szCs w:val="14"/>
    </w:rPr>
  </w:style>
  <w:style w:type="character" w:customStyle="1" w:styleId="Tekstpodstawowy3Znak">
    <w:name w:val="Tekst podstawowy 3 Znak"/>
    <w:basedOn w:val="Domylnaczcionkaakapitu"/>
    <w:link w:val="Tekstpodstawowy3"/>
    <w:uiPriority w:val="99"/>
    <w:semiHidden/>
    <w:rsid w:val="0079238B"/>
    <w:rPr>
      <w:rFonts w:ascii="Liberation Serif" w:eastAsia="SimSun" w:hAnsi="Liberation Serif"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C8A5-43F7-4E7E-B162-DABDC520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11589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m.wisniewska</cp:lastModifiedBy>
  <cp:revision>2</cp:revision>
  <cp:lastPrinted>2021-07-29T11:07:00Z</cp:lastPrinted>
  <dcterms:created xsi:type="dcterms:W3CDTF">2021-08-19T07:30:00Z</dcterms:created>
  <dcterms:modified xsi:type="dcterms:W3CDTF">2021-08-19T07:30:00Z</dcterms:modified>
</cp:coreProperties>
</file>