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2162AF">
        <w:rPr>
          <w:rStyle w:val="T2"/>
        </w:rPr>
        <w:t>0</w:t>
      </w:r>
      <w:r w:rsidR="003C3480">
        <w:rPr>
          <w:rStyle w:val="T2"/>
        </w:rPr>
        <w:t>9</w:t>
      </w:r>
      <w:r w:rsidR="00A71644">
        <w:rPr>
          <w:rStyle w:val="T2"/>
        </w:rPr>
        <w:t>.0</w:t>
      </w:r>
      <w:r w:rsidR="002162AF">
        <w:rPr>
          <w:rStyle w:val="T2"/>
        </w:rPr>
        <w:t>7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  <w:bookmarkStart w:id="0" w:name="_GoBack"/>
      <w:bookmarkEnd w:id="0"/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color w:val="FF000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2162AF">
              <w:rPr>
                <w:color w:val="FF0000"/>
                <w:sz w:val="22"/>
                <w:szCs w:val="22"/>
              </w:rPr>
              <w:t>Rewitalizacja Parku Miejskiego etap III</w:t>
            </w:r>
          </w:p>
          <w:p w:rsidR="00E42508" w:rsidRPr="002162AF" w:rsidRDefault="00E42508" w:rsidP="00290379">
            <w:pPr>
              <w:pStyle w:val="P22"/>
              <w:rPr>
                <w:rStyle w:val="T2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22"/>
              <w:spacing w:after="0" w:line="240" w:lineRule="auto"/>
              <w:rPr>
                <w:rStyle w:val="T2"/>
                <w:color w:val="FF0000"/>
                <w:sz w:val="22"/>
                <w:szCs w:val="22"/>
              </w:rPr>
            </w:pPr>
            <w:r w:rsidRPr="002162AF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8642D5">
            <w:pPr>
              <w:spacing w:before="100" w:beforeAutospacing="1" w:after="142" w:line="276" w:lineRule="auto"/>
              <w:jc w:val="center"/>
              <w:rPr>
                <w:strike/>
                <w:color w:val="FF0000"/>
                <w:sz w:val="22"/>
                <w:szCs w:val="22"/>
              </w:rPr>
            </w:pPr>
            <w:r w:rsidRPr="002162AF">
              <w:rPr>
                <w:strike/>
                <w:color w:val="FF0000"/>
                <w:sz w:val="22"/>
                <w:szCs w:val="22"/>
              </w:rPr>
              <w:t>3.008 130,08</w:t>
            </w:r>
          </w:p>
          <w:p w:rsidR="00E42508" w:rsidRPr="002162AF" w:rsidRDefault="00B81BC8" w:rsidP="00290379">
            <w:pPr>
              <w:pStyle w:val="P22"/>
              <w:rPr>
                <w:rStyle w:val="T2"/>
                <w:color w:val="FF0000"/>
                <w:sz w:val="22"/>
                <w:szCs w:val="22"/>
              </w:rPr>
            </w:pPr>
            <w:r w:rsidRPr="002162AF">
              <w:rPr>
                <w:rStyle w:val="T2"/>
                <w:color w:val="FF000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2162AF" w:rsidRDefault="00E42508" w:rsidP="00B81BC8">
            <w:pPr>
              <w:pStyle w:val="P22"/>
              <w:rPr>
                <w:rStyle w:val="T2"/>
                <w:color w:val="FF0000"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II kwartał</w:t>
            </w:r>
            <w:r w:rsidR="00B81BC8" w:rsidRPr="002162AF">
              <w:rPr>
                <w:rStyle w:val="T2"/>
                <w:b w:val="0"/>
                <w:strike/>
                <w:color w:val="FF0000"/>
                <w:sz w:val="22"/>
                <w:szCs w:val="22"/>
              </w:rPr>
              <w:br/>
            </w:r>
            <w:r w:rsidR="00B81BC8" w:rsidRPr="002162AF">
              <w:rPr>
                <w:rStyle w:val="T2"/>
                <w:color w:val="FF000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2162AF" w:rsidRDefault="00E42508" w:rsidP="00B81BC8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BOM</w:t>
            </w:r>
            <w:r w:rsidR="00B81BC8" w:rsidRPr="002162AF">
              <w:rPr>
                <w:rStyle w:val="T2"/>
                <w:b w:val="0"/>
                <w:strike/>
                <w:color w:val="FF0000"/>
                <w:sz w:val="22"/>
                <w:szCs w:val="22"/>
              </w:rPr>
              <w:br/>
            </w:r>
            <w:r w:rsidR="00B81BC8" w:rsidRPr="002162AF">
              <w:rPr>
                <w:rStyle w:val="T2"/>
                <w:color w:val="FF000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162AF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2B6C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148CF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71644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86EEE"/>
    <w:rsid w:val="00E17AFC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F226-B934-437A-BCE8-0E2FD7C4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2021-07-13T12:07:00Z</dcterms:created>
  <dcterms:modified xsi:type="dcterms:W3CDTF">2021-07-13T12:07:00Z</dcterms:modified>
</cp:coreProperties>
</file>