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D84C89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7 845 000,00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330 000,00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Modernizacja "starej" części Domu Pomocy Społecznej, ul. Sz. Chełmińska 220 (montaż 2 wind, przebudowa pomieszczeń zaplecza kuchennego i socjalnego)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325 000,00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4"/>
              <w:jc w:val="center"/>
            </w:pPr>
            <w:r>
              <w:t>1 463 000,00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20"/>
            </w:pPr>
            <w:r>
              <w:rPr>
                <w:rStyle w:val="T5"/>
              </w:rPr>
              <w:t>Budowa placu zabaw pomiędzy modernizację placu zabaw przy ul. Srebrnego 4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1.1.18.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Standard"/>
            </w:pPr>
            <w:r>
              <w:rPr>
                <w:rStyle w:val="T5"/>
              </w:rPr>
              <w:t>GPR - Rewitalizacja budynku przy ul. Jagiellończyka 2/Piastowskiej 5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b w:val="0"/>
                <w:sz w:val="22"/>
                <w:szCs w:val="22"/>
              </w:rPr>
              <w:t>2 845</w:t>
            </w:r>
            <w:r>
              <w:rPr>
                <w:b w:val="0"/>
                <w:sz w:val="22"/>
                <w:szCs w:val="22"/>
              </w:rPr>
              <w:t> </w:t>
            </w:r>
            <w:r w:rsidRPr="009F21B6">
              <w:rPr>
                <w:b w:val="0"/>
                <w:sz w:val="22"/>
                <w:szCs w:val="22"/>
              </w:rPr>
              <w:t>000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I 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F032EE">
              <w:rPr>
                <w:rStyle w:val="T2"/>
                <w:b w:val="0"/>
                <w:sz w:val="22"/>
                <w:szCs w:val="22"/>
              </w:rPr>
              <w:t>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1.1.19.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Standard"/>
            </w:pPr>
            <w:r>
              <w:rPr>
                <w:rStyle w:val="T9"/>
              </w:rPr>
              <w:t>Remonty w obiektach oświatowych – 4 postępowania przetargowe</w:t>
            </w:r>
          </w:p>
        </w:tc>
        <w:tc>
          <w:tcPr>
            <w:tcW w:w="2268" w:type="dxa"/>
          </w:tcPr>
          <w:p w:rsidR="00E42508" w:rsidRPr="009F21B6" w:rsidRDefault="00E42508" w:rsidP="009F21B6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4"/>
              <w:jc w:val="center"/>
            </w:pPr>
            <w:r w:rsidRPr="009F21B6">
              <w:t>600</w:t>
            </w:r>
            <w:r>
              <w:t> </w:t>
            </w:r>
            <w:r w:rsidRPr="009F21B6">
              <w:t>000</w:t>
            </w:r>
            <w:r>
              <w:t>,00</w:t>
            </w:r>
          </w:p>
        </w:tc>
        <w:tc>
          <w:tcPr>
            <w:tcW w:w="1842" w:type="dxa"/>
          </w:tcPr>
          <w:p w:rsidR="00E42508" w:rsidRPr="009F21B6" w:rsidRDefault="00E42508" w:rsidP="009F21B6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9F21B6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Standard"/>
            </w:pPr>
            <w:r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Rewitalizacja Parku Miejskiego etap III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8642D5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3.008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2395D">
              <w:rPr>
                <w:color w:val="000000"/>
                <w:sz w:val="22"/>
                <w:szCs w:val="22"/>
              </w:rPr>
              <w:t>08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D077BD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lastRenderedPageBreak/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F21D0D" w:rsidTr="006778B2">
        <w:tc>
          <w:tcPr>
            <w:tcW w:w="13887" w:type="dxa"/>
            <w:gridSpan w:val="6"/>
          </w:tcPr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1.2.4.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Przemysłu Spożywczego i VIII Liceum 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E42508" w:rsidRPr="00F6303F" w:rsidRDefault="00E42508" w:rsidP="00AF37DD">
            <w:pPr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Zakup komputerów – 6</w:t>
            </w:r>
            <w:r>
              <w:rPr>
                <w:sz w:val="22"/>
                <w:szCs w:val="22"/>
              </w:rPr>
              <w:t>0</w:t>
            </w:r>
            <w:r w:rsidRPr="00F6303F">
              <w:rPr>
                <w:sz w:val="22"/>
                <w:szCs w:val="22"/>
              </w:rPr>
              <w:t xml:space="preserve"> szt.</w:t>
            </w:r>
          </w:p>
        </w:tc>
        <w:tc>
          <w:tcPr>
            <w:tcW w:w="2268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154 471,54</w:t>
            </w:r>
          </w:p>
        </w:tc>
        <w:tc>
          <w:tcPr>
            <w:tcW w:w="1842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F21D0D" w:rsidTr="00166A07">
        <w:tc>
          <w:tcPr>
            <w:tcW w:w="13887" w:type="dxa"/>
            <w:gridSpan w:val="6"/>
          </w:tcPr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lastRenderedPageBreak/>
              <w:t>USŁUGI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Cs w:val="22"/>
              </w:rPr>
            </w:pPr>
            <w:r w:rsidRPr="00C8544E">
              <w:rPr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C8544E">
              <w:rPr>
                <w:sz w:val="22"/>
                <w:szCs w:val="22"/>
              </w:rPr>
              <w:t>tyflograficznych</w:t>
            </w:r>
            <w:proofErr w:type="spellEnd"/>
            <w:r w:rsidRPr="00C8544E">
              <w:rPr>
                <w:sz w:val="22"/>
                <w:szCs w:val="22"/>
              </w:rPr>
              <w:t xml:space="preserve"> w wybranych obiektach objętych projektem „Toruńska Starówka - ochrona i konserwacja </w:t>
            </w:r>
            <w:r>
              <w:rPr>
                <w:sz w:val="24"/>
                <w:szCs w:val="24"/>
              </w:rPr>
              <w:t>dziedzictwa kulturowego UNESCO - etap II”</w:t>
            </w:r>
            <w:r w:rsidRPr="00C8544E">
              <w:rPr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13"/>
              <w:jc w:val="center"/>
              <w:rPr>
                <w:szCs w:val="22"/>
              </w:rPr>
            </w:pPr>
            <w:r w:rsidRPr="00CA561D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3"/>
              <w:jc w:val="center"/>
              <w:rPr>
                <w:szCs w:val="22"/>
              </w:rPr>
            </w:pPr>
            <w:r w:rsidRPr="00C8544E">
              <w:rPr>
                <w:szCs w:val="22"/>
              </w:rPr>
              <w:t>163.000</w:t>
            </w:r>
            <w:r>
              <w:rPr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5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E689C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E689C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   kwartał </w:t>
            </w:r>
          </w:p>
        </w:tc>
        <w:tc>
          <w:tcPr>
            <w:tcW w:w="1418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656 910,57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1.3.18.</w:t>
            </w:r>
          </w:p>
        </w:tc>
        <w:tc>
          <w:tcPr>
            <w:tcW w:w="5417" w:type="dxa"/>
          </w:tcPr>
          <w:p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994" w:type="dxa"/>
        <w:tblLook w:val="04A0"/>
      </w:tblPr>
      <w:tblGrid>
        <w:gridCol w:w="958"/>
        <w:gridCol w:w="4675"/>
        <w:gridCol w:w="2354"/>
        <w:gridCol w:w="1596"/>
        <w:gridCol w:w="1597"/>
        <w:gridCol w:w="1404"/>
        <w:gridCol w:w="1410"/>
      </w:tblGrid>
      <w:tr w:rsidR="00896612" w:rsidTr="00B54B51">
        <w:tc>
          <w:tcPr>
            <w:tcW w:w="958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4675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354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596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597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04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  <w:tc>
          <w:tcPr>
            <w:tcW w:w="1410" w:type="dxa"/>
          </w:tcPr>
          <w:p w:rsidR="00896612" w:rsidRDefault="00896612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na temat aktualizacji </w:t>
            </w:r>
          </w:p>
        </w:tc>
      </w:tr>
      <w:tr w:rsidR="00896612" w:rsidTr="00B54B51">
        <w:tc>
          <w:tcPr>
            <w:tcW w:w="958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4675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354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596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597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04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  <w:tc>
          <w:tcPr>
            <w:tcW w:w="1410" w:type="dxa"/>
          </w:tcPr>
          <w:p w:rsidR="00896612" w:rsidRDefault="00896612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7</w:t>
            </w:r>
          </w:p>
        </w:tc>
      </w:tr>
      <w:tr w:rsidR="00896612" w:rsidTr="00393685">
        <w:tc>
          <w:tcPr>
            <w:tcW w:w="13994" w:type="dxa"/>
            <w:gridSpan w:val="7"/>
          </w:tcPr>
          <w:p w:rsidR="00896612" w:rsidRDefault="00510C45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USŁUGI</w:t>
            </w:r>
            <w:r w:rsidR="00896612">
              <w:rPr>
                <w:rStyle w:val="T2"/>
                <w:sz w:val="22"/>
              </w:rPr>
              <w:t xml:space="preserve">  </w:t>
            </w:r>
          </w:p>
        </w:tc>
      </w:tr>
      <w:tr w:rsidR="000E3C01" w:rsidTr="00B54B51">
        <w:tc>
          <w:tcPr>
            <w:tcW w:w="958" w:type="dxa"/>
          </w:tcPr>
          <w:p w:rsidR="000E3C01" w:rsidRPr="003B66B8" w:rsidRDefault="00FE1A9F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4675" w:type="dxa"/>
          </w:tcPr>
          <w:p w:rsidR="000E3C01" w:rsidRPr="00662FFF" w:rsidRDefault="000E3C01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354" w:type="dxa"/>
          </w:tcPr>
          <w:p w:rsidR="000E3C01" w:rsidRPr="00662FFF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0E3C01" w:rsidRPr="00662FFF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596" w:type="dxa"/>
          </w:tcPr>
          <w:p w:rsidR="000E3C01" w:rsidRPr="00662FFF" w:rsidRDefault="000E3C01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597" w:type="dxa"/>
          </w:tcPr>
          <w:p w:rsidR="000E3C01" w:rsidRPr="00662FFF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04" w:type="dxa"/>
          </w:tcPr>
          <w:p w:rsidR="000E3C01" w:rsidRPr="00662FFF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 w:rsidR="00FE1A9F"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:rsidR="000E3C01" w:rsidRPr="000F26BC" w:rsidRDefault="000E3C01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354" w:type="dxa"/>
          </w:tcPr>
          <w:p w:rsidR="000E3C01" w:rsidRPr="000F26BC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0E3C01" w:rsidRPr="000F26BC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596" w:type="dxa"/>
          </w:tcPr>
          <w:p w:rsidR="000E3C01" w:rsidRPr="000F26BC" w:rsidRDefault="000E3C01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0E3C01" w:rsidRPr="000F26BC" w:rsidRDefault="000E3C01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597" w:type="dxa"/>
          </w:tcPr>
          <w:p w:rsidR="000E3C01" w:rsidRPr="000F26BC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04" w:type="dxa"/>
          </w:tcPr>
          <w:p w:rsidR="000E3C01" w:rsidRPr="000F26BC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4675" w:type="dxa"/>
          </w:tcPr>
          <w:p w:rsidR="000E3C01" w:rsidRPr="00662FFF" w:rsidRDefault="000E3C01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354" w:type="dxa"/>
          </w:tcPr>
          <w:p w:rsidR="000E3C01" w:rsidRPr="00662FFF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0E3C01" w:rsidRPr="00662FFF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596" w:type="dxa"/>
          </w:tcPr>
          <w:p w:rsidR="000E3C01" w:rsidRPr="00662FFF" w:rsidRDefault="000E3C01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0E3C01" w:rsidRPr="00662FFF" w:rsidRDefault="000E3C01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597" w:type="dxa"/>
          </w:tcPr>
          <w:p w:rsidR="000E3C01" w:rsidRPr="00662FFF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04" w:type="dxa"/>
          </w:tcPr>
          <w:p w:rsidR="000E3C01" w:rsidRPr="00662FFF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13994" w:type="dxa"/>
            <w:gridSpan w:val="7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  <w:szCs w:val="22"/>
              </w:rPr>
              <w:t xml:space="preserve">DOSTAWA </w:t>
            </w: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4675" w:type="dxa"/>
          </w:tcPr>
          <w:p w:rsidR="000E3C01" w:rsidRPr="009C59FA" w:rsidRDefault="000E3C01" w:rsidP="000E3C01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 xml:space="preserve">Dostawa wyposażenia dla pracowni zawodowych w Zespole Szkół Ogólnokształcących i Technicznych Nr 13 w Toruniu w ramach projektu „Twoja przyszłość w nowoczesnej szkole </w:t>
            </w:r>
            <w:r w:rsidRPr="009C59FA">
              <w:rPr>
                <w:color w:val="000000"/>
                <w:sz w:val="22"/>
                <w:szCs w:val="22"/>
              </w:rPr>
              <w:lastRenderedPageBreak/>
              <w:t>zawodowej” w ramach Poddziałania 6.3.2. Inwestycje w infrastrukturę kształcenia zawodowego</w:t>
            </w:r>
          </w:p>
        </w:tc>
        <w:tc>
          <w:tcPr>
            <w:tcW w:w="2354" w:type="dxa"/>
          </w:tcPr>
          <w:p w:rsidR="000E3C01" w:rsidRPr="009C59FA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lastRenderedPageBreak/>
              <w:t>przetarg</w:t>
            </w:r>
          </w:p>
          <w:p w:rsidR="000E3C01" w:rsidRPr="009C59FA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596" w:type="dxa"/>
          </w:tcPr>
          <w:p w:rsidR="000E3C01" w:rsidRPr="009C59FA" w:rsidRDefault="000E3C01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597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04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4675" w:type="dxa"/>
          </w:tcPr>
          <w:p w:rsidR="000E3C01" w:rsidRPr="009C59FA" w:rsidRDefault="000E3C01" w:rsidP="000E3C01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354" w:type="dxa"/>
          </w:tcPr>
          <w:p w:rsidR="000E3C01" w:rsidRPr="009C59FA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0E3C01" w:rsidRPr="00F032EE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596" w:type="dxa"/>
          </w:tcPr>
          <w:p w:rsidR="000E3C01" w:rsidRPr="009C59FA" w:rsidRDefault="000E3C01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597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04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4675" w:type="dxa"/>
          </w:tcPr>
          <w:p w:rsidR="000E3C01" w:rsidRPr="009C59FA" w:rsidRDefault="000E3C01" w:rsidP="000E3C01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354" w:type="dxa"/>
          </w:tcPr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0E3C01" w:rsidRPr="00F032EE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596" w:type="dxa"/>
          </w:tcPr>
          <w:p w:rsidR="000E3C01" w:rsidRDefault="000E3C01" w:rsidP="000E3C01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597" w:type="dxa"/>
          </w:tcPr>
          <w:p w:rsidR="000E3C01" w:rsidRPr="00F032EE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04" w:type="dxa"/>
          </w:tcPr>
          <w:p w:rsidR="000E3C01" w:rsidRPr="00F032EE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 w:rsidR="00FE1A9F"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:rsidR="000E3C01" w:rsidRDefault="000E3C01" w:rsidP="000E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0E3C01" w:rsidRDefault="000E3C01" w:rsidP="000E3C01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596" w:type="dxa"/>
          </w:tcPr>
          <w:p w:rsidR="000E3C01" w:rsidRDefault="000E3C01" w:rsidP="000E3C01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597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04" w:type="dxa"/>
          </w:tcPr>
          <w:p w:rsidR="000E3C01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0E3C01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 w:rsidR="00FE1A9F"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4675" w:type="dxa"/>
          </w:tcPr>
          <w:p w:rsidR="000E3C01" w:rsidRDefault="000E3C01" w:rsidP="000E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0E3C01" w:rsidRDefault="000E3C01" w:rsidP="000E3C01">
            <w:pPr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596" w:type="dxa"/>
          </w:tcPr>
          <w:p w:rsidR="000E3C01" w:rsidRDefault="000E3C01" w:rsidP="000E3C01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597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04" w:type="dxa"/>
          </w:tcPr>
          <w:p w:rsidR="000E3C01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0E3C01" w:rsidTr="00B54B51">
        <w:tc>
          <w:tcPr>
            <w:tcW w:w="958" w:type="dxa"/>
          </w:tcPr>
          <w:p w:rsidR="000E3C01" w:rsidRPr="003B66B8" w:rsidRDefault="00FE1A9F" w:rsidP="00787B6A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4675" w:type="dxa"/>
          </w:tcPr>
          <w:p w:rsidR="000E3C01" w:rsidRDefault="000E3C01" w:rsidP="000E3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:rsidR="000E3C01" w:rsidRDefault="000E3C01" w:rsidP="000E3C01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354" w:type="dxa"/>
          </w:tcPr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0E3C01" w:rsidRDefault="000E3C01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596" w:type="dxa"/>
          </w:tcPr>
          <w:p w:rsidR="000E3C01" w:rsidRDefault="000E3C01" w:rsidP="000E3C01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597" w:type="dxa"/>
          </w:tcPr>
          <w:p w:rsidR="000E3C01" w:rsidRPr="009C59FA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04" w:type="dxa"/>
          </w:tcPr>
          <w:p w:rsidR="000E3C01" w:rsidRDefault="000E3C01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  <w:tc>
          <w:tcPr>
            <w:tcW w:w="1410" w:type="dxa"/>
          </w:tcPr>
          <w:p w:rsidR="000E3C01" w:rsidRDefault="000E3C01" w:rsidP="000E3C01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</w:tbl>
    <w:p w:rsidR="00896612" w:rsidRDefault="00896612"/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p w:rsidR="00787B6A" w:rsidRDefault="00787B6A" w:rsidP="001B184C">
      <w:pPr>
        <w:rPr>
          <w:sz w:val="24"/>
          <w:szCs w:val="24"/>
        </w:rPr>
      </w:pPr>
      <w:r w:rsidRPr="00787B6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787B6A">
        <w:rPr>
          <w:sz w:val="24"/>
          <w:szCs w:val="24"/>
        </w:rPr>
        <w:t xml:space="preserve">                 </w:t>
      </w:r>
      <w:r w:rsidR="001B184C">
        <w:rPr>
          <w:sz w:val="24"/>
          <w:szCs w:val="24"/>
        </w:rPr>
        <w:t xml:space="preserve">Prezydenta Miasta Torunia </w:t>
      </w:r>
    </w:p>
    <w:p w:rsidR="001B184C" w:rsidRDefault="001B184C" w:rsidP="001B184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Michał Zaleski</w:t>
      </w:r>
    </w:p>
    <w:p w:rsidR="0086042C" w:rsidRDefault="0086042C" w:rsidP="0086042C">
      <w:pPr>
        <w:rPr>
          <w:sz w:val="24"/>
          <w:szCs w:val="24"/>
        </w:rPr>
      </w:pPr>
    </w:p>
    <w:p w:rsidR="0086042C" w:rsidRPr="00787B6A" w:rsidRDefault="0086042C" w:rsidP="0086042C">
      <w:pPr>
        <w:rPr>
          <w:sz w:val="22"/>
          <w:szCs w:val="22"/>
        </w:rPr>
      </w:pPr>
      <w:r>
        <w:rPr>
          <w:sz w:val="24"/>
          <w:szCs w:val="24"/>
        </w:rPr>
        <w:t>Toruń, 14.01.2021</w:t>
      </w:r>
    </w:p>
    <w:sectPr w:rsidR="0086042C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D7303"/>
    <w:rsid w:val="000E3C01"/>
    <w:rsid w:val="000F26BC"/>
    <w:rsid w:val="000F7EC3"/>
    <w:rsid w:val="001341F5"/>
    <w:rsid w:val="00162A76"/>
    <w:rsid w:val="00165316"/>
    <w:rsid w:val="00173D63"/>
    <w:rsid w:val="001A5562"/>
    <w:rsid w:val="001B184C"/>
    <w:rsid w:val="001E689C"/>
    <w:rsid w:val="001E7645"/>
    <w:rsid w:val="00226D95"/>
    <w:rsid w:val="00233099"/>
    <w:rsid w:val="00281EA7"/>
    <w:rsid w:val="00290379"/>
    <w:rsid w:val="00340B89"/>
    <w:rsid w:val="00383FA4"/>
    <w:rsid w:val="00393685"/>
    <w:rsid w:val="003A5921"/>
    <w:rsid w:val="003B1E00"/>
    <w:rsid w:val="003B66B8"/>
    <w:rsid w:val="003F289E"/>
    <w:rsid w:val="0045095F"/>
    <w:rsid w:val="0046051C"/>
    <w:rsid w:val="004647DE"/>
    <w:rsid w:val="004761DB"/>
    <w:rsid w:val="00487C58"/>
    <w:rsid w:val="004B56F9"/>
    <w:rsid w:val="00510C45"/>
    <w:rsid w:val="005221E1"/>
    <w:rsid w:val="00545F64"/>
    <w:rsid w:val="00582D5B"/>
    <w:rsid w:val="005A041F"/>
    <w:rsid w:val="006336E7"/>
    <w:rsid w:val="00636901"/>
    <w:rsid w:val="00662FFF"/>
    <w:rsid w:val="006F470D"/>
    <w:rsid w:val="006F496C"/>
    <w:rsid w:val="00716937"/>
    <w:rsid w:val="00743BDB"/>
    <w:rsid w:val="007563D3"/>
    <w:rsid w:val="00762A76"/>
    <w:rsid w:val="00787B6A"/>
    <w:rsid w:val="007A3A57"/>
    <w:rsid w:val="00807BB8"/>
    <w:rsid w:val="00813BA2"/>
    <w:rsid w:val="0082395D"/>
    <w:rsid w:val="00851DC5"/>
    <w:rsid w:val="0086042C"/>
    <w:rsid w:val="008642D5"/>
    <w:rsid w:val="00896612"/>
    <w:rsid w:val="008C6234"/>
    <w:rsid w:val="008F3ADC"/>
    <w:rsid w:val="00926505"/>
    <w:rsid w:val="00934CD2"/>
    <w:rsid w:val="00981114"/>
    <w:rsid w:val="009B279B"/>
    <w:rsid w:val="009B29F6"/>
    <w:rsid w:val="009C59FA"/>
    <w:rsid w:val="009F21B6"/>
    <w:rsid w:val="00AF37DD"/>
    <w:rsid w:val="00B54B51"/>
    <w:rsid w:val="00B571CE"/>
    <w:rsid w:val="00B710F8"/>
    <w:rsid w:val="00B76DBD"/>
    <w:rsid w:val="00C8680C"/>
    <w:rsid w:val="00CA561D"/>
    <w:rsid w:val="00CB37A9"/>
    <w:rsid w:val="00CB7AD6"/>
    <w:rsid w:val="00CD776C"/>
    <w:rsid w:val="00CE5E96"/>
    <w:rsid w:val="00D068AF"/>
    <w:rsid w:val="00D077BD"/>
    <w:rsid w:val="00D86EEE"/>
    <w:rsid w:val="00E42508"/>
    <w:rsid w:val="00E85F2D"/>
    <w:rsid w:val="00F032EE"/>
    <w:rsid w:val="00F10240"/>
    <w:rsid w:val="00F21D0D"/>
    <w:rsid w:val="00F40CE7"/>
    <w:rsid w:val="00F60F72"/>
    <w:rsid w:val="00F6303F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FE85-DA03-4F67-97A8-5F1C933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2021-01-15T12:52:00Z</dcterms:created>
  <dcterms:modified xsi:type="dcterms:W3CDTF">2021-01-15T12:52:00Z</dcterms:modified>
</cp:coreProperties>
</file>